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iagrams/colors1.xml" ContentType="application/vnd.openxmlformats-officedocument.drawingml.diagramColors+xml"/>
  <Override PartName="/word/diagrams/data1.xml" ContentType="application/vnd.openxmlformats-officedocument.drawingml.diagramData+xml"/>
  <Override PartName="/word/diagrams/drawing1.xml" ContentType="application/vnd.ms-office.drawingml.diagramDrawing+xml"/>
  <Override PartName="/word/diagrams/layout1.xml" ContentType="application/vnd.openxmlformats-officedocument.drawingml.diagramLayout+xml"/>
  <Override PartName="/word/diagrams/quickStyle1.xml" ContentType="application/vnd.openxmlformats-officedocument.drawingml.diagram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20182D">
      <w:pPr>
        <w:keepNext w:val="0"/>
        <w:keepLines w:val="0"/>
        <w:pageBreakBefore w:val="0"/>
        <w:kinsoku/>
        <w:wordWrap/>
        <w:topLinePunct w:val="0"/>
        <w:bidi w:val="0"/>
        <w:snapToGrid/>
        <w:spacing w:line="460" w:lineRule="exact"/>
        <w:jc w:val="center"/>
        <w:rPr>
          <w:rFonts w:hint="eastAsia" w:ascii="宋体" w:hAnsi="宋体" w:eastAsia="宋体" w:cs="宋体"/>
          <w:b/>
          <w:color w:val="auto"/>
          <w:spacing w:val="4"/>
          <w:w w:val="95"/>
          <w:sz w:val="21"/>
          <w:szCs w:val="21"/>
        </w:rPr>
      </w:pPr>
    </w:p>
    <w:p w14:paraId="34C30CD9">
      <w:pPr>
        <w:keepNext w:val="0"/>
        <w:keepLines w:val="0"/>
        <w:pageBreakBefore w:val="0"/>
        <w:kinsoku/>
        <w:wordWrap/>
        <w:topLinePunct w:val="0"/>
        <w:bidi w:val="0"/>
        <w:snapToGrid/>
        <w:spacing w:line="460" w:lineRule="exact"/>
        <w:jc w:val="center"/>
        <w:rPr>
          <w:rFonts w:hint="eastAsia" w:ascii="宋体" w:hAnsi="宋体" w:eastAsia="宋体" w:cs="宋体"/>
          <w:b/>
          <w:color w:val="auto"/>
          <w:spacing w:val="4"/>
          <w:w w:val="95"/>
          <w:sz w:val="21"/>
          <w:szCs w:val="21"/>
        </w:rPr>
      </w:pPr>
    </w:p>
    <w:p w14:paraId="54408A34">
      <w:pPr>
        <w:keepNext w:val="0"/>
        <w:keepLines w:val="0"/>
        <w:pageBreakBefore w:val="0"/>
        <w:widowControl w:val="0"/>
        <w:kinsoku/>
        <w:wordWrap/>
        <w:overflowPunct/>
        <w:topLinePunct w:val="0"/>
        <w:bidi w:val="0"/>
        <w:adjustRightInd/>
        <w:snapToGrid/>
        <w:spacing w:line="600" w:lineRule="exact"/>
        <w:jc w:val="center"/>
        <w:textAlignment w:val="auto"/>
        <w:rPr>
          <w:rFonts w:hint="eastAsia" w:ascii="宋体" w:hAnsi="宋体" w:eastAsia="宋体" w:cs="宋体"/>
          <w:b/>
          <w:color w:val="auto"/>
          <w:spacing w:val="4"/>
          <w:w w:val="95"/>
          <w:sz w:val="52"/>
          <w:szCs w:val="52"/>
          <w:lang w:eastAsia="zh-CN"/>
        </w:rPr>
      </w:pPr>
      <w:r>
        <w:rPr>
          <w:rFonts w:hint="eastAsia" w:ascii="宋体" w:hAnsi="宋体" w:cs="宋体"/>
          <w:b/>
          <w:color w:val="auto"/>
          <w:spacing w:val="4"/>
          <w:w w:val="95"/>
          <w:sz w:val="52"/>
          <w:szCs w:val="52"/>
          <w:lang w:eastAsia="zh-CN"/>
        </w:rPr>
        <w:t>海陵试验区智慧停车特许经营项目</w:t>
      </w:r>
    </w:p>
    <w:p w14:paraId="7738E88F">
      <w:pPr>
        <w:keepNext w:val="0"/>
        <w:keepLines w:val="0"/>
        <w:pageBreakBefore w:val="0"/>
        <w:widowControl w:val="0"/>
        <w:kinsoku/>
        <w:wordWrap/>
        <w:overflowPunct/>
        <w:topLinePunct w:val="0"/>
        <w:bidi w:val="0"/>
        <w:adjustRightInd/>
        <w:snapToGrid/>
        <w:spacing w:line="600" w:lineRule="exact"/>
        <w:jc w:val="center"/>
        <w:textAlignment w:val="auto"/>
        <w:rPr>
          <w:rFonts w:hint="eastAsia" w:ascii="宋体" w:hAnsi="宋体" w:eastAsia="宋体" w:cs="宋体"/>
          <w:b/>
          <w:color w:val="auto"/>
          <w:spacing w:val="4"/>
          <w:w w:val="95"/>
          <w:sz w:val="52"/>
          <w:szCs w:val="52"/>
          <w:lang w:eastAsia="zh-CN"/>
        </w:rPr>
      </w:pPr>
    </w:p>
    <w:p w14:paraId="18BC7DEE">
      <w:pPr>
        <w:keepNext w:val="0"/>
        <w:keepLines w:val="0"/>
        <w:pageBreakBefore w:val="0"/>
        <w:widowControl w:val="0"/>
        <w:kinsoku/>
        <w:wordWrap/>
        <w:overflowPunct/>
        <w:topLinePunct w:val="0"/>
        <w:bidi w:val="0"/>
        <w:adjustRightInd/>
        <w:snapToGrid/>
        <w:spacing w:line="600" w:lineRule="exact"/>
        <w:jc w:val="center"/>
        <w:textAlignment w:val="auto"/>
        <w:rPr>
          <w:rFonts w:hint="eastAsia" w:ascii="宋体" w:hAnsi="宋体" w:eastAsia="宋体" w:cs="宋体"/>
          <w:b/>
          <w:color w:val="auto"/>
          <w:spacing w:val="4"/>
          <w:w w:val="95"/>
          <w:sz w:val="52"/>
          <w:szCs w:val="52"/>
          <w:lang w:eastAsia="zh-CN"/>
        </w:rPr>
      </w:pPr>
    </w:p>
    <w:p w14:paraId="06887631">
      <w:pPr>
        <w:keepNext w:val="0"/>
        <w:keepLines w:val="0"/>
        <w:pageBreakBefore w:val="0"/>
        <w:widowControl w:val="0"/>
        <w:kinsoku/>
        <w:wordWrap/>
        <w:overflowPunct/>
        <w:topLinePunct w:val="0"/>
        <w:bidi w:val="0"/>
        <w:adjustRightInd/>
        <w:snapToGrid/>
        <w:spacing w:line="600" w:lineRule="exact"/>
        <w:jc w:val="center"/>
        <w:textAlignment w:val="auto"/>
        <w:rPr>
          <w:rFonts w:hint="eastAsia" w:ascii="宋体" w:hAnsi="宋体" w:eastAsia="宋体" w:cs="宋体"/>
          <w:b/>
          <w:color w:val="auto"/>
          <w:spacing w:val="4"/>
          <w:w w:val="95"/>
          <w:sz w:val="52"/>
          <w:szCs w:val="52"/>
          <w:highlight w:val="none"/>
          <w:lang w:val="en-US" w:eastAsia="zh-CN"/>
        </w:rPr>
      </w:pPr>
      <w:r>
        <w:rPr>
          <w:rFonts w:hint="eastAsia" w:ascii="宋体" w:hAnsi="宋体" w:eastAsia="宋体" w:cs="宋体"/>
          <w:b/>
          <w:color w:val="auto"/>
          <w:spacing w:val="4"/>
          <w:w w:val="95"/>
          <w:sz w:val="52"/>
          <w:szCs w:val="52"/>
          <w:highlight w:val="none"/>
          <w:lang w:val="en-US" w:eastAsia="zh-CN"/>
        </w:rPr>
        <w:t>实</w:t>
      </w:r>
    </w:p>
    <w:p w14:paraId="4E4F9846">
      <w:pPr>
        <w:pStyle w:val="2"/>
        <w:keepNext w:val="0"/>
        <w:keepLines w:val="0"/>
        <w:pageBreakBefore w:val="0"/>
        <w:widowControl w:val="0"/>
        <w:kinsoku/>
        <w:wordWrap/>
        <w:overflowPunct/>
        <w:topLinePunct w:val="0"/>
        <w:bidi w:val="0"/>
        <w:adjustRightInd/>
        <w:snapToGrid/>
        <w:spacing w:line="600" w:lineRule="exact"/>
        <w:textAlignment w:val="auto"/>
        <w:rPr>
          <w:rFonts w:hint="eastAsia"/>
          <w:color w:val="auto"/>
          <w:lang w:val="en-US" w:eastAsia="zh-CN"/>
        </w:rPr>
      </w:pPr>
    </w:p>
    <w:p w14:paraId="4BD63FA7">
      <w:pPr>
        <w:keepNext w:val="0"/>
        <w:keepLines w:val="0"/>
        <w:pageBreakBefore w:val="0"/>
        <w:widowControl w:val="0"/>
        <w:kinsoku/>
        <w:wordWrap/>
        <w:overflowPunct/>
        <w:topLinePunct w:val="0"/>
        <w:bidi w:val="0"/>
        <w:adjustRightInd/>
        <w:snapToGrid/>
        <w:spacing w:line="600" w:lineRule="exact"/>
        <w:jc w:val="center"/>
        <w:textAlignment w:val="auto"/>
        <w:rPr>
          <w:rFonts w:hint="eastAsia" w:ascii="宋体" w:hAnsi="宋体" w:eastAsia="宋体" w:cs="宋体"/>
          <w:b/>
          <w:color w:val="auto"/>
          <w:spacing w:val="4"/>
          <w:w w:val="95"/>
          <w:sz w:val="52"/>
          <w:szCs w:val="52"/>
          <w:highlight w:val="none"/>
          <w:lang w:val="en-US" w:eastAsia="zh-CN"/>
        </w:rPr>
      </w:pPr>
      <w:r>
        <w:rPr>
          <w:rFonts w:hint="eastAsia" w:ascii="宋体" w:hAnsi="宋体" w:eastAsia="宋体" w:cs="宋体"/>
          <w:b/>
          <w:color w:val="auto"/>
          <w:spacing w:val="4"/>
          <w:w w:val="95"/>
          <w:sz w:val="52"/>
          <w:szCs w:val="52"/>
          <w:highlight w:val="none"/>
          <w:lang w:val="en-US" w:eastAsia="zh-CN"/>
        </w:rPr>
        <w:t>施</w:t>
      </w:r>
    </w:p>
    <w:p w14:paraId="480A61D3">
      <w:pPr>
        <w:pStyle w:val="2"/>
        <w:keepNext w:val="0"/>
        <w:keepLines w:val="0"/>
        <w:pageBreakBefore w:val="0"/>
        <w:widowControl w:val="0"/>
        <w:kinsoku/>
        <w:wordWrap/>
        <w:overflowPunct/>
        <w:topLinePunct w:val="0"/>
        <w:bidi w:val="0"/>
        <w:adjustRightInd/>
        <w:snapToGrid/>
        <w:spacing w:line="600" w:lineRule="exact"/>
        <w:textAlignment w:val="auto"/>
        <w:rPr>
          <w:rFonts w:hint="eastAsia"/>
          <w:color w:val="auto"/>
          <w:lang w:val="en-US" w:eastAsia="zh-CN"/>
        </w:rPr>
      </w:pPr>
    </w:p>
    <w:p w14:paraId="585E461F">
      <w:pPr>
        <w:keepNext w:val="0"/>
        <w:keepLines w:val="0"/>
        <w:pageBreakBefore w:val="0"/>
        <w:widowControl w:val="0"/>
        <w:kinsoku/>
        <w:wordWrap/>
        <w:overflowPunct/>
        <w:topLinePunct w:val="0"/>
        <w:bidi w:val="0"/>
        <w:adjustRightInd/>
        <w:snapToGrid/>
        <w:spacing w:line="600" w:lineRule="exact"/>
        <w:jc w:val="center"/>
        <w:textAlignment w:val="auto"/>
        <w:rPr>
          <w:rFonts w:hint="eastAsia" w:ascii="宋体" w:hAnsi="宋体" w:eastAsia="宋体" w:cs="宋体"/>
          <w:b/>
          <w:color w:val="auto"/>
          <w:spacing w:val="4"/>
          <w:w w:val="95"/>
          <w:sz w:val="52"/>
          <w:szCs w:val="52"/>
          <w:highlight w:val="none"/>
          <w:lang w:val="en-US" w:eastAsia="zh-CN"/>
        </w:rPr>
      </w:pPr>
      <w:r>
        <w:rPr>
          <w:rFonts w:hint="eastAsia" w:ascii="宋体" w:hAnsi="宋体" w:eastAsia="宋体" w:cs="宋体"/>
          <w:b/>
          <w:color w:val="auto"/>
          <w:spacing w:val="4"/>
          <w:w w:val="95"/>
          <w:sz w:val="52"/>
          <w:szCs w:val="52"/>
          <w:highlight w:val="none"/>
          <w:lang w:val="en-US" w:eastAsia="zh-CN"/>
        </w:rPr>
        <w:t>方</w:t>
      </w:r>
    </w:p>
    <w:p w14:paraId="22727270">
      <w:pPr>
        <w:pStyle w:val="2"/>
        <w:keepNext w:val="0"/>
        <w:keepLines w:val="0"/>
        <w:pageBreakBefore w:val="0"/>
        <w:widowControl w:val="0"/>
        <w:kinsoku/>
        <w:wordWrap/>
        <w:overflowPunct/>
        <w:topLinePunct w:val="0"/>
        <w:bidi w:val="0"/>
        <w:adjustRightInd/>
        <w:snapToGrid/>
        <w:spacing w:line="600" w:lineRule="exact"/>
        <w:textAlignment w:val="auto"/>
        <w:rPr>
          <w:rFonts w:hint="eastAsia"/>
          <w:color w:val="auto"/>
          <w:lang w:val="en-US" w:eastAsia="zh-CN"/>
        </w:rPr>
      </w:pPr>
    </w:p>
    <w:p w14:paraId="293D1917">
      <w:pPr>
        <w:keepNext w:val="0"/>
        <w:keepLines w:val="0"/>
        <w:pageBreakBefore w:val="0"/>
        <w:widowControl w:val="0"/>
        <w:kinsoku/>
        <w:wordWrap/>
        <w:overflowPunct/>
        <w:topLinePunct w:val="0"/>
        <w:bidi w:val="0"/>
        <w:adjustRightInd/>
        <w:snapToGrid/>
        <w:spacing w:line="600" w:lineRule="exact"/>
        <w:jc w:val="center"/>
        <w:textAlignment w:val="auto"/>
        <w:rPr>
          <w:rFonts w:hint="eastAsia" w:ascii="宋体" w:hAnsi="宋体" w:eastAsia="宋体" w:cs="宋体"/>
          <w:b/>
          <w:color w:val="auto"/>
          <w:spacing w:val="4"/>
          <w:w w:val="95"/>
          <w:sz w:val="52"/>
          <w:szCs w:val="52"/>
          <w:lang w:eastAsia="zh-CN"/>
        </w:rPr>
      </w:pPr>
      <w:r>
        <w:rPr>
          <w:rFonts w:hint="eastAsia" w:ascii="宋体" w:hAnsi="宋体" w:eastAsia="宋体" w:cs="宋体"/>
          <w:b/>
          <w:color w:val="auto"/>
          <w:spacing w:val="4"/>
          <w:w w:val="95"/>
          <w:sz w:val="52"/>
          <w:szCs w:val="52"/>
          <w:highlight w:val="none"/>
          <w:lang w:val="en-US" w:eastAsia="zh-CN"/>
        </w:rPr>
        <w:t>案</w:t>
      </w:r>
    </w:p>
    <w:p w14:paraId="4F087B37">
      <w:pPr>
        <w:pStyle w:val="29"/>
        <w:keepNext w:val="0"/>
        <w:keepLines w:val="0"/>
        <w:pageBreakBefore w:val="0"/>
        <w:widowControl w:val="0"/>
        <w:kinsoku/>
        <w:wordWrap/>
        <w:overflowPunct/>
        <w:topLinePunct w:val="0"/>
        <w:bidi w:val="0"/>
        <w:adjustRightInd/>
        <w:snapToGrid/>
        <w:spacing w:line="600" w:lineRule="exact"/>
        <w:textAlignment w:val="auto"/>
        <w:rPr>
          <w:rFonts w:hint="eastAsia" w:ascii="宋体" w:hAnsi="宋体" w:eastAsia="宋体" w:cs="宋体"/>
          <w:color w:val="auto"/>
          <w:sz w:val="21"/>
          <w:szCs w:val="21"/>
        </w:rPr>
      </w:pPr>
    </w:p>
    <w:p w14:paraId="0A38D25D">
      <w:pPr>
        <w:keepNext w:val="0"/>
        <w:keepLines w:val="0"/>
        <w:pageBreakBefore w:val="0"/>
        <w:widowControl w:val="0"/>
        <w:kinsoku/>
        <w:wordWrap/>
        <w:overflowPunct/>
        <w:topLinePunct w:val="0"/>
        <w:bidi w:val="0"/>
        <w:adjustRightInd/>
        <w:snapToGrid/>
        <w:spacing w:line="600" w:lineRule="exact"/>
        <w:jc w:val="center"/>
        <w:textAlignment w:val="auto"/>
        <w:rPr>
          <w:rFonts w:hint="eastAsia" w:ascii="宋体" w:hAnsi="宋体" w:eastAsia="宋体" w:cs="宋体"/>
          <w:b/>
          <w:color w:val="auto"/>
          <w:spacing w:val="4"/>
          <w:w w:val="95"/>
          <w:sz w:val="21"/>
          <w:szCs w:val="21"/>
        </w:rPr>
      </w:pPr>
    </w:p>
    <w:p w14:paraId="75D080F6">
      <w:pPr>
        <w:keepNext w:val="0"/>
        <w:keepLines w:val="0"/>
        <w:pageBreakBefore w:val="0"/>
        <w:widowControl w:val="0"/>
        <w:kinsoku/>
        <w:wordWrap/>
        <w:overflowPunct/>
        <w:topLinePunct w:val="0"/>
        <w:bidi w:val="0"/>
        <w:adjustRightInd/>
        <w:snapToGrid/>
        <w:spacing w:line="600" w:lineRule="exact"/>
        <w:jc w:val="center"/>
        <w:textAlignment w:val="auto"/>
        <w:rPr>
          <w:rFonts w:hint="eastAsia" w:ascii="宋体" w:hAnsi="宋体" w:eastAsia="宋体" w:cs="宋体"/>
          <w:b/>
          <w:color w:val="auto"/>
          <w:sz w:val="21"/>
          <w:szCs w:val="21"/>
        </w:rPr>
      </w:pPr>
    </w:p>
    <w:p w14:paraId="77649F86">
      <w:pPr>
        <w:pStyle w:val="15"/>
        <w:keepNext w:val="0"/>
        <w:keepLines w:val="0"/>
        <w:pageBreakBefore w:val="0"/>
        <w:widowControl w:val="0"/>
        <w:kinsoku/>
        <w:wordWrap/>
        <w:overflowPunct/>
        <w:topLinePunct w:val="0"/>
        <w:bidi w:val="0"/>
        <w:adjustRightInd/>
        <w:snapToGrid/>
        <w:spacing w:line="600" w:lineRule="exact"/>
        <w:textAlignment w:val="auto"/>
        <w:rPr>
          <w:rFonts w:hint="eastAsia" w:ascii="宋体" w:hAnsi="宋体" w:eastAsia="宋体" w:cs="宋体"/>
          <w:b/>
          <w:color w:val="auto"/>
          <w:sz w:val="21"/>
          <w:szCs w:val="21"/>
        </w:rPr>
      </w:pPr>
    </w:p>
    <w:p w14:paraId="2F69FF7E">
      <w:pPr>
        <w:keepNext w:val="0"/>
        <w:keepLines w:val="0"/>
        <w:pageBreakBefore w:val="0"/>
        <w:widowControl w:val="0"/>
        <w:kinsoku/>
        <w:wordWrap/>
        <w:overflowPunct/>
        <w:topLinePunct w:val="0"/>
        <w:bidi w:val="0"/>
        <w:adjustRightInd/>
        <w:snapToGrid/>
        <w:spacing w:line="600" w:lineRule="exact"/>
        <w:textAlignment w:val="auto"/>
        <w:rPr>
          <w:rFonts w:hint="eastAsia" w:ascii="宋体" w:hAnsi="宋体" w:eastAsia="宋体" w:cs="宋体"/>
          <w:b/>
          <w:color w:val="auto"/>
          <w:sz w:val="21"/>
          <w:szCs w:val="21"/>
        </w:rPr>
      </w:pPr>
    </w:p>
    <w:p w14:paraId="01CC0BC5">
      <w:pPr>
        <w:keepNext w:val="0"/>
        <w:keepLines w:val="0"/>
        <w:pageBreakBefore w:val="0"/>
        <w:widowControl w:val="0"/>
        <w:kinsoku/>
        <w:wordWrap/>
        <w:overflowPunct/>
        <w:topLinePunct w:val="0"/>
        <w:bidi w:val="0"/>
        <w:adjustRightInd/>
        <w:snapToGrid/>
        <w:spacing w:line="600" w:lineRule="exact"/>
        <w:jc w:val="center"/>
        <w:textAlignment w:val="auto"/>
        <w:rPr>
          <w:rFonts w:hint="eastAsia" w:ascii="宋体" w:hAnsi="宋体" w:eastAsia="宋体" w:cs="宋体"/>
          <w:b/>
          <w:color w:val="auto"/>
          <w:sz w:val="21"/>
          <w:szCs w:val="21"/>
        </w:rPr>
      </w:pPr>
    </w:p>
    <w:p w14:paraId="4C743A51">
      <w:pPr>
        <w:pStyle w:val="2"/>
        <w:keepNext w:val="0"/>
        <w:keepLines w:val="0"/>
        <w:pageBreakBefore w:val="0"/>
        <w:widowControl w:val="0"/>
        <w:kinsoku/>
        <w:wordWrap/>
        <w:overflowPunct/>
        <w:topLinePunct w:val="0"/>
        <w:bidi w:val="0"/>
        <w:adjustRightInd/>
        <w:snapToGrid/>
        <w:spacing w:line="600" w:lineRule="exact"/>
        <w:textAlignment w:val="auto"/>
        <w:rPr>
          <w:rFonts w:hint="eastAsia"/>
          <w:color w:val="auto"/>
        </w:rPr>
      </w:pPr>
    </w:p>
    <w:p w14:paraId="5BEB3B59">
      <w:pPr>
        <w:keepNext w:val="0"/>
        <w:keepLines w:val="0"/>
        <w:pageBreakBefore w:val="0"/>
        <w:widowControl w:val="0"/>
        <w:kinsoku/>
        <w:wordWrap/>
        <w:overflowPunct/>
        <w:topLinePunct w:val="0"/>
        <w:bidi w:val="0"/>
        <w:adjustRightInd/>
        <w:snapToGrid/>
        <w:spacing w:line="600" w:lineRule="exact"/>
        <w:jc w:val="center"/>
        <w:textAlignment w:val="auto"/>
        <w:rPr>
          <w:rFonts w:hint="eastAsia" w:ascii="宋体" w:hAnsi="宋体" w:eastAsia="宋体" w:cs="宋体"/>
          <w:b/>
          <w:color w:val="auto"/>
          <w:sz w:val="36"/>
          <w:szCs w:val="36"/>
          <w:lang w:eastAsia="zh-CN"/>
        </w:rPr>
      </w:pPr>
      <w:r>
        <w:rPr>
          <w:rFonts w:hint="eastAsia" w:ascii="宋体" w:hAnsi="宋体" w:eastAsia="宋体" w:cs="宋体"/>
          <w:b/>
          <w:color w:val="auto"/>
          <w:sz w:val="36"/>
          <w:szCs w:val="36"/>
          <w:lang w:eastAsia="zh-CN"/>
        </w:rPr>
        <w:t>阳江市海陵岛经济开发试验区城市管理和综合执法局</w:t>
      </w:r>
    </w:p>
    <w:p w14:paraId="1DFD2610">
      <w:pPr>
        <w:keepNext w:val="0"/>
        <w:keepLines w:val="0"/>
        <w:pageBreakBefore w:val="0"/>
        <w:widowControl w:val="0"/>
        <w:kinsoku/>
        <w:wordWrap/>
        <w:overflowPunct/>
        <w:topLinePunct w:val="0"/>
        <w:bidi w:val="0"/>
        <w:adjustRightInd/>
        <w:snapToGrid/>
        <w:spacing w:line="600" w:lineRule="exact"/>
        <w:jc w:val="center"/>
        <w:textAlignment w:val="auto"/>
        <w:rPr>
          <w:rFonts w:hint="eastAsia" w:ascii="宋体" w:hAnsi="宋体" w:eastAsia="宋体" w:cs="宋体"/>
          <w:b/>
          <w:color w:val="auto"/>
          <w:sz w:val="36"/>
          <w:szCs w:val="36"/>
        </w:rPr>
      </w:pPr>
      <w:r>
        <w:rPr>
          <w:rFonts w:hint="eastAsia" w:ascii="宋体" w:hAnsi="宋体" w:eastAsia="宋体" w:cs="宋体"/>
          <w:b/>
          <w:color w:val="auto"/>
          <w:sz w:val="36"/>
          <w:szCs w:val="36"/>
        </w:rPr>
        <w:t>2022年03月</w:t>
      </w:r>
    </w:p>
    <w:p w14:paraId="0EBEDD07">
      <w:pPr>
        <w:keepNext w:val="0"/>
        <w:keepLines w:val="0"/>
        <w:pageBreakBefore w:val="0"/>
        <w:widowControl w:val="0"/>
        <w:tabs>
          <w:tab w:val="left" w:pos="0"/>
        </w:tabs>
        <w:kinsoku/>
        <w:wordWrap/>
        <w:overflowPunct/>
        <w:topLinePunct w:val="0"/>
        <w:autoSpaceDE w:val="0"/>
        <w:autoSpaceDN w:val="0"/>
        <w:bidi w:val="0"/>
        <w:adjustRightInd/>
        <w:snapToGrid/>
        <w:spacing w:line="600" w:lineRule="exact"/>
        <w:jc w:val="center"/>
        <w:textAlignment w:val="auto"/>
        <w:outlineLvl w:val="0"/>
        <w:rPr>
          <w:rFonts w:hint="eastAsia" w:ascii="宋体" w:hAnsi="宋体" w:eastAsia="宋体" w:cs="宋体"/>
          <w:b/>
          <w:bCs/>
          <w:color w:val="auto"/>
          <w:sz w:val="21"/>
          <w:szCs w:val="21"/>
        </w:rPr>
        <w:sectPr>
          <w:pgSz w:w="11906" w:h="16838"/>
          <w:pgMar w:top="1440" w:right="1417" w:bottom="1440" w:left="1417" w:header="851" w:footer="992" w:gutter="0"/>
          <w:cols w:space="720" w:num="1"/>
          <w:docGrid w:type="lines" w:linePitch="312" w:charSpace="0"/>
        </w:sectPr>
      </w:pPr>
      <w:bookmarkStart w:id="0" w:name="_Toc24851"/>
      <w:bookmarkStart w:id="1" w:name="_Toc11017"/>
    </w:p>
    <w:p w14:paraId="3DBA796C">
      <w:pPr>
        <w:keepNext w:val="0"/>
        <w:keepLines w:val="0"/>
        <w:pageBreakBefore w:val="0"/>
        <w:numPr>
          <w:ilvl w:val="0"/>
          <w:numId w:val="0"/>
        </w:numPr>
        <w:tabs>
          <w:tab w:val="left" w:pos="0"/>
        </w:tabs>
        <w:kinsoku/>
        <w:wordWrap/>
        <w:topLinePunct w:val="0"/>
        <w:autoSpaceDE w:val="0"/>
        <w:autoSpaceDN w:val="0"/>
        <w:bidi w:val="0"/>
        <w:snapToGrid/>
        <w:spacing w:line="460" w:lineRule="exact"/>
        <w:ind w:leftChars="0" w:firstLine="422" w:firstLineChars="200"/>
        <w:outlineLvl w:val="0"/>
        <w:rPr>
          <w:rFonts w:hint="eastAsia" w:ascii="宋体" w:hAnsi="宋体" w:eastAsia="宋体" w:cs="宋体"/>
          <w:b/>
          <w:bCs/>
          <w:color w:val="auto"/>
          <w:sz w:val="21"/>
          <w:szCs w:val="21"/>
        </w:rPr>
      </w:pPr>
      <w:r>
        <w:rPr>
          <w:rFonts w:hint="eastAsia" w:ascii="宋体" w:hAnsi="宋体" w:cs="宋体"/>
          <w:b/>
          <w:bCs/>
          <w:color w:val="auto"/>
          <w:sz w:val="21"/>
          <w:szCs w:val="21"/>
          <w:lang w:val="en-US" w:eastAsia="zh-CN"/>
        </w:rPr>
        <w:t>一、</w:t>
      </w:r>
      <w:r>
        <w:rPr>
          <w:rFonts w:hint="eastAsia" w:ascii="宋体" w:hAnsi="宋体" w:eastAsia="宋体" w:cs="宋体"/>
          <w:b/>
          <w:bCs/>
          <w:color w:val="auto"/>
          <w:sz w:val="21"/>
          <w:szCs w:val="21"/>
        </w:rPr>
        <w:t>采购一览表</w:t>
      </w:r>
    </w:p>
    <w:tbl>
      <w:tblPr>
        <w:tblStyle w:val="19"/>
        <w:tblW w:w="8168" w:type="dxa"/>
        <w:tblInd w:w="1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01"/>
        <w:gridCol w:w="1202"/>
        <w:gridCol w:w="4265"/>
      </w:tblGrid>
      <w:tr w14:paraId="07A7B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701" w:type="dxa"/>
            <w:vAlign w:val="center"/>
          </w:tcPr>
          <w:p w14:paraId="59B005E4">
            <w:pPr>
              <w:pStyle w:val="31"/>
              <w:keepNext w:val="0"/>
              <w:keepLines w:val="0"/>
              <w:pageBreakBefore w:val="0"/>
              <w:kinsoku/>
              <w:wordWrap/>
              <w:topLinePunct w:val="0"/>
              <w:bidi w:val="0"/>
              <w:snapToGrid/>
              <w:spacing w:before="109" w:line="460" w:lineRule="exact"/>
              <w:jc w:val="center"/>
              <w:rPr>
                <w:rFonts w:hint="eastAsia" w:ascii="宋体" w:hAnsi="宋体" w:eastAsia="宋体" w:cs="宋体"/>
                <w:b/>
                <w:color w:val="auto"/>
                <w:sz w:val="21"/>
                <w:szCs w:val="21"/>
              </w:rPr>
            </w:pPr>
            <w:r>
              <w:rPr>
                <w:rFonts w:hint="eastAsia" w:ascii="宋体" w:hAnsi="宋体" w:eastAsia="宋体" w:cs="宋体"/>
                <w:b/>
                <w:color w:val="auto"/>
                <w:sz w:val="21"/>
                <w:szCs w:val="21"/>
                <w:lang w:val="en-US"/>
              </w:rPr>
              <w:t>采购内容</w:t>
            </w:r>
          </w:p>
        </w:tc>
        <w:tc>
          <w:tcPr>
            <w:tcW w:w="1202" w:type="dxa"/>
            <w:vAlign w:val="center"/>
          </w:tcPr>
          <w:p w14:paraId="1E3BB82E">
            <w:pPr>
              <w:pStyle w:val="31"/>
              <w:keepNext w:val="0"/>
              <w:keepLines w:val="0"/>
              <w:pageBreakBefore w:val="0"/>
              <w:kinsoku/>
              <w:wordWrap/>
              <w:topLinePunct w:val="0"/>
              <w:bidi w:val="0"/>
              <w:snapToGrid/>
              <w:spacing w:before="109" w:line="460" w:lineRule="exact"/>
              <w:jc w:val="center"/>
              <w:rPr>
                <w:rFonts w:hint="eastAsia" w:ascii="宋体" w:hAnsi="宋体" w:eastAsia="宋体" w:cs="宋体"/>
                <w:b/>
                <w:color w:val="auto"/>
                <w:sz w:val="21"/>
                <w:szCs w:val="21"/>
              </w:rPr>
            </w:pPr>
            <w:r>
              <w:rPr>
                <w:rFonts w:hint="eastAsia" w:cs="宋体"/>
                <w:b/>
                <w:color w:val="auto"/>
                <w:sz w:val="21"/>
                <w:szCs w:val="21"/>
                <w:lang w:val="en-US" w:eastAsia="zh-CN"/>
              </w:rPr>
              <w:t>车位</w:t>
            </w:r>
            <w:r>
              <w:rPr>
                <w:rFonts w:hint="eastAsia" w:ascii="宋体" w:hAnsi="宋体" w:eastAsia="宋体" w:cs="宋体"/>
                <w:b/>
                <w:color w:val="auto"/>
                <w:sz w:val="21"/>
                <w:szCs w:val="21"/>
              </w:rPr>
              <w:t>数量</w:t>
            </w:r>
          </w:p>
        </w:tc>
        <w:tc>
          <w:tcPr>
            <w:tcW w:w="4265" w:type="dxa"/>
            <w:vAlign w:val="center"/>
          </w:tcPr>
          <w:p w14:paraId="4F169D49">
            <w:pPr>
              <w:pStyle w:val="31"/>
              <w:keepNext w:val="0"/>
              <w:keepLines w:val="0"/>
              <w:pageBreakBefore w:val="0"/>
              <w:kinsoku/>
              <w:wordWrap/>
              <w:topLinePunct w:val="0"/>
              <w:bidi w:val="0"/>
              <w:snapToGrid/>
              <w:spacing w:before="109" w:line="460" w:lineRule="exact"/>
              <w:jc w:val="center"/>
              <w:rPr>
                <w:rFonts w:hint="eastAsia" w:ascii="宋体" w:hAnsi="宋体" w:eastAsia="宋体" w:cs="宋体"/>
                <w:b/>
                <w:color w:val="auto"/>
                <w:sz w:val="21"/>
                <w:szCs w:val="21"/>
                <w:lang w:val="en-US"/>
              </w:rPr>
            </w:pPr>
            <w:r>
              <w:rPr>
                <w:rFonts w:hint="eastAsia" w:ascii="宋体" w:hAnsi="宋体" w:eastAsia="宋体" w:cs="宋体"/>
                <w:b/>
                <w:color w:val="auto"/>
                <w:sz w:val="21"/>
                <w:szCs w:val="21"/>
                <w:lang w:val="en-US"/>
              </w:rPr>
              <w:t>服务期</w:t>
            </w:r>
          </w:p>
        </w:tc>
      </w:tr>
      <w:tr w14:paraId="4DE38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 w:hRule="atLeast"/>
        </w:trPr>
        <w:tc>
          <w:tcPr>
            <w:tcW w:w="2701" w:type="dxa"/>
            <w:vAlign w:val="center"/>
          </w:tcPr>
          <w:p w14:paraId="4909C433">
            <w:pPr>
              <w:pStyle w:val="31"/>
              <w:keepNext w:val="0"/>
              <w:keepLines w:val="0"/>
              <w:pageBreakBefore w:val="0"/>
              <w:kinsoku/>
              <w:wordWrap/>
              <w:topLinePunct w:val="0"/>
              <w:bidi w:val="0"/>
              <w:snapToGrid/>
              <w:spacing w:before="109" w:line="460" w:lineRule="exact"/>
              <w:jc w:val="center"/>
              <w:rPr>
                <w:rFonts w:hint="eastAsia" w:ascii="宋体" w:hAnsi="宋体" w:eastAsia="宋体" w:cs="宋体"/>
                <w:color w:val="auto"/>
                <w:sz w:val="21"/>
                <w:szCs w:val="21"/>
                <w:lang w:eastAsia="zh-CN"/>
              </w:rPr>
            </w:pPr>
            <w:r>
              <w:rPr>
                <w:rFonts w:hint="eastAsia" w:cs="宋体"/>
                <w:color w:val="auto"/>
                <w:sz w:val="21"/>
                <w:szCs w:val="21"/>
                <w:lang w:eastAsia="zh-CN"/>
              </w:rPr>
              <w:t>海陵试验区智慧停车特许经营项目</w:t>
            </w:r>
          </w:p>
        </w:tc>
        <w:tc>
          <w:tcPr>
            <w:tcW w:w="1202" w:type="dxa"/>
            <w:vAlign w:val="center"/>
          </w:tcPr>
          <w:p w14:paraId="03A1BB99">
            <w:pPr>
              <w:pStyle w:val="31"/>
              <w:keepNext w:val="0"/>
              <w:keepLines w:val="0"/>
              <w:pageBreakBefore w:val="0"/>
              <w:kinsoku/>
              <w:wordWrap/>
              <w:topLinePunct w:val="0"/>
              <w:bidi w:val="0"/>
              <w:snapToGrid/>
              <w:spacing w:before="109" w:line="460" w:lineRule="exact"/>
              <w:jc w:val="center"/>
              <w:rPr>
                <w:rFonts w:hint="default" w:ascii="宋体" w:hAnsi="宋体" w:eastAsia="宋体" w:cs="宋体"/>
                <w:color w:val="auto"/>
                <w:sz w:val="21"/>
                <w:szCs w:val="21"/>
                <w:lang w:val="en-US" w:eastAsia="zh-CN"/>
              </w:rPr>
            </w:pPr>
            <w:r>
              <w:rPr>
                <w:rFonts w:hint="eastAsia" w:cs="宋体"/>
                <w:color w:val="auto"/>
                <w:sz w:val="21"/>
                <w:szCs w:val="21"/>
                <w:lang w:val="en-US" w:eastAsia="zh-CN"/>
              </w:rPr>
              <w:t>2530个</w:t>
            </w:r>
          </w:p>
        </w:tc>
        <w:tc>
          <w:tcPr>
            <w:tcW w:w="4265" w:type="dxa"/>
            <w:vAlign w:val="center"/>
          </w:tcPr>
          <w:p w14:paraId="3062EC53">
            <w:pPr>
              <w:pStyle w:val="31"/>
              <w:keepNext w:val="0"/>
              <w:keepLines w:val="0"/>
              <w:pageBreakBefore w:val="0"/>
              <w:kinsoku/>
              <w:wordWrap/>
              <w:topLinePunct w:val="0"/>
              <w:bidi w:val="0"/>
              <w:snapToGrid/>
              <w:spacing w:before="109" w:line="460" w:lineRule="exact"/>
              <w:jc w:val="center"/>
              <w:rPr>
                <w:rFonts w:hint="eastAsia" w:ascii="宋体" w:hAnsi="宋体" w:eastAsia="宋体" w:cs="宋体"/>
                <w:color w:val="auto"/>
                <w:sz w:val="21"/>
                <w:szCs w:val="21"/>
                <w:lang w:val="en-US"/>
              </w:rPr>
            </w:pPr>
            <w:r>
              <w:rPr>
                <w:rFonts w:hint="eastAsia" w:ascii="宋体" w:hAnsi="宋体" w:eastAsia="宋体" w:cs="宋体"/>
                <w:color w:val="auto"/>
                <w:sz w:val="21"/>
                <w:szCs w:val="21"/>
                <w:lang w:val="en-US"/>
              </w:rPr>
              <w:t>共</w:t>
            </w:r>
            <w:r>
              <w:rPr>
                <w:rFonts w:hint="eastAsia" w:cs="宋体"/>
                <w:color w:val="auto"/>
                <w:sz w:val="21"/>
                <w:szCs w:val="21"/>
                <w:lang w:val="en-US" w:eastAsia="zh-CN"/>
              </w:rPr>
              <w:t>十二</w:t>
            </w:r>
            <w:r>
              <w:rPr>
                <w:rFonts w:hint="eastAsia" w:ascii="宋体" w:hAnsi="宋体" w:eastAsia="宋体" w:cs="宋体"/>
                <w:color w:val="auto"/>
                <w:sz w:val="21"/>
                <w:szCs w:val="21"/>
                <w:lang w:val="en-US"/>
              </w:rPr>
              <w:t>年，其中建设期</w:t>
            </w:r>
            <w:r>
              <w:rPr>
                <w:rFonts w:hint="eastAsia" w:cs="宋体"/>
                <w:color w:val="auto"/>
                <w:sz w:val="21"/>
                <w:szCs w:val="21"/>
                <w:lang w:val="en-US" w:eastAsia="zh-CN"/>
              </w:rPr>
              <w:t>二</w:t>
            </w:r>
            <w:r>
              <w:rPr>
                <w:rFonts w:hint="eastAsia" w:ascii="宋体" w:hAnsi="宋体" w:eastAsia="宋体" w:cs="宋体"/>
                <w:color w:val="auto"/>
                <w:sz w:val="21"/>
                <w:szCs w:val="21"/>
                <w:lang w:val="en-US"/>
              </w:rPr>
              <w:t>年，运营期</w:t>
            </w:r>
            <w:r>
              <w:rPr>
                <w:rFonts w:hint="eastAsia" w:cs="宋体"/>
                <w:color w:val="auto"/>
                <w:sz w:val="21"/>
                <w:szCs w:val="21"/>
                <w:lang w:val="en-US" w:eastAsia="zh-CN"/>
              </w:rPr>
              <w:t>十</w:t>
            </w:r>
            <w:r>
              <w:rPr>
                <w:rFonts w:hint="eastAsia" w:ascii="宋体" w:hAnsi="宋体" w:eastAsia="宋体" w:cs="宋体"/>
                <w:color w:val="auto"/>
                <w:sz w:val="21"/>
                <w:szCs w:val="21"/>
                <w:lang w:val="en-US"/>
              </w:rPr>
              <w:t>年</w:t>
            </w:r>
          </w:p>
        </w:tc>
      </w:tr>
    </w:tbl>
    <w:p w14:paraId="4EA75B62">
      <w:pPr>
        <w:keepNext w:val="0"/>
        <w:keepLines w:val="0"/>
        <w:pageBreakBefore w:val="0"/>
        <w:numPr>
          <w:ilvl w:val="0"/>
          <w:numId w:val="0"/>
        </w:numPr>
        <w:tabs>
          <w:tab w:val="left" w:pos="0"/>
        </w:tabs>
        <w:kinsoku/>
        <w:wordWrap/>
        <w:topLinePunct w:val="0"/>
        <w:autoSpaceDE w:val="0"/>
        <w:autoSpaceDN w:val="0"/>
        <w:bidi w:val="0"/>
        <w:snapToGrid/>
        <w:spacing w:line="460" w:lineRule="exact"/>
        <w:ind w:leftChars="0" w:firstLine="422" w:firstLineChars="200"/>
        <w:outlineLvl w:val="0"/>
        <w:rPr>
          <w:rFonts w:hint="eastAsia" w:ascii="宋体" w:hAnsi="宋体" w:eastAsia="宋体" w:cs="宋体"/>
          <w:b/>
          <w:bCs/>
          <w:color w:val="auto"/>
          <w:sz w:val="21"/>
          <w:szCs w:val="21"/>
        </w:rPr>
      </w:pPr>
      <w:r>
        <w:rPr>
          <w:rFonts w:hint="eastAsia" w:ascii="宋体" w:hAnsi="宋体" w:cs="宋体"/>
          <w:b/>
          <w:bCs/>
          <w:color w:val="auto"/>
          <w:sz w:val="21"/>
          <w:szCs w:val="21"/>
          <w:lang w:val="en-US" w:eastAsia="zh-CN"/>
        </w:rPr>
        <w:t>二、</w:t>
      </w:r>
      <w:r>
        <w:rPr>
          <w:rFonts w:hint="eastAsia" w:ascii="宋体" w:hAnsi="宋体" w:eastAsia="宋体" w:cs="宋体"/>
          <w:b/>
          <w:bCs/>
          <w:color w:val="auto"/>
          <w:sz w:val="21"/>
          <w:szCs w:val="21"/>
        </w:rPr>
        <w:t>申请人的资格要求：</w:t>
      </w:r>
      <w:bookmarkEnd w:id="0"/>
      <w:bookmarkEnd w:id="1"/>
    </w:p>
    <w:p w14:paraId="6263983A">
      <w:pPr>
        <w:keepNext w:val="0"/>
        <w:keepLines w:val="0"/>
        <w:pageBreakBefore w:val="0"/>
        <w:numPr>
          <w:ilvl w:val="0"/>
          <w:numId w:val="0"/>
        </w:numPr>
        <w:kinsoku/>
        <w:wordWrap/>
        <w:topLinePunct w:val="0"/>
        <w:bidi w:val="0"/>
        <w:snapToGrid/>
        <w:spacing w:line="460" w:lineRule="exact"/>
        <w:ind w:leftChars="0" w:firstLine="420" w:firstLineChars="200"/>
        <w:rPr>
          <w:rFonts w:hint="eastAsia" w:ascii="宋体" w:hAnsi="宋体" w:eastAsia="宋体" w:cs="宋体"/>
          <w:color w:val="auto"/>
          <w:sz w:val="21"/>
          <w:szCs w:val="21"/>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一</w:t>
      </w:r>
      <w:r>
        <w:rPr>
          <w:rFonts w:hint="eastAsia" w:ascii="宋体" w:hAnsi="宋体" w:cs="宋体"/>
          <w:color w:val="auto"/>
          <w:sz w:val="21"/>
          <w:szCs w:val="21"/>
          <w:lang w:eastAsia="zh-CN"/>
        </w:rPr>
        <w:t>）</w:t>
      </w:r>
      <w:r>
        <w:rPr>
          <w:rFonts w:hint="eastAsia" w:ascii="宋体" w:hAnsi="宋体" w:eastAsia="宋体" w:cs="宋体"/>
          <w:color w:val="auto"/>
          <w:sz w:val="21"/>
          <w:szCs w:val="21"/>
        </w:rPr>
        <w:t>满足《中华人民共和国政府采购法》第二十二条规定；</w:t>
      </w:r>
    </w:p>
    <w:p w14:paraId="6C780920">
      <w:pPr>
        <w:keepNext w:val="0"/>
        <w:keepLines w:val="0"/>
        <w:pageBreakBefore w:val="0"/>
        <w:numPr>
          <w:ilvl w:val="0"/>
          <w:numId w:val="0"/>
        </w:numPr>
        <w:kinsoku/>
        <w:wordWrap/>
        <w:topLinePunct w:val="0"/>
        <w:autoSpaceDE w:val="0"/>
        <w:autoSpaceDN w:val="0"/>
        <w:bidi w:val="0"/>
        <w:snapToGrid/>
        <w:spacing w:line="460" w:lineRule="exact"/>
        <w:ind w:leftChars="0" w:firstLine="420" w:firstLineChars="200"/>
        <w:rPr>
          <w:rFonts w:hint="eastAsia" w:ascii="宋体" w:hAnsi="宋体" w:eastAsia="宋体" w:cs="宋体"/>
          <w:color w:val="auto"/>
          <w:sz w:val="21"/>
          <w:szCs w:val="21"/>
        </w:rPr>
      </w:pPr>
      <w:r>
        <w:rPr>
          <w:rFonts w:hint="eastAsia" w:ascii="宋体" w:hAnsi="宋体" w:cs="宋体"/>
          <w:color w:val="auto"/>
          <w:sz w:val="21"/>
          <w:szCs w:val="21"/>
          <w:lang w:val="en-US" w:eastAsia="zh-CN"/>
        </w:rPr>
        <w:t>1、</w:t>
      </w:r>
      <w:r>
        <w:rPr>
          <w:rFonts w:hint="eastAsia" w:ascii="宋体" w:hAnsi="宋体" w:eastAsia="宋体" w:cs="宋体"/>
          <w:color w:val="auto"/>
          <w:sz w:val="21"/>
          <w:szCs w:val="21"/>
        </w:rPr>
        <w:t>具有独立承担民事责任的能力：提供在中华人民共和国境内注册的法人或其他组织的营业执照或事业单位法人证书或社会团体法人登记证书复印件，如响应供应商为自然人的提供自然人身份证明复印件；如国家另有规定的，则从其规定；（如供应商为分公司，须取得具有法人资格的总公司（总所）出具给分公司的授权书，并提供总公司（总所）和分公司的营业执照（执业许可证）复印件。已由总公司（总所）授权的，总公司（总所）取得的相关资质证书对分公司有效，法律法规或者行业另有规定的除外。）。</w:t>
      </w:r>
    </w:p>
    <w:p w14:paraId="5C7DF981">
      <w:pPr>
        <w:keepNext w:val="0"/>
        <w:keepLines w:val="0"/>
        <w:pageBreakBefore w:val="0"/>
        <w:numPr>
          <w:ilvl w:val="0"/>
          <w:numId w:val="0"/>
        </w:numPr>
        <w:kinsoku/>
        <w:wordWrap/>
        <w:topLinePunct w:val="0"/>
        <w:autoSpaceDE w:val="0"/>
        <w:autoSpaceDN w:val="0"/>
        <w:bidi w:val="0"/>
        <w:snapToGrid/>
        <w:spacing w:line="460" w:lineRule="exact"/>
        <w:ind w:leftChars="0" w:firstLine="420" w:firstLineChars="200"/>
        <w:rPr>
          <w:rFonts w:hint="eastAsia" w:ascii="宋体" w:hAnsi="宋体" w:eastAsia="宋体" w:cs="宋体"/>
          <w:color w:val="auto"/>
          <w:sz w:val="21"/>
          <w:szCs w:val="21"/>
        </w:rPr>
      </w:pPr>
      <w:r>
        <w:rPr>
          <w:rFonts w:hint="eastAsia" w:ascii="宋体" w:hAnsi="宋体" w:cs="宋体"/>
          <w:color w:val="auto"/>
          <w:sz w:val="21"/>
          <w:szCs w:val="21"/>
          <w:lang w:val="en-US" w:eastAsia="zh-CN"/>
        </w:rPr>
        <w:t>2、</w:t>
      </w:r>
      <w:r>
        <w:rPr>
          <w:rFonts w:hint="eastAsia" w:ascii="宋体" w:hAnsi="宋体" w:eastAsia="宋体" w:cs="宋体"/>
          <w:color w:val="auto"/>
          <w:sz w:val="21"/>
          <w:szCs w:val="21"/>
        </w:rPr>
        <w:t>有依法缴纳税收和社会保障资金的良好记录：提供2021年至今任意1个月依法缴纳税收和社会保障资金的相关材料。如依法免税或不需要缴纳社会保障资金的，提供相应证明材料；</w:t>
      </w:r>
    </w:p>
    <w:p w14:paraId="163A3427">
      <w:pPr>
        <w:keepNext w:val="0"/>
        <w:keepLines w:val="0"/>
        <w:pageBreakBefore w:val="0"/>
        <w:numPr>
          <w:ilvl w:val="0"/>
          <w:numId w:val="0"/>
        </w:numPr>
        <w:kinsoku/>
        <w:wordWrap/>
        <w:topLinePunct w:val="0"/>
        <w:autoSpaceDE w:val="0"/>
        <w:autoSpaceDN w:val="0"/>
        <w:bidi w:val="0"/>
        <w:snapToGrid/>
        <w:spacing w:line="460" w:lineRule="exact"/>
        <w:ind w:leftChars="0" w:firstLine="420" w:firstLineChars="200"/>
        <w:rPr>
          <w:rFonts w:hint="eastAsia" w:ascii="宋体" w:hAnsi="宋体" w:eastAsia="宋体" w:cs="宋体"/>
          <w:color w:val="auto"/>
          <w:sz w:val="21"/>
          <w:szCs w:val="21"/>
        </w:rPr>
      </w:pPr>
      <w:r>
        <w:rPr>
          <w:rFonts w:hint="eastAsia" w:ascii="宋体" w:hAnsi="宋体" w:cs="宋体"/>
          <w:color w:val="auto"/>
          <w:sz w:val="21"/>
          <w:szCs w:val="21"/>
          <w:lang w:val="en-US" w:eastAsia="zh-CN"/>
        </w:rPr>
        <w:t>3、</w:t>
      </w:r>
      <w:r>
        <w:rPr>
          <w:rFonts w:hint="eastAsia" w:ascii="宋体" w:hAnsi="宋体" w:eastAsia="宋体" w:cs="宋体"/>
          <w:color w:val="auto"/>
          <w:sz w:val="21"/>
          <w:szCs w:val="21"/>
        </w:rPr>
        <w:t>具有良好的商业信誉和健全的财务会计制度，提供以下任意一项证明材料：①提供2021年度财务状况报告或2021年至今任意1个月的财务报表，内容含盖资产负债表和利润表和现金流量表②基本户开户银行出具的资信证明，并提供开户许可证（适用于法人或其他组织）③中国人民银行出具的个人信用报告（适用于自然人）；</w:t>
      </w:r>
    </w:p>
    <w:p w14:paraId="0D60579B">
      <w:pPr>
        <w:keepNext w:val="0"/>
        <w:keepLines w:val="0"/>
        <w:pageBreakBefore w:val="0"/>
        <w:numPr>
          <w:ilvl w:val="0"/>
          <w:numId w:val="0"/>
        </w:numPr>
        <w:kinsoku/>
        <w:wordWrap/>
        <w:topLinePunct w:val="0"/>
        <w:autoSpaceDE w:val="0"/>
        <w:autoSpaceDN w:val="0"/>
        <w:bidi w:val="0"/>
        <w:snapToGrid/>
        <w:spacing w:line="460" w:lineRule="exact"/>
        <w:ind w:leftChars="0" w:firstLine="420" w:firstLineChars="200"/>
        <w:rPr>
          <w:rFonts w:hint="eastAsia" w:ascii="宋体" w:hAnsi="宋体" w:eastAsia="宋体" w:cs="宋体"/>
          <w:color w:val="auto"/>
          <w:sz w:val="21"/>
          <w:szCs w:val="21"/>
        </w:rPr>
      </w:pPr>
      <w:r>
        <w:rPr>
          <w:rFonts w:hint="eastAsia" w:ascii="宋体" w:hAnsi="宋体" w:cs="宋体"/>
          <w:color w:val="auto"/>
          <w:sz w:val="21"/>
          <w:szCs w:val="21"/>
          <w:lang w:val="en-US" w:eastAsia="zh-CN"/>
        </w:rPr>
        <w:t>4、</w:t>
      </w:r>
      <w:r>
        <w:rPr>
          <w:rFonts w:hint="eastAsia" w:ascii="宋体" w:hAnsi="宋体" w:eastAsia="宋体" w:cs="宋体"/>
          <w:color w:val="auto"/>
          <w:sz w:val="21"/>
          <w:szCs w:val="21"/>
        </w:rPr>
        <w:t>履行合同所必需的设备和专业技术能力：按投标（响应）文件格式填报设备及专业技术能力情况（提供签署及盖章合格的《资格声明函》）；</w:t>
      </w:r>
    </w:p>
    <w:p w14:paraId="49EBBF45">
      <w:pPr>
        <w:keepNext w:val="0"/>
        <w:keepLines w:val="0"/>
        <w:pageBreakBefore w:val="0"/>
        <w:numPr>
          <w:ilvl w:val="0"/>
          <w:numId w:val="0"/>
        </w:numPr>
        <w:kinsoku/>
        <w:wordWrap/>
        <w:topLinePunct w:val="0"/>
        <w:autoSpaceDE w:val="0"/>
        <w:autoSpaceDN w:val="0"/>
        <w:bidi w:val="0"/>
        <w:snapToGrid/>
        <w:spacing w:line="460" w:lineRule="exact"/>
        <w:ind w:leftChars="0" w:firstLine="420" w:firstLineChars="200"/>
        <w:rPr>
          <w:rFonts w:hint="eastAsia" w:ascii="宋体" w:hAnsi="宋体" w:eastAsia="宋体" w:cs="宋体"/>
          <w:color w:val="auto"/>
          <w:sz w:val="21"/>
          <w:szCs w:val="21"/>
        </w:rPr>
      </w:pPr>
      <w:r>
        <w:rPr>
          <w:rFonts w:hint="eastAsia" w:ascii="宋体" w:hAnsi="宋体" w:cs="宋体"/>
          <w:color w:val="auto"/>
          <w:sz w:val="21"/>
          <w:szCs w:val="21"/>
          <w:lang w:val="en-US" w:eastAsia="zh-CN"/>
        </w:rPr>
        <w:t>5、</w:t>
      </w:r>
      <w:r>
        <w:rPr>
          <w:rFonts w:hint="eastAsia" w:ascii="宋体" w:hAnsi="宋体" w:eastAsia="宋体" w:cs="宋体"/>
          <w:color w:val="auto"/>
          <w:sz w:val="21"/>
          <w:szCs w:val="21"/>
        </w:rPr>
        <w:t>参加采购活动前3年内，在经营活动中没有重大违法记录：（提供签署及盖章合格的《资格声明函》）。重大违法记录，是指供应商因违法经营受到刑事处罚或者责令停产停业、吊销许可证或者执照、较大数额罚款等行政处罚。（较大数额罚款按照发出行政处罚决定书部门所在省级政府，或实行垂直领导的国务院有关行政主管部门制定的较大数额罚款标准，或罚款决定之前需要举行听证会的金额标准来认定）；</w:t>
      </w:r>
    </w:p>
    <w:p w14:paraId="1C72EF08">
      <w:pPr>
        <w:keepNext w:val="0"/>
        <w:keepLines w:val="0"/>
        <w:pageBreakBefore w:val="0"/>
        <w:numPr>
          <w:ilvl w:val="0"/>
          <w:numId w:val="0"/>
        </w:numPr>
        <w:kinsoku/>
        <w:wordWrap/>
        <w:topLinePunct w:val="0"/>
        <w:bidi w:val="0"/>
        <w:snapToGrid/>
        <w:spacing w:line="460" w:lineRule="exact"/>
        <w:ind w:leftChars="0" w:firstLine="420" w:firstLineChars="200"/>
        <w:rPr>
          <w:rFonts w:hint="eastAsia" w:ascii="宋体" w:hAnsi="宋体" w:eastAsia="宋体" w:cs="宋体"/>
          <w:color w:val="auto"/>
          <w:sz w:val="21"/>
          <w:szCs w:val="21"/>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二</w:t>
      </w:r>
      <w:r>
        <w:rPr>
          <w:rFonts w:hint="eastAsia" w:ascii="宋体" w:hAnsi="宋体" w:cs="宋体"/>
          <w:color w:val="auto"/>
          <w:sz w:val="21"/>
          <w:szCs w:val="21"/>
          <w:lang w:eastAsia="zh-CN"/>
        </w:rPr>
        <w:t>）</w:t>
      </w:r>
      <w:r>
        <w:rPr>
          <w:rFonts w:hint="eastAsia" w:ascii="宋体" w:hAnsi="宋体" w:eastAsia="宋体" w:cs="宋体"/>
          <w:color w:val="auto"/>
          <w:sz w:val="21"/>
          <w:szCs w:val="21"/>
        </w:rPr>
        <w:t>落实政府采购政策需满足的资格要求：无。</w:t>
      </w:r>
    </w:p>
    <w:p w14:paraId="15FFFA71">
      <w:pPr>
        <w:keepNext w:val="0"/>
        <w:keepLines w:val="0"/>
        <w:pageBreakBefore w:val="0"/>
        <w:numPr>
          <w:ilvl w:val="0"/>
          <w:numId w:val="0"/>
        </w:numPr>
        <w:kinsoku/>
        <w:wordWrap/>
        <w:topLinePunct w:val="0"/>
        <w:bidi w:val="0"/>
        <w:snapToGrid/>
        <w:spacing w:line="460" w:lineRule="exact"/>
        <w:ind w:leftChars="0" w:firstLine="420" w:firstLineChars="200"/>
        <w:rPr>
          <w:rFonts w:hint="eastAsia" w:ascii="宋体" w:hAnsi="宋体" w:eastAsia="宋体" w:cs="宋体"/>
          <w:color w:val="auto"/>
          <w:sz w:val="21"/>
          <w:szCs w:val="21"/>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三</w:t>
      </w:r>
      <w:r>
        <w:rPr>
          <w:rFonts w:hint="eastAsia" w:ascii="宋体" w:hAnsi="宋体" w:cs="宋体"/>
          <w:color w:val="auto"/>
          <w:sz w:val="21"/>
          <w:szCs w:val="21"/>
          <w:lang w:eastAsia="zh-CN"/>
        </w:rPr>
        <w:t>）</w:t>
      </w:r>
      <w:r>
        <w:rPr>
          <w:rFonts w:hint="eastAsia" w:ascii="宋体" w:hAnsi="宋体" w:eastAsia="宋体" w:cs="宋体"/>
          <w:color w:val="auto"/>
          <w:sz w:val="21"/>
          <w:szCs w:val="21"/>
        </w:rPr>
        <w:t>本项目的特定资格要求：</w:t>
      </w:r>
    </w:p>
    <w:p w14:paraId="16EF812A">
      <w:pPr>
        <w:keepNext w:val="0"/>
        <w:keepLines w:val="0"/>
        <w:pageBreakBefore w:val="0"/>
        <w:kinsoku/>
        <w:wordWrap/>
        <w:topLinePunct w:val="0"/>
        <w:bidi w:val="0"/>
        <w:snapToGrid/>
        <w:spacing w:line="460" w:lineRule="exact"/>
        <w:ind w:firstLine="420" w:firstLineChars="200"/>
        <w:rPr>
          <w:rFonts w:hint="eastAsia" w:ascii="宋体" w:hAnsi="宋体" w:eastAsia="宋体" w:cs="宋体"/>
          <w:color w:val="auto"/>
          <w:sz w:val="21"/>
          <w:szCs w:val="21"/>
        </w:rPr>
      </w:pPr>
      <w:r>
        <w:rPr>
          <w:rFonts w:hint="eastAsia" w:ascii="宋体" w:hAnsi="宋体" w:cs="宋体"/>
          <w:color w:val="auto"/>
          <w:sz w:val="21"/>
          <w:szCs w:val="21"/>
          <w:lang w:val="en-US" w:eastAsia="zh-CN"/>
        </w:rPr>
        <w:t>1、</w:t>
      </w:r>
      <w:r>
        <w:rPr>
          <w:rFonts w:hint="eastAsia" w:ascii="宋体" w:hAnsi="宋体" w:eastAsia="宋体" w:cs="宋体"/>
          <w:color w:val="auto"/>
          <w:sz w:val="21"/>
          <w:szCs w:val="21"/>
        </w:rPr>
        <w:t>供应商未被列入“信用中国”网站(www.creditchina.gov.cn)“记录失信被执行人或重大税收违法案件当事人名单”记录名单；不处于中国政府采购网(www.ccgp.gov.cn)“政府采购严重违法失信行为信息记录”中的禁止参加政府采购活动期间。（以采购代理机构于投标（响应）截止时间当天在“信用中国”网站（www.creditchina.gov.cn）及中国政府采购网（http://www.ccgp.gov.cn/）查询结果为准，如相关失信记录已失效，供应商需提供相关证明资料）。</w:t>
      </w:r>
    </w:p>
    <w:p w14:paraId="151A31D9">
      <w:pPr>
        <w:keepNext w:val="0"/>
        <w:keepLines w:val="0"/>
        <w:pageBreakBefore w:val="0"/>
        <w:kinsoku/>
        <w:wordWrap/>
        <w:topLinePunct w:val="0"/>
        <w:bidi w:val="0"/>
        <w:snapToGrid/>
        <w:spacing w:line="460" w:lineRule="exact"/>
        <w:ind w:firstLine="420" w:firstLineChars="200"/>
        <w:rPr>
          <w:rFonts w:hint="eastAsia" w:ascii="宋体" w:hAnsi="宋体" w:eastAsia="宋体" w:cs="宋体"/>
          <w:color w:val="auto"/>
          <w:sz w:val="21"/>
          <w:szCs w:val="21"/>
        </w:rPr>
      </w:pPr>
      <w:r>
        <w:rPr>
          <w:rFonts w:hint="eastAsia" w:ascii="宋体" w:hAnsi="宋体" w:cs="宋体"/>
          <w:color w:val="auto"/>
          <w:sz w:val="21"/>
          <w:szCs w:val="21"/>
          <w:lang w:val="en-US" w:eastAsia="zh-CN"/>
        </w:rPr>
        <w:t>2、</w:t>
      </w:r>
      <w:r>
        <w:rPr>
          <w:rFonts w:hint="eastAsia" w:ascii="宋体" w:hAnsi="宋体" w:eastAsia="宋体" w:cs="宋体"/>
          <w:color w:val="auto"/>
          <w:sz w:val="21"/>
          <w:szCs w:val="21"/>
        </w:rPr>
        <w:t>单位负责人为同一人或者存在直接控股、管理关系的不同供应商，不得同时参加本采购项目（或采购包）投标（响应）。为本项目提供整体设计、规范编制或者项目管理、监理、检测等服务的供应商，不得再参与本项目投标（响应）。提供签署及盖章合格的《资格声明函》）。</w:t>
      </w:r>
    </w:p>
    <w:p w14:paraId="70974226">
      <w:pPr>
        <w:keepNext w:val="0"/>
        <w:keepLines w:val="0"/>
        <w:pageBreakBefore w:val="0"/>
        <w:kinsoku/>
        <w:wordWrap/>
        <w:topLinePunct w:val="0"/>
        <w:bidi w:val="0"/>
        <w:snapToGrid/>
        <w:spacing w:line="460" w:lineRule="exact"/>
        <w:ind w:firstLine="420" w:firstLineChars="200"/>
        <w:rPr>
          <w:rFonts w:hint="eastAsia" w:ascii="宋体" w:hAnsi="宋体" w:eastAsia="宋体" w:cs="宋体"/>
          <w:color w:val="auto"/>
          <w:sz w:val="21"/>
          <w:szCs w:val="21"/>
        </w:rPr>
      </w:pPr>
      <w:r>
        <w:rPr>
          <w:rFonts w:hint="eastAsia" w:ascii="宋体" w:hAnsi="宋体" w:cs="宋体"/>
          <w:color w:val="auto"/>
          <w:sz w:val="21"/>
          <w:szCs w:val="21"/>
          <w:lang w:val="en-US" w:eastAsia="zh-CN"/>
        </w:rPr>
        <w:t>3、</w:t>
      </w:r>
      <w:r>
        <w:rPr>
          <w:rFonts w:hint="eastAsia" w:ascii="宋体" w:hAnsi="宋体" w:eastAsia="宋体" w:cs="宋体"/>
          <w:color w:val="auto"/>
          <w:sz w:val="21"/>
          <w:szCs w:val="21"/>
        </w:rPr>
        <w:t>已登记报名并获取本项目采购文件。</w:t>
      </w:r>
    </w:p>
    <w:p w14:paraId="470689AE">
      <w:pPr>
        <w:keepNext w:val="0"/>
        <w:keepLines w:val="0"/>
        <w:pageBreakBefore w:val="0"/>
        <w:kinsoku/>
        <w:wordWrap/>
        <w:topLinePunct w:val="0"/>
        <w:bidi w:val="0"/>
        <w:snapToGrid/>
        <w:spacing w:line="460" w:lineRule="exact"/>
        <w:ind w:firstLine="420" w:firstLineChars="200"/>
        <w:rPr>
          <w:rFonts w:hint="eastAsia" w:ascii="宋体" w:hAnsi="宋体" w:eastAsia="宋体" w:cs="宋体"/>
          <w:color w:val="auto"/>
          <w:sz w:val="21"/>
          <w:szCs w:val="21"/>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四</w:t>
      </w:r>
      <w:r>
        <w:rPr>
          <w:rFonts w:hint="eastAsia" w:ascii="宋体" w:hAnsi="宋体" w:cs="宋体"/>
          <w:color w:val="auto"/>
          <w:sz w:val="21"/>
          <w:szCs w:val="21"/>
          <w:lang w:eastAsia="zh-CN"/>
        </w:rPr>
        <w:t>）</w:t>
      </w:r>
      <w:r>
        <w:rPr>
          <w:rFonts w:hint="eastAsia" w:ascii="宋体" w:hAnsi="宋体" w:eastAsia="宋体" w:cs="宋体"/>
          <w:color w:val="auto"/>
          <w:sz w:val="21"/>
          <w:szCs w:val="21"/>
        </w:rPr>
        <w:t>本项目不接受联合体投标。</w:t>
      </w:r>
    </w:p>
    <w:p w14:paraId="03C43027">
      <w:pPr>
        <w:keepNext w:val="0"/>
        <w:keepLines w:val="0"/>
        <w:pageBreakBefore w:val="0"/>
        <w:kinsoku/>
        <w:wordWrap/>
        <w:topLinePunct w:val="0"/>
        <w:bidi w:val="0"/>
        <w:snapToGrid/>
        <w:spacing w:line="460" w:lineRule="exact"/>
        <w:rPr>
          <w:rFonts w:hint="eastAsia" w:ascii="宋体" w:hAnsi="宋体" w:eastAsia="宋体" w:cs="宋体"/>
          <w:b/>
          <w:bCs/>
          <w:color w:val="auto"/>
          <w:sz w:val="21"/>
          <w:szCs w:val="21"/>
        </w:rPr>
      </w:pPr>
      <w:r>
        <w:rPr>
          <w:rFonts w:hint="eastAsia" w:ascii="宋体" w:hAnsi="宋体" w:eastAsia="宋体" w:cs="宋体"/>
          <w:b/>
          <w:bCs/>
          <w:color w:val="auto"/>
          <w:sz w:val="21"/>
          <w:szCs w:val="21"/>
        </w:rPr>
        <w:br w:type="page"/>
      </w:r>
    </w:p>
    <w:p w14:paraId="34EFCF7C">
      <w:pPr>
        <w:keepNext w:val="0"/>
        <w:keepLines w:val="0"/>
        <w:pageBreakBefore w:val="0"/>
        <w:kinsoku/>
        <w:wordWrap/>
        <w:topLinePunct w:val="0"/>
        <w:bidi w:val="0"/>
        <w:snapToGrid/>
        <w:spacing w:line="460" w:lineRule="exact"/>
        <w:jc w:val="center"/>
        <w:outlineLvl w:val="0"/>
        <w:rPr>
          <w:rFonts w:hint="eastAsia" w:ascii="宋体" w:hAnsi="宋体" w:eastAsia="宋体" w:cs="宋体"/>
          <w:b/>
          <w:bCs/>
          <w:color w:val="auto"/>
          <w:sz w:val="28"/>
          <w:szCs w:val="28"/>
        </w:rPr>
      </w:pPr>
      <w:r>
        <w:rPr>
          <w:rFonts w:hint="eastAsia" w:ascii="宋体" w:hAnsi="宋体" w:eastAsia="宋体" w:cs="宋体"/>
          <w:b/>
          <w:bCs/>
          <w:color w:val="auto"/>
          <w:sz w:val="28"/>
          <w:szCs w:val="28"/>
        </w:rPr>
        <w:t>技术商务要求</w:t>
      </w:r>
    </w:p>
    <w:p w14:paraId="3DA47DC1">
      <w:pPr>
        <w:keepNext w:val="0"/>
        <w:keepLines w:val="0"/>
        <w:pageBreakBefore w:val="0"/>
        <w:numPr>
          <w:ilvl w:val="0"/>
          <w:numId w:val="4"/>
        </w:numPr>
        <w:kinsoku/>
        <w:wordWrap/>
        <w:topLinePunct w:val="0"/>
        <w:bidi w:val="0"/>
        <w:snapToGrid/>
        <w:spacing w:line="460" w:lineRule="exact"/>
        <w:outlineLvl w:val="2"/>
        <w:rPr>
          <w:rFonts w:hint="eastAsia" w:ascii="宋体" w:hAnsi="宋体" w:cs="宋体"/>
          <w:b w:val="0"/>
          <w:bCs w:val="0"/>
          <w:color w:val="auto"/>
        </w:rPr>
      </w:pPr>
      <w:r>
        <w:rPr>
          <w:rFonts w:hint="eastAsia" w:ascii="宋体" w:hAnsi="宋体" w:cs="宋体"/>
          <w:b/>
          <w:bCs/>
          <w:color w:val="auto"/>
        </w:rPr>
        <w:t>项目名称：</w:t>
      </w:r>
      <w:r>
        <w:rPr>
          <w:rFonts w:hint="eastAsia" w:ascii="宋体" w:hAnsi="宋体" w:cs="宋体"/>
          <w:b w:val="0"/>
          <w:bCs w:val="0"/>
          <w:color w:val="auto"/>
        </w:rPr>
        <w:t>海陵试验区智慧停车特许经营项目</w:t>
      </w:r>
      <w:r>
        <w:rPr>
          <w:rFonts w:hint="eastAsia" w:ascii="宋体" w:hAnsi="宋体" w:cs="宋体"/>
          <w:b w:val="0"/>
          <w:bCs w:val="0"/>
          <w:color w:val="auto"/>
          <w:lang w:eastAsia="zh-CN"/>
        </w:rPr>
        <w:t>。</w:t>
      </w:r>
    </w:p>
    <w:p w14:paraId="1E5C7C53">
      <w:pPr>
        <w:keepNext w:val="0"/>
        <w:keepLines w:val="0"/>
        <w:pageBreakBefore w:val="0"/>
        <w:numPr>
          <w:ilvl w:val="0"/>
          <w:numId w:val="4"/>
        </w:numPr>
        <w:kinsoku/>
        <w:wordWrap/>
        <w:topLinePunct w:val="0"/>
        <w:bidi w:val="0"/>
        <w:snapToGrid/>
        <w:spacing w:line="460" w:lineRule="exact"/>
        <w:outlineLvl w:val="2"/>
        <w:rPr>
          <w:rFonts w:hint="eastAsia" w:ascii="宋体" w:hAnsi="宋体" w:eastAsia="宋体" w:cs="宋体"/>
          <w:b/>
          <w:bCs/>
          <w:color w:val="auto"/>
          <w:sz w:val="21"/>
          <w:szCs w:val="21"/>
        </w:rPr>
      </w:pPr>
      <w:r>
        <w:rPr>
          <w:rFonts w:hint="eastAsia" w:ascii="宋体" w:hAnsi="宋体" w:cs="宋体"/>
          <w:b/>
          <w:bCs/>
          <w:color w:val="auto"/>
        </w:rPr>
        <w:t>项目实施机构：</w:t>
      </w:r>
      <w:r>
        <w:rPr>
          <w:rFonts w:hint="eastAsia" w:ascii="宋体" w:hAnsi="宋体" w:cs="宋体"/>
          <w:b w:val="0"/>
          <w:bCs w:val="0"/>
          <w:color w:val="auto"/>
        </w:rPr>
        <w:t>由项目中标公司根据项目建设要求，完成项目的研究、实施及各项管理工作。</w:t>
      </w:r>
    </w:p>
    <w:p w14:paraId="6926EEC6">
      <w:pPr>
        <w:keepNext w:val="0"/>
        <w:keepLines w:val="0"/>
        <w:pageBreakBefore w:val="0"/>
        <w:numPr>
          <w:ilvl w:val="0"/>
          <w:numId w:val="4"/>
        </w:numPr>
        <w:kinsoku/>
        <w:wordWrap/>
        <w:topLinePunct w:val="0"/>
        <w:bidi w:val="0"/>
        <w:snapToGrid/>
        <w:spacing w:line="460" w:lineRule="exact"/>
        <w:outlineLvl w:val="2"/>
        <w:rPr>
          <w:rFonts w:hint="eastAsia" w:ascii="宋体" w:hAnsi="宋体" w:eastAsia="宋体" w:cs="宋体"/>
          <w:b/>
          <w:bCs/>
          <w:color w:val="auto"/>
          <w:sz w:val="21"/>
          <w:szCs w:val="21"/>
        </w:rPr>
      </w:pPr>
      <w:r>
        <w:rPr>
          <w:rFonts w:hint="eastAsia" w:ascii="宋体" w:hAnsi="宋体" w:eastAsia="宋体" w:cs="宋体"/>
          <w:b/>
          <w:bCs/>
          <w:color w:val="auto"/>
          <w:sz w:val="21"/>
          <w:szCs w:val="21"/>
        </w:rPr>
        <w:t>项目背景</w:t>
      </w:r>
    </w:p>
    <w:p w14:paraId="32C68865">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随着我区旅游经济不断发展，游客数量逐年增加，中心区域“出行难、停车难”问题日益突出，圈占车位、私自收费、乱停乱放、交通拥堵等问题严重破坏了海陵岛滨海旅游景区的整体生态景观，停车服务、交通管理等问题已成为制约我区旅游经济发展的短板。经实地调研，充分借鉴其他省市的典型经验，结合我区实际，本次项目将采用政府授予特许经营模式完成系统建设和运营收费管理，以BOT模式引入社会资本投资，通过特许经营权招标方式招选有实力有经验的投资人，为本项目实施建设、运营与管理。</w:t>
      </w:r>
    </w:p>
    <w:p w14:paraId="18B73C88">
      <w:pPr>
        <w:keepNext w:val="0"/>
        <w:keepLines w:val="0"/>
        <w:pageBreakBefore w:val="0"/>
        <w:numPr>
          <w:ilvl w:val="0"/>
          <w:numId w:val="4"/>
        </w:numPr>
        <w:kinsoku/>
        <w:wordWrap/>
        <w:topLinePunct w:val="0"/>
        <w:bidi w:val="0"/>
        <w:snapToGrid/>
        <w:spacing w:line="460" w:lineRule="exact"/>
        <w:outlineLvl w:val="2"/>
        <w:rPr>
          <w:rFonts w:hint="eastAsia" w:ascii="宋体" w:hAnsi="宋体" w:eastAsia="宋体" w:cs="宋体"/>
          <w:b/>
          <w:bCs/>
          <w:color w:val="auto"/>
          <w:sz w:val="21"/>
          <w:szCs w:val="21"/>
        </w:rPr>
      </w:pPr>
      <w:r>
        <w:rPr>
          <w:rFonts w:hint="eastAsia" w:ascii="宋体" w:hAnsi="宋体" w:eastAsia="宋体" w:cs="宋体"/>
          <w:b/>
          <w:bCs/>
          <w:color w:val="auto"/>
          <w:sz w:val="21"/>
          <w:szCs w:val="21"/>
        </w:rPr>
        <w:t>工作目标</w:t>
      </w:r>
    </w:p>
    <w:p w14:paraId="29000384">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贯彻落实《国务院办公厅转发国家发展改革委等部门关于推动城市停车设施发展意见的通知》（国办函〔2021〕46号）的文件要求，坚持科学规划、分类施策、政府引导、市场运作、建管并重的工作原则，加强老旧街区、农贸市场、学校等重点区域停车设施建设管理，优化停车设施供给结构，盘活存量资源，推动停车资源在区域上、时段上、空间上均衡分布、利用，推进现代信息技术融合应用，实现整个海陵岛城市停车系统布局合理、供给充足、智能高效、便捷可及的发展目标。深入推进智慧城市建设,加快基础设施信息化、智慧应用普惠化,全面提高城市服务和社会治理效能。</w:t>
      </w:r>
    </w:p>
    <w:p w14:paraId="465013CB">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通过运用人工智能、大数据、云计算、物联网、移动互联网等技术，实现城市统一的停车信息采集、共享与服务平台。计划采用最新无线卧式图像识别类设备，结合5G、云计算、大数据、物联网、图像识别等新科技手段，汇集全区所有停车数据资源，形成海陵区停车信息一张图，向政府提供数据共享与决策支持服务，向公众提供停车信息服务，构建一整套手机端、PC终端的停车信息引导、泊位自主查询、停车自动计时收费、停车支付结算的完善服务体系，提升车主出行效率与行业服务质量，打造海陵区智慧城市建设创新典范。</w:t>
      </w:r>
    </w:p>
    <w:p w14:paraId="1C0E4ECD">
      <w:pPr>
        <w:keepNext w:val="0"/>
        <w:keepLines w:val="0"/>
        <w:pageBreakBefore w:val="0"/>
        <w:numPr>
          <w:ilvl w:val="0"/>
          <w:numId w:val="4"/>
        </w:numPr>
        <w:kinsoku/>
        <w:wordWrap/>
        <w:topLinePunct w:val="0"/>
        <w:bidi w:val="0"/>
        <w:snapToGrid/>
        <w:spacing w:line="460" w:lineRule="exact"/>
        <w:outlineLvl w:val="2"/>
        <w:rPr>
          <w:rFonts w:hint="eastAsia" w:ascii="宋体" w:hAnsi="宋体" w:eastAsia="宋体" w:cs="宋体"/>
          <w:b/>
          <w:bCs/>
          <w:color w:val="auto"/>
          <w:sz w:val="21"/>
          <w:szCs w:val="21"/>
        </w:rPr>
      </w:pPr>
      <w:r>
        <w:rPr>
          <w:rFonts w:hint="eastAsia" w:ascii="宋体" w:hAnsi="宋体" w:eastAsia="宋体" w:cs="宋体"/>
          <w:b/>
          <w:bCs/>
          <w:color w:val="auto"/>
          <w:sz w:val="21"/>
          <w:szCs w:val="21"/>
        </w:rPr>
        <w:t>工作措施</w:t>
      </w:r>
    </w:p>
    <w:p w14:paraId="7C051C55">
      <w:pPr>
        <w:keepNext w:val="0"/>
        <w:keepLines w:val="0"/>
        <w:pageBreakBefore w:val="0"/>
        <w:kinsoku/>
        <w:wordWrap/>
        <w:topLinePunct w:val="0"/>
        <w:bidi w:val="0"/>
        <w:snapToGrid/>
        <w:spacing w:line="46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（一）协商清退</w:t>
      </w:r>
    </w:p>
    <w:p w14:paraId="3D7731D2">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阳江市海陵交通投资发展有限公司与原运营企业阳江市兴凯智慧停车运营管理有限公司充分协商，根据有关法律法规，依照招投标合同约定，在规定期限内停止路边停车收费运营工作，有序退出海陵岛路边停车项目</w:t>
      </w: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并应于2022年4月中旬启动终止合同程序</w:t>
      </w:r>
      <w:r>
        <w:rPr>
          <w:rFonts w:hint="eastAsia" w:ascii="宋体" w:hAnsi="宋体" w:eastAsia="宋体" w:cs="宋体"/>
          <w:color w:val="auto"/>
          <w:sz w:val="21"/>
          <w:szCs w:val="21"/>
        </w:rPr>
        <w:t>。</w:t>
      </w:r>
    </w:p>
    <w:p w14:paraId="4884961F">
      <w:pPr>
        <w:keepNext w:val="0"/>
        <w:keepLines w:val="0"/>
        <w:pageBreakBefore w:val="0"/>
        <w:kinsoku/>
        <w:wordWrap/>
        <w:topLinePunct w:val="0"/>
        <w:bidi w:val="0"/>
        <w:snapToGrid/>
        <w:spacing w:line="46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（二）集中清理</w:t>
      </w:r>
    </w:p>
    <w:p w14:paraId="07DED05D">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针对公共停车位、停车场乱停乱放、私占泊位的情况，区城管部门、区交警部门应采取有效措施，清理、搬离占用停车位、停车场地的物品以及非机动车辆。严肃禁止商家店铺私划停车位、霸占门前车位，严厉打击随意占道、乱停乱放的行为。</w:t>
      </w:r>
    </w:p>
    <w:p w14:paraId="3248EA2E">
      <w:pPr>
        <w:keepNext w:val="0"/>
        <w:keepLines w:val="0"/>
        <w:pageBreakBefore w:val="0"/>
        <w:kinsoku/>
        <w:wordWrap/>
        <w:topLinePunct w:val="0"/>
        <w:bidi w:val="0"/>
        <w:snapToGrid/>
        <w:spacing w:line="46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三</w:t>
      </w:r>
      <w:r>
        <w:rPr>
          <w:rFonts w:hint="eastAsia" w:ascii="宋体" w:hAnsi="宋体" w:eastAsia="宋体" w:cs="宋体"/>
          <w:color w:val="auto"/>
          <w:sz w:val="21"/>
          <w:szCs w:val="21"/>
        </w:rPr>
        <w:t>）科学划区</w:t>
      </w:r>
    </w:p>
    <w:p w14:paraId="4E488946">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根据“配建停车场为主，路外停车为辅，路内停车为补充”的原则，对有停车需求且符合停放条件的区域及道路，科学划定停车泊位，停车标识明显醒目，综合考虑热门景区、农贸市场、居住小区等人车聚集点，区域盘活、合理布局、科学配比、分类施策。对于车流量大的区域，应满足各类车辆配建车位的适度供给，采用电子技术手段限制部分车辆进入；对于居住区应鼓励公共停车设施夜间对外开放，满足周边居民的停车需求。</w:t>
      </w:r>
    </w:p>
    <w:p w14:paraId="36D06F6B">
      <w:pPr>
        <w:keepNext w:val="0"/>
        <w:keepLines w:val="0"/>
        <w:pageBreakBefore w:val="0"/>
        <w:kinsoku/>
        <w:wordWrap/>
        <w:topLinePunct w:val="0"/>
        <w:bidi w:val="0"/>
        <w:snapToGrid/>
        <w:spacing w:line="46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四</w:t>
      </w:r>
      <w:r>
        <w:rPr>
          <w:rFonts w:hint="eastAsia" w:ascii="宋体" w:hAnsi="宋体" w:eastAsia="宋体" w:cs="宋体"/>
          <w:color w:val="auto"/>
          <w:sz w:val="21"/>
          <w:szCs w:val="21"/>
        </w:rPr>
        <w:t>）有序运营</w:t>
      </w:r>
    </w:p>
    <w:p w14:paraId="49266AFF">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项目公司须在开展运营前在本市设立，并引入高智能化停车服务设备系统，制定有效的内部管理机制，停车服务收费标准应当报区经发局按程序批准、公布实施，应按要求设立收费公示牌（包括收费时间、收费标准、收费依据、免收时间、监督投诉电话等），不公示不得收费，并积极做好宣传解释工作。</w:t>
      </w:r>
    </w:p>
    <w:p w14:paraId="5CE22475">
      <w:pPr>
        <w:keepNext w:val="0"/>
        <w:keepLines w:val="0"/>
        <w:pageBreakBefore w:val="0"/>
        <w:numPr>
          <w:ilvl w:val="0"/>
          <w:numId w:val="4"/>
        </w:numPr>
        <w:kinsoku/>
        <w:wordWrap/>
        <w:topLinePunct w:val="0"/>
        <w:bidi w:val="0"/>
        <w:snapToGrid/>
        <w:spacing w:line="460" w:lineRule="exact"/>
        <w:outlineLvl w:val="2"/>
        <w:rPr>
          <w:rFonts w:hint="eastAsia" w:ascii="宋体" w:hAnsi="宋体" w:eastAsia="宋体" w:cs="宋体"/>
          <w:b/>
          <w:bCs/>
          <w:color w:val="auto"/>
          <w:sz w:val="21"/>
          <w:szCs w:val="21"/>
        </w:rPr>
      </w:pPr>
      <w:r>
        <w:rPr>
          <w:rFonts w:hint="eastAsia" w:ascii="宋体" w:hAnsi="宋体" w:eastAsia="宋体" w:cs="宋体"/>
          <w:b/>
          <w:bCs/>
          <w:color w:val="auto"/>
          <w:sz w:val="21"/>
          <w:szCs w:val="21"/>
        </w:rPr>
        <w:t>海陵区停车现状</w:t>
      </w:r>
    </w:p>
    <w:p w14:paraId="33D3DDEF">
      <w:pPr>
        <w:keepNext w:val="0"/>
        <w:keepLines w:val="0"/>
        <w:pageBreakBefore w:val="0"/>
        <w:kinsoku/>
        <w:wordWrap/>
        <w:topLinePunct w:val="0"/>
        <w:bidi w:val="0"/>
        <w:snapToGrid/>
        <w:spacing w:line="460" w:lineRule="exact"/>
        <w:ind w:firstLine="420" w:firstLineChars="200"/>
        <w:rPr>
          <w:rFonts w:ascii="宋体" w:hAnsi="宋体" w:cs="宋体"/>
          <w:color w:val="auto"/>
        </w:rPr>
      </w:pPr>
      <w:r>
        <w:rPr>
          <w:rFonts w:hint="eastAsia" w:ascii="宋体" w:hAnsi="宋体" w:cs="宋体"/>
          <w:color w:val="auto"/>
        </w:rPr>
        <w:t>随着城市发展和现代化水平的提高，机动车尤其是私家轿车的数量呈现出突飞猛进的增长态势</w:t>
      </w:r>
      <w:r>
        <w:rPr>
          <w:rFonts w:hint="eastAsia" w:ascii="宋体" w:hAnsi="宋体" w:cs="宋体"/>
          <w:color w:val="auto"/>
          <w:highlight w:val="none"/>
        </w:rPr>
        <w:t>。</w:t>
      </w:r>
      <w:r>
        <w:rPr>
          <w:rFonts w:hint="eastAsia" w:ascii="宋体" w:hAnsi="宋体" w:cs="宋体"/>
          <w:color w:val="auto"/>
          <w:highlight w:val="none"/>
          <w:lang w:val="en-US" w:eastAsia="zh-CN"/>
        </w:rPr>
        <w:t>截</w:t>
      </w:r>
      <w:r>
        <w:rPr>
          <w:rFonts w:hint="eastAsia" w:ascii="宋体" w:hAnsi="宋体" w:cs="宋体"/>
          <w:color w:val="auto"/>
          <w:highlight w:val="none"/>
        </w:rPr>
        <w:t>至2019年，海陵区民用汽车拥有量约为18000辆。通</w:t>
      </w:r>
      <w:r>
        <w:rPr>
          <w:rFonts w:hint="eastAsia" w:ascii="宋体" w:hAnsi="宋体" w:cs="宋体"/>
          <w:color w:val="auto"/>
        </w:rPr>
        <w:t>过对过去四年的汽车量统计分析，预计未来汽车数量仍将以每年10%左右增速增长，并在2027年实现汽车数量翻倍。虽然拥有庞大的汽车数量，但城市的停车情况不容乐观。</w:t>
      </w:r>
    </w:p>
    <w:p w14:paraId="57692B1A">
      <w:pPr>
        <w:keepNext w:val="0"/>
        <w:keepLines w:val="0"/>
        <w:pageBreakBefore w:val="0"/>
        <w:numPr>
          <w:ilvl w:val="0"/>
          <w:numId w:val="4"/>
        </w:numPr>
        <w:kinsoku/>
        <w:wordWrap/>
        <w:topLinePunct w:val="0"/>
        <w:bidi w:val="0"/>
        <w:snapToGrid/>
        <w:spacing w:line="460" w:lineRule="exact"/>
        <w:outlineLvl w:val="2"/>
        <w:rPr>
          <w:rFonts w:hint="eastAsia" w:ascii="宋体" w:hAnsi="宋体" w:eastAsia="宋体" w:cs="宋体"/>
          <w:b/>
          <w:bCs/>
          <w:color w:val="auto"/>
          <w:sz w:val="21"/>
          <w:szCs w:val="21"/>
        </w:rPr>
      </w:pPr>
      <w:r>
        <w:rPr>
          <w:rFonts w:hint="eastAsia" w:ascii="宋体" w:hAnsi="宋体" w:eastAsia="宋体" w:cs="宋体"/>
          <w:b/>
          <w:bCs/>
          <w:color w:val="auto"/>
          <w:sz w:val="21"/>
          <w:szCs w:val="21"/>
        </w:rPr>
        <w:t>存在的问题</w:t>
      </w:r>
    </w:p>
    <w:p w14:paraId="1C7500DB">
      <w:pPr>
        <w:keepNext w:val="0"/>
        <w:keepLines w:val="0"/>
        <w:pageBreakBefore w:val="0"/>
        <w:numPr>
          <w:ilvl w:val="0"/>
          <w:numId w:val="5"/>
        </w:numPr>
        <w:kinsoku/>
        <w:wordWrap/>
        <w:topLinePunct w:val="0"/>
        <w:bidi w:val="0"/>
        <w:snapToGrid/>
        <w:spacing w:line="460" w:lineRule="exact"/>
        <w:ind w:left="0" w:leftChars="0" w:firstLine="420" w:firstLineChars="0"/>
        <w:rPr>
          <w:rFonts w:hint="eastAsia" w:ascii="宋体" w:hAnsi="宋体" w:eastAsia="宋体" w:cs="宋体"/>
          <w:color w:val="auto"/>
          <w:sz w:val="21"/>
          <w:szCs w:val="21"/>
        </w:rPr>
      </w:pPr>
      <w:r>
        <w:rPr>
          <w:rFonts w:hint="eastAsia" w:ascii="宋体" w:hAnsi="宋体" w:eastAsia="宋体" w:cs="宋体"/>
          <w:color w:val="auto"/>
          <w:sz w:val="21"/>
          <w:szCs w:val="21"/>
        </w:rPr>
        <w:t>停车泊位严重不足</w:t>
      </w:r>
    </w:p>
    <w:p w14:paraId="7F868CB7">
      <w:pPr>
        <w:keepNext w:val="0"/>
        <w:keepLines w:val="0"/>
        <w:pageBreakBefore w:val="0"/>
        <w:numPr>
          <w:ilvl w:val="0"/>
          <w:numId w:val="5"/>
        </w:numPr>
        <w:kinsoku/>
        <w:wordWrap/>
        <w:topLinePunct w:val="0"/>
        <w:bidi w:val="0"/>
        <w:snapToGrid/>
        <w:spacing w:line="460" w:lineRule="exact"/>
        <w:ind w:left="0" w:leftChars="0" w:firstLine="420" w:firstLineChars="0"/>
        <w:rPr>
          <w:rFonts w:hint="eastAsia" w:ascii="宋体" w:hAnsi="宋体" w:eastAsia="宋体" w:cs="宋体"/>
          <w:color w:val="auto"/>
          <w:sz w:val="21"/>
          <w:szCs w:val="21"/>
        </w:rPr>
      </w:pPr>
      <w:r>
        <w:rPr>
          <w:rFonts w:hint="eastAsia" w:ascii="宋体" w:hAnsi="宋体" w:eastAsia="宋体" w:cs="宋体"/>
          <w:color w:val="auto"/>
          <w:sz w:val="21"/>
          <w:szCs w:val="21"/>
        </w:rPr>
        <w:t>停车泊位利用率低</w:t>
      </w:r>
    </w:p>
    <w:p w14:paraId="12CC4DCE">
      <w:pPr>
        <w:keepNext w:val="0"/>
        <w:keepLines w:val="0"/>
        <w:pageBreakBefore w:val="0"/>
        <w:numPr>
          <w:ilvl w:val="0"/>
          <w:numId w:val="5"/>
        </w:numPr>
        <w:kinsoku/>
        <w:wordWrap/>
        <w:topLinePunct w:val="0"/>
        <w:bidi w:val="0"/>
        <w:snapToGrid/>
        <w:spacing w:line="460" w:lineRule="exact"/>
        <w:ind w:left="0" w:leftChars="0" w:firstLine="420" w:firstLineChars="0"/>
        <w:rPr>
          <w:rFonts w:hint="eastAsia" w:ascii="宋体" w:hAnsi="宋体" w:eastAsia="宋体" w:cs="宋体"/>
          <w:color w:val="auto"/>
          <w:sz w:val="21"/>
          <w:szCs w:val="21"/>
        </w:rPr>
      </w:pPr>
      <w:r>
        <w:rPr>
          <w:rFonts w:hint="eastAsia" w:ascii="宋体" w:hAnsi="宋体" w:eastAsia="宋体" w:cs="宋体"/>
          <w:color w:val="auto"/>
          <w:sz w:val="21"/>
          <w:szCs w:val="21"/>
        </w:rPr>
        <w:t>停车资源缺乏有效管理</w:t>
      </w:r>
    </w:p>
    <w:p w14:paraId="5DFA7CB7">
      <w:pPr>
        <w:keepNext w:val="0"/>
        <w:keepLines w:val="0"/>
        <w:pageBreakBefore w:val="0"/>
        <w:numPr>
          <w:ilvl w:val="0"/>
          <w:numId w:val="5"/>
        </w:numPr>
        <w:kinsoku/>
        <w:wordWrap/>
        <w:topLinePunct w:val="0"/>
        <w:bidi w:val="0"/>
        <w:snapToGrid/>
        <w:spacing w:line="460" w:lineRule="exact"/>
        <w:ind w:left="0" w:leftChars="0" w:firstLine="420" w:firstLineChars="0"/>
        <w:rPr>
          <w:rFonts w:hint="eastAsia" w:ascii="宋体" w:hAnsi="宋体" w:eastAsia="宋体" w:cs="宋体"/>
          <w:color w:val="auto"/>
          <w:sz w:val="21"/>
          <w:szCs w:val="21"/>
        </w:rPr>
      </w:pPr>
      <w:r>
        <w:rPr>
          <w:rFonts w:hint="eastAsia" w:ascii="宋体" w:hAnsi="宋体" w:eastAsia="宋体" w:cs="宋体"/>
          <w:color w:val="auto"/>
          <w:sz w:val="21"/>
          <w:szCs w:val="21"/>
        </w:rPr>
        <w:t>停车智能化程度较低</w:t>
      </w:r>
    </w:p>
    <w:p w14:paraId="35B5C995">
      <w:pPr>
        <w:keepNext w:val="0"/>
        <w:keepLines w:val="0"/>
        <w:pageBreakBefore w:val="0"/>
        <w:numPr>
          <w:ilvl w:val="0"/>
          <w:numId w:val="4"/>
        </w:numPr>
        <w:kinsoku/>
        <w:wordWrap/>
        <w:topLinePunct w:val="0"/>
        <w:bidi w:val="0"/>
        <w:snapToGrid/>
        <w:spacing w:line="460" w:lineRule="exact"/>
        <w:outlineLvl w:val="2"/>
        <w:rPr>
          <w:rFonts w:hint="eastAsia" w:ascii="宋体" w:hAnsi="宋体" w:eastAsia="宋体" w:cs="宋体"/>
          <w:b/>
          <w:bCs/>
          <w:color w:val="auto"/>
          <w:sz w:val="21"/>
          <w:szCs w:val="21"/>
        </w:rPr>
      </w:pPr>
      <w:r>
        <w:rPr>
          <w:rFonts w:hint="eastAsia" w:ascii="宋体" w:hAnsi="宋体" w:eastAsia="宋体" w:cs="宋体"/>
          <w:b/>
          <w:bCs/>
          <w:color w:val="auto"/>
          <w:sz w:val="21"/>
          <w:szCs w:val="21"/>
        </w:rPr>
        <w:t>总体方案</w:t>
      </w:r>
    </w:p>
    <w:p w14:paraId="43EB1EB5">
      <w:pPr>
        <w:keepNext w:val="0"/>
        <w:keepLines w:val="0"/>
        <w:pageBreakBefore w:val="0"/>
        <w:numPr>
          <w:ilvl w:val="0"/>
          <w:numId w:val="0"/>
        </w:numPr>
        <w:kinsoku/>
        <w:wordWrap/>
        <w:topLinePunct w:val="0"/>
        <w:bidi w:val="0"/>
        <w:snapToGrid/>
        <w:spacing w:line="460" w:lineRule="exact"/>
        <w:ind w:left="420" w:leftChars="0"/>
        <w:rPr>
          <w:rFonts w:hint="eastAsia" w:ascii="宋体" w:hAnsi="宋体" w:eastAsia="宋体" w:cs="宋体"/>
          <w:color w:val="auto"/>
          <w:sz w:val="21"/>
          <w:szCs w:val="21"/>
          <w:lang w:eastAsia="zh-CN"/>
        </w:rPr>
      </w:pPr>
      <w:r>
        <w:rPr>
          <w:rFonts w:hint="eastAsia" w:ascii="宋体" w:hAnsi="宋体" w:eastAsia="宋体" w:cs="宋体"/>
          <w:color w:val="auto"/>
          <w:sz w:val="21"/>
          <w:szCs w:val="21"/>
        </w:rPr>
        <w:t>智能化改造，</w:t>
      </w:r>
      <w:r>
        <w:rPr>
          <w:rFonts w:hint="eastAsia" w:ascii="宋体" w:hAnsi="宋体" w:cs="宋体"/>
          <w:color w:val="auto"/>
          <w:sz w:val="21"/>
          <w:szCs w:val="21"/>
          <w:lang w:val="en-US" w:eastAsia="zh-CN"/>
        </w:rPr>
        <w:t>打造全区停车一张图，</w:t>
      </w:r>
      <w:r>
        <w:rPr>
          <w:rFonts w:hint="eastAsia" w:ascii="宋体" w:hAnsi="宋体" w:eastAsia="宋体" w:cs="宋体"/>
          <w:color w:val="auto"/>
          <w:sz w:val="21"/>
          <w:szCs w:val="21"/>
        </w:rPr>
        <w:t>解决城市停车难</w:t>
      </w:r>
      <w:r>
        <w:rPr>
          <w:rFonts w:hint="eastAsia" w:ascii="宋体" w:hAnsi="宋体" w:cs="宋体"/>
          <w:color w:val="auto"/>
          <w:sz w:val="21"/>
          <w:szCs w:val="21"/>
          <w:lang w:eastAsia="zh-CN"/>
        </w:rPr>
        <w:t>。</w:t>
      </w:r>
    </w:p>
    <w:p w14:paraId="64B32A5C">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对于路侧停车位，通过在路侧安装中低位智慧车位感应器或其它等智能终端，实现车辆停放实时监控和实时计费，停车缴费可以实现无人化，进一步规范城市路内停车，形成城市停车统一管理。</w:t>
      </w:r>
    </w:p>
    <w:p w14:paraId="302AB018">
      <w:pPr>
        <w:keepNext w:val="0"/>
        <w:keepLines w:val="0"/>
        <w:pageBreakBefore w:val="0"/>
        <w:numPr>
          <w:ilvl w:val="0"/>
          <w:numId w:val="0"/>
        </w:numPr>
        <w:kinsoku/>
        <w:wordWrap/>
        <w:topLinePunct w:val="0"/>
        <w:bidi w:val="0"/>
        <w:snapToGrid/>
        <w:spacing w:line="460" w:lineRule="exact"/>
        <w:ind w:left="420" w:leftChars="0"/>
        <w:outlineLvl w:val="9"/>
        <w:rPr>
          <w:rFonts w:hint="default" w:eastAsia="宋体"/>
          <w:color w:val="auto"/>
          <w:lang w:val="en-US" w:eastAsia="zh-CN"/>
        </w:rPr>
      </w:pPr>
      <w:r>
        <w:rPr>
          <w:rFonts w:hint="eastAsia" w:ascii="宋体" w:hAnsi="宋体" w:eastAsia="宋体" w:cs="宋体"/>
          <w:color w:val="auto"/>
          <w:sz w:val="21"/>
          <w:szCs w:val="21"/>
          <w:lang w:val="en-US" w:eastAsia="zh-CN"/>
        </w:rPr>
        <w:t>对于</w:t>
      </w:r>
      <w:r>
        <w:rPr>
          <w:rFonts w:hint="eastAsia" w:ascii="宋体" w:hAnsi="宋体" w:cs="宋体"/>
          <w:color w:val="auto"/>
          <w:sz w:val="21"/>
          <w:szCs w:val="21"/>
          <w:lang w:val="en-US" w:eastAsia="zh-CN"/>
        </w:rPr>
        <w:t>停车场车位，通过安装智能道闸、ETC等终端，实现无人值守、自动缴费。</w:t>
      </w:r>
    </w:p>
    <w:p w14:paraId="12ACC9DE">
      <w:pPr>
        <w:keepNext w:val="0"/>
        <w:keepLines w:val="0"/>
        <w:pageBreakBefore w:val="0"/>
        <w:numPr>
          <w:ilvl w:val="0"/>
          <w:numId w:val="4"/>
        </w:numPr>
        <w:kinsoku/>
        <w:wordWrap/>
        <w:topLinePunct w:val="0"/>
        <w:bidi w:val="0"/>
        <w:snapToGrid/>
        <w:spacing w:line="460" w:lineRule="exact"/>
        <w:outlineLvl w:val="2"/>
        <w:rPr>
          <w:rFonts w:hint="eastAsia" w:ascii="宋体" w:hAnsi="宋体" w:eastAsia="宋体" w:cs="宋体"/>
          <w:color w:val="auto"/>
          <w:sz w:val="21"/>
          <w:szCs w:val="21"/>
        </w:rPr>
      </w:pPr>
      <w:r>
        <w:rPr>
          <w:rFonts w:hint="eastAsia" w:ascii="宋体" w:hAnsi="宋体" w:eastAsia="宋体" w:cs="宋体"/>
          <w:color w:val="auto"/>
          <w:sz w:val="21"/>
          <w:szCs w:val="21"/>
        </w:rPr>
        <w:t>项目建设的必要性</w:t>
      </w:r>
    </w:p>
    <w:p w14:paraId="5E577B3E">
      <w:pPr>
        <w:keepNext w:val="0"/>
        <w:keepLines w:val="0"/>
        <w:pageBreakBefore w:val="0"/>
        <w:numPr>
          <w:ilvl w:val="0"/>
          <w:numId w:val="0"/>
        </w:numPr>
        <w:kinsoku/>
        <w:wordWrap/>
        <w:topLinePunct w:val="0"/>
        <w:bidi w:val="0"/>
        <w:snapToGrid/>
        <w:spacing w:line="460" w:lineRule="exact"/>
        <w:ind w:left="420" w:leftChars="0"/>
        <w:outlineLvl w:val="9"/>
        <w:rPr>
          <w:rFonts w:hint="eastAsia" w:ascii="宋体" w:hAnsi="宋体" w:eastAsia="宋体" w:cs="宋体"/>
          <w:color w:val="auto"/>
          <w:sz w:val="21"/>
          <w:szCs w:val="21"/>
        </w:rPr>
      </w:pPr>
      <w:r>
        <w:rPr>
          <w:rFonts w:hint="eastAsia" w:ascii="宋体" w:hAnsi="宋体" w:eastAsia="宋体" w:cs="宋体"/>
          <w:color w:val="auto"/>
          <w:sz w:val="21"/>
          <w:szCs w:val="21"/>
        </w:rPr>
        <w:t>项目建设是解决城市停车难问题的需要</w:t>
      </w:r>
    </w:p>
    <w:p w14:paraId="5D835E3A">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近年来，随着海陵区经济的快速增长，汽车进入家庭的步伐加快，城市机动车发展迅猛，私家车数量日益增长。相比之下，城市停车设施建设明显滞后，使停车供求矛盾日益尖锐，停车难的问题日益凸显。尤其在海陵区，由于很多公用建筑配建泊位严重不足，停车位更是一位难求。停车难，已经成为海陵区旅游事业发展、交通发展、汽车消费的瓶颈之一。通过本项目的实施，可以有效的解决城市停车难这一问题。</w:t>
      </w:r>
    </w:p>
    <w:p w14:paraId="126707DC">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项目建设是提升民众出行幸福体验度的需要</w:t>
      </w:r>
    </w:p>
    <w:p w14:paraId="56811BD4">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本项目通过提供APP、微信小程序等多种方式，为市民出行停车提供便民服务，市民可即时查找当前位置或者目标位置的停车空位信息，方便市民出行和停车，减少寻找停车位的时间，提升市民满意度和幸福度。</w:t>
      </w:r>
    </w:p>
    <w:p w14:paraId="69BEA06D">
      <w:pPr>
        <w:keepNext w:val="0"/>
        <w:keepLines w:val="0"/>
        <w:pageBreakBefore w:val="0"/>
        <w:numPr>
          <w:ilvl w:val="0"/>
          <w:numId w:val="0"/>
        </w:numPr>
        <w:kinsoku/>
        <w:wordWrap/>
        <w:topLinePunct w:val="0"/>
        <w:bidi w:val="0"/>
        <w:snapToGrid/>
        <w:spacing w:line="460" w:lineRule="exact"/>
        <w:ind w:left="420" w:leftChars="0"/>
        <w:outlineLvl w:val="9"/>
        <w:rPr>
          <w:rFonts w:hint="eastAsia" w:ascii="宋体" w:hAnsi="宋体" w:eastAsia="宋体" w:cs="宋体"/>
          <w:color w:val="auto"/>
          <w:sz w:val="21"/>
          <w:szCs w:val="21"/>
        </w:rPr>
      </w:pPr>
      <w:r>
        <w:rPr>
          <w:rFonts w:hint="eastAsia" w:ascii="宋体" w:hAnsi="宋体" w:eastAsia="宋体" w:cs="宋体"/>
          <w:color w:val="auto"/>
          <w:sz w:val="21"/>
          <w:szCs w:val="21"/>
        </w:rPr>
        <w:t>项目建设是完善信用体系建设的需要</w:t>
      </w:r>
    </w:p>
    <w:p w14:paraId="4A97A6C1">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智慧停车可以通过车主画像、停车轨迹、支付行为和LBS数据帮助政府建立停车征信体系，并将停车征信纳入国家整体信用体系，有效缓解停车逃费和乱停车现象。</w:t>
      </w:r>
    </w:p>
    <w:p w14:paraId="4591D5F1">
      <w:pPr>
        <w:keepNext w:val="0"/>
        <w:keepLines w:val="0"/>
        <w:pageBreakBefore w:val="0"/>
        <w:numPr>
          <w:ilvl w:val="0"/>
          <w:numId w:val="0"/>
        </w:numPr>
        <w:kinsoku/>
        <w:wordWrap/>
        <w:topLinePunct w:val="0"/>
        <w:bidi w:val="0"/>
        <w:snapToGrid/>
        <w:spacing w:line="460" w:lineRule="exact"/>
        <w:ind w:left="420" w:leftChars="0"/>
        <w:outlineLvl w:val="9"/>
        <w:rPr>
          <w:rFonts w:hint="eastAsia" w:ascii="宋体" w:hAnsi="宋体" w:eastAsia="宋体" w:cs="宋体"/>
          <w:color w:val="auto"/>
          <w:sz w:val="21"/>
          <w:szCs w:val="21"/>
        </w:rPr>
      </w:pPr>
      <w:r>
        <w:rPr>
          <w:rFonts w:hint="eastAsia" w:ascii="宋体" w:hAnsi="宋体" w:eastAsia="宋体" w:cs="宋体"/>
          <w:color w:val="auto"/>
          <w:sz w:val="21"/>
          <w:szCs w:val="21"/>
        </w:rPr>
        <w:t>项目建设是提升城市交通智能化水平的需要</w:t>
      </w:r>
    </w:p>
    <w:p w14:paraId="3A9F0C42">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color w:val="auto"/>
        </w:rPr>
      </w:pPr>
      <w:r>
        <w:rPr>
          <w:rFonts w:hint="eastAsia" w:ascii="宋体" w:hAnsi="宋体" w:eastAsia="宋体" w:cs="宋体"/>
          <w:color w:val="auto"/>
          <w:sz w:val="21"/>
          <w:szCs w:val="21"/>
        </w:rPr>
        <w:t>本项目通过停车位引导、反向寻车诱导等手段减少找车与徘徊时间，提高泊位的利用率和周转率，有效缓解城市停车压力和交通拥堵情况；城市规划、交通管理等部门可以获得城市停车数据，有效整治全市交通违章现象；实时获取的城市静态停车数据有助于实现老旧停车场改造与信息化升级、辅助城市停车场规划等建设。通过本项目建设可以大幅提高</w:t>
      </w:r>
      <w:r>
        <w:rPr>
          <w:rFonts w:hint="eastAsia"/>
          <w:color w:val="auto"/>
        </w:rPr>
        <w:t>城市交通运行效率，提升城市交通智能化水平，进而对改善城市交通状况、缓解道路交通压力、减少交警路面工作量、方便市民出行、促进车主遵纪守法和提高市民素质都具有重大意义。</w:t>
      </w:r>
    </w:p>
    <w:p w14:paraId="6962A278">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color w:val="auto"/>
        </w:rPr>
      </w:pPr>
      <w:r>
        <w:rPr>
          <w:rFonts w:hint="eastAsia"/>
          <w:color w:val="auto"/>
        </w:rPr>
        <w:t>项目建设是打造智慧停车产业生态的需要</w:t>
      </w:r>
    </w:p>
    <w:p w14:paraId="68A6560C">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color w:val="auto"/>
        </w:rPr>
      </w:pPr>
      <w:r>
        <w:rPr>
          <w:rFonts w:hint="eastAsia"/>
          <w:color w:val="auto"/>
        </w:rPr>
        <w:t>本项目建设以停车为中心，将上下游全部纳入停车生态。例如通过APP、公众号线上运营渠道与商业中心，超市，餐饮等线下商户建立合作。以车辆维度将汽车保养维修、加油、汽车保险等纳入停车生态。</w:t>
      </w:r>
    </w:p>
    <w:p w14:paraId="538052E5">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color w:val="auto"/>
        </w:rPr>
      </w:pPr>
      <w:r>
        <w:rPr>
          <w:rFonts w:hint="eastAsia"/>
          <w:color w:val="auto"/>
        </w:rPr>
        <w:t>项目建设是提高城市品位形象及区域服务质量的需要</w:t>
      </w:r>
    </w:p>
    <w:p w14:paraId="5A46CF36">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color w:val="auto"/>
        </w:rPr>
      </w:pPr>
      <w:r>
        <w:rPr>
          <w:rFonts w:hint="eastAsia"/>
          <w:color w:val="auto"/>
        </w:rPr>
        <w:t>本项目的建设将有助于改善海陵区地区交通和停车的环境，缓解区域内的停车位不足的问题，从而大大提高了海陵区的环境档次，改善了海陵区的停车和交通的状况，缓解海陵区停车位不足的问题，大大提升海陵区区域的服务水平和服务质量，对于提升海陵区的知名度和美誉度以及提高海陵区的区域竞争力和影响力影响深远。</w:t>
      </w:r>
    </w:p>
    <w:p w14:paraId="2D2BFD60">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color w:val="auto"/>
        </w:rPr>
      </w:pPr>
      <w:r>
        <w:rPr>
          <w:rFonts w:hint="eastAsia"/>
          <w:color w:val="auto"/>
        </w:rPr>
        <w:t>综上所述，本项目的建设是海陵区发展的需要，是解决城市停车难问题的需要，是符合海陵区城市规划建设的需要，是提高区域服务质量的需要，是解决城市发展与土地紧缺矛盾的有效途径，项目的建设是很有必要的。</w:t>
      </w:r>
    </w:p>
    <w:p w14:paraId="1677F569">
      <w:pPr>
        <w:keepNext w:val="0"/>
        <w:keepLines w:val="0"/>
        <w:pageBreakBefore w:val="0"/>
        <w:numPr>
          <w:ilvl w:val="0"/>
          <w:numId w:val="4"/>
        </w:numPr>
        <w:kinsoku/>
        <w:wordWrap/>
        <w:topLinePunct w:val="0"/>
        <w:bidi w:val="0"/>
        <w:snapToGrid/>
        <w:spacing w:line="460" w:lineRule="exact"/>
        <w:outlineLvl w:val="2"/>
        <w:rPr>
          <w:rFonts w:hint="eastAsia" w:ascii="宋体" w:hAnsi="宋体" w:eastAsia="宋体" w:cs="宋体"/>
          <w:color w:val="auto"/>
          <w:sz w:val="21"/>
          <w:szCs w:val="21"/>
        </w:rPr>
      </w:pPr>
      <w:r>
        <w:rPr>
          <w:rFonts w:hint="eastAsia" w:ascii="宋体" w:hAnsi="宋体" w:eastAsia="宋体" w:cs="宋体"/>
          <w:b/>
          <w:bCs/>
          <w:color w:val="auto"/>
          <w:sz w:val="21"/>
          <w:szCs w:val="21"/>
        </w:rPr>
        <w:t>招标范围：</w:t>
      </w:r>
    </w:p>
    <w:p w14:paraId="324C75B9">
      <w:pPr>
        <w:keepNext w:val="0"/>
        <w:keepLines w:val="0"/>
        <w:pageBreakBefore w:val="0"/>
        <w:numPr>
          <w:ilvl w:val="0"/>
          <w:numId w:val="0"/>
        </w:numPr>
        <w:kinsoku/>
        <w:wordWrap/>
        <w:topLinePunct w:val="0"/>
        <w:bidi w:val="0"/>
        <w:snapToGrid/>
        <w:spacing w:line="460" w:lineRule="exact"/>
        <w:ind w:firstLine="420" w:firstLineChars="200"/>
        <w:outlineLvl w:val="9"/>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rPr>
        <w:t>项目</w:t>
      </w:r>
      <w:r>
        <w:rPr>
          <w:rFonts w:hint="eastAsia" w:ascii="宋体" w:hAnsi="宋体" w:cs="宋体"/>
          <w:color w:val="auto"/>
          <w:sz w:val="21"/>
          <w:szCs w:val="21"/>
          <w:lang w:val="en-US" w:eastAsia="zh-CN"/>
        </w:rPr>
        <w:t>公开招标方式选取</w:t>
      </w:r>
      <w:r>
        <w:rPr>
          <w:rFonts w:hint="eastAsia" w:ascii="宋体" w:hAnsi="宋体" w:eastAsia="宋体" w:cs="宋体"/>
          <w:color w:val="auto"/>
          <w:sz w:val="21"/>
          <w:szCs w:val="21"/>
        </w:rPr>
        <w:t>特许经营</w:t>
      </w:r>
      <w:r>
        <w:rPr>
          <w:rFonts w:hint="eastAsia" w:ascii="宋体" w:hAnsi="宋体" w:eastAsia="宋体" w:cs="宋体"/>
          <w:color w:val="auto"/>
          <w:sz w:val="21"/>
          <w:szCs w:val="21"/>
          <w:lang w:val="en-US" w:eastAsia="zh-CN"/>
        </w:rPr>
        <w:t>单位</w:t>
      </w:r>
      <w:r>
        <w:rPr>
          <w:rFonts w:hint="eastAsia" w:ascii="宋体" w:hAnsi="宋体" w:eastAsia="宋体" w:cs="宋体"/>
          <w:color w:val="auto"/>
          <w:sz w:val="21"/>
          <w:szCs w:val="21"/>
        </w:rPr>
        <w:t>，中标特许经营</w:t>
      </w:r>
      <w:r>
        <w:rPr>
          <w:rFonts w:hint="eastAsia" w:ascii="宋体" w:hAnsi="宋体" w:cs="宋体"/>
          <w:color w:val="auto"/>
          <w:sz w:val="21"/>
          <w:szCs w:val="21"/>
          <w:lang w:val="en-US" w:eastAsia="zh-CN"/>
        </w:rPr>
        <w:t>单位</w:t>
      </w:r>
      <w:r>
        <w:rPr>
          <w:rFonts w:hint="eastAsia" w:ascii="宋体" w:hAnsi="宋体" w:eastAsia="宋体" w:cs="宋体"/>
          <w:color w:val="auto"/>
          <w:sz w:val="21"/>
          <w:szCs w:val="21"/>
        </w:rPr>
        <w:t>负责本项目的投融资、建设、运营、维护、移交，通过运营获得合理利润，并向海陵试验区</w:t>
      </w:r>
      <w:r>
        <w:rPr>
          <w:rFonts w:hint="eastAsia" w:ascii="宋体" w:hAnsi="宋体" w:eastAsia="宋体" w:cs="宋体"/>
          <w:color w:val="auto"/>
          <w:sz w:val="21"/>
          <w:szCs w:val="21"/>
          <w:lang w:val="en-US" w:eastAsia="zh-CN"/>
        </w:rPr>
        <w:t>财政局专用账户</w:t>
      </w:r>
      <w:r>
        <w:rPr>
          <w:rFonts w:hint="eastAsia" w:ascii="宋体" w:hAnsi="宋体" w:eastAsia="宋体" w:cs="宋体"/>
          <w:color w:val="auto"/>
          <w:sz w:val="21"/>
          <w:szCs w:val="21"/>
        </w:rPr>
        <w:t>缴纳规定比例的</w:t>
      </w:r>
      <w:r>
        <w:rPr>
          <w:rFonts w:hint="eastAsia" w:ascii="宋体" w:hAnsi="宋体" w:cs="宋体"/>
          <w:color w:val="auto"/>
          <w:sz w:val="21"/>
          <w:szCs w:val="21"/>
          <w:lang w:val="en-US" w:eastAsia="zh-CN"/>
        </w:rPr>
        <w:t>特许经营权费</w:t>
      </w:r>
      <w:r>
        <w:rPr>
          <w:rFonts w:hint="eastAsia" w:ascii="宋体" w:hAnsi="宋体" w:eastAsia="宋体" w:cs="宋体"/>
          <w:color w:val="auto"/>
          <w:sz w:val="21"/>
          <w:szCs w:val="21"/>
        </w:rPr>
        <w:t>。</w:t>
      </w:r>
    </w:p>
    <w:p w14:paraId="068DD052">
      <w:pPr>
        <w:keepNext w:val="0"/>
        <w:keepLines w:val="0"/>
        <w:pageBreakBefore w:val="0"/>
        <w:numPr>
          <w:ilvl w:val="0"/>
          <w:numId w:val="4"/>
        </w:numPr>
        <w:kinsoku/>
        <w:wordWrap/>
        <w:topLinePunct w:val="0"/>
        <w:bidi w:val="0"/>
        <w:snapToGrid/>
        <w:spacing w:line="460" w:lineRule="exact"/>
        <w:outlineLvl w:val="2"/>
        <w:rPr>
          <w:rFonts w:hint="eastAsia" w:ascii="宋体" w:hAnsi="宋体" w:eastAsia="宋体" w:cs="宋体"/>
          <w:b/>
          <w:bCs/>
          <w:color w:val="auto"/>
          <w:sz w:val="21"/>
          <w:szCs w:val="21"/>
        </w:rPr>
      </w:pPr>
      <w:r>
        <w:rPr>
          <w:rFonts w:hint="eastAsia" w:ascii="宋体" w:hAnsi="宋体" w:eastAsia="宋体" w:cs="宋体"/>
          <w:b/>
          <w:bCs/>
          <w:color w:val="auto"/>
          <w:sz w:val="21"/>
          <w:szCs w:val="21"/>
        </w:rPr>
        <w:t>建设内容：</w:t>
      </w:r>
    </w:p>
    <w:p w14:paraId="2F25CFAF">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本项目为阳江市市</w:t>
      </w:r>
      <w:r>
        <w:rPr>
          <w:rFonts w:hint="eastAsia" w:ascii="宋体" w:hAnsi="宋体" w:cs="宋体"/>
          <w:color w:val="auto"/>
          <w:sz w:val="21"/>
          <w:szCs w:val="21"/>
          <w:lang w:eastAsia="zh-CN"/>
        </w:rPr>
        <w:t>海陵试验区智慧停车特许经营项目</w:t>
      </w:r>
      <w:r>
        <w:rPr>
          <w:rFonts w:hint="eastAsia" w:ascii="宋体" w:hAnsi="宋体" w:eastAsia="宋体" w:cs="宋体"/>
          <w:color w:val="auto"/>
          <w:sz w:val="21"/>
          <w:szCs w:val="21"/>
        </w:rPr>
        <w:t>，主要规划建设路内改造车位、公共停车场。具体</w:t>
      </w:r>
      <w:r>
        <w:rPr>
          <w:rFonts w:hint="eastAsia" w:ascii="宋体" w:hAnsi="宋体" w:eastAsia="宋体" w:cs="宋体"/>
          <w:color w:val="auto"/>
          <w:sz w:val="21"/>
          <w:szCs w:val="21"/>
          <w:lang w:val="en-US" w:eastAsia="zh-CN"/>
        </w:rPr>
        <w:t>路段及区域</w:t>
      </w:r>
      <w:r>
        <w:rPr>
          <w:rFonts w:hint="eastAsia" w:ascii="宋体" w:hAnsi="宋体" w:eastAsia="宋体" w:cs="宋体"/>
          <w:color w:val="auto"/>
          <w:sz w:val="21"/>
          <w:szCs w:val="21"/>
        </w:rPr>
        <w:t>：</w:t>
      </w:r>
    </w:p>
    <w:p w14:paraId="0A165BE3">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重点路线：黄金海岸敏捷大道</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恒大路段一海上夏威夷</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瓦晒湾一海洋秘境</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海滨二路</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金桥路(兴安街)</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东风路</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环港路</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人民路</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宋康大道</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海滨西路</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望角路</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北洛湾大道</w:t>
      </w:r>
    </w:p>
    <w:p w14:paraId="1585DB0C">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重点区域：闹坡国际海产交易商场</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碧桂园-北洛明珠停车场</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自由港饭店门口</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四海一家鱼排停车场</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美海湾(香港)国际能源加油站</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牛塘山文化公</w:t>
      </w:r>
      <w:r>
        <w:rPr>
          <w:rFonts w:hint="eastAsia" w:ascii="宋体" w:hAnsi="宋体" w:cs="宋体"/>
          <w:color w:val="auto"/>
          <w:sz w:val="21"/>
          <w:szCs w:val="21"/>
          <w:lang w:val="en-US" w:eastAsia="zh-CN"/>
        </w:rPr>
        <w:t>园</w:t>
      </w:r>
      <w:r>
        <w:rPr>
          <w:rFonts w:hint="eastAsia" w:ascii="宋体" w:hAnsi="宋体" w:eastAsia="宋体" w:cs="宋体"/>
          <w:color w:val="auto"/>
          <w:sz w:val="21"/>
          <w:szCs w:val="21"/>
        </w:rPr>
        <w:t>前(白石根路)</w:t>
      </w:r>
      <w:r>
        <w:rPr>
          <w:rFonts w:hint="eastAsia" w:ascii="宋体" w:hAnsi="宋体" w:eastAsia="宋体" w:cs="宋体"/>
          <w:color w:val="auto"/>
          <w:sz w:val="21"/>
          <w:szCs w:val="21"/>
          <w:lang w:eastAsia="zh-CN"/>
        </w:rPr>
        <w:t>、</w:t>
      </w:r>
      <w:r>
        <w:rPr>
          <w:rFonts w:hint="eastAsia" w:ascii="宋体" w:hAnsi="宋体" w:eastAsia="宋体" w:cs="宋体"/>
          <w:color w:val="auto"/>
          <w:kern w:val="0"/>
          <w:sz w:val="21"/>
          <w:szCs w:val="21"/>
        </w:rPr>
        <w:t>南海一号</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大道保利小区入口</w:t>
      </w:r>
      <w:r>
        <w:rPr>
          <w:rFonts w:hint="eastAsia" w:ascii="宋体" w:hAnsi="宋体" w:eastAsia="宋体" w:cs="宋体"/>
          <w:color w:val="auto"/>
          <w:kern w:val="0"/>
          <w:sz w:val="21"/>
          <w:szCs w:val="21"/>
          <w:lang w:eastAsia="zh-CN"/>
        </w:rPr>
        <w:t>、</w:t>
      </w:r>
      <w:r>
        <w:rPr>
          <w:rFonts w:hint="eastAsia" w:ascii="宋体" w:hAnsi="宋体" w:eastAsia="宋体" w:cs="宋体"/>
          <w:color w:val="auto"/>
          <w:sz w:val="21"/>
          <w:szCs w:val="21"/>
        </w:rPr>
        <w:t>海陵税局对面停车场</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大角湾地下停车场</w:t>
      </w:r>
    </w:p>
    <w:p w14:paraId="5EA3BDC0">
      <w:pPr>
        <w:keepNext w:val="0"/>
        <w:keepLines w:val="0"/>
        <w:pageBreakBefore w:val="0"/>
        <w:kinsoku/>
        <w:wordWrap/>
        <w:topLinePunct w:val="0"/>
        <w:bidi w:val="0"/>
        <w:snapToGrid/>
        <w:spacing w:line="460" w:lineRule="exact"/>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车位数量：</w:t>
      </w:r>
    </w:p>
    <w:p w14:paraId="567A0DAD">
      <w:pPr>
        <w:keepNext w:val="0"/>
        <w:keepLines w:val="0"/>
        <w:pageBreakBefore w:val="0"/>
        <w:kinsoku/>
        <w:wordWrap/>
        <w:topLinePunct w:val="0"/>
        <w:bidi w:val="0"/>
        <w:snapToGrid/>
        <w:spacing w:line="460" w:lineRule="exact"/>
        <w:ind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rPr>
        <w:t>（</w:t>
      </w:r>
      <w:r>
        <w:rPr>
          <w:rFonts w:hint="eastAsia" w:ascii="宋体" w:hAnsi="宋体" w:cs="宋体"/>
          <w:color w:val="auto"/>
          <w:sz w:val="21"/>
          <w:szCs w:val="21"/>
          <w:lang w:val="en-US" w:eastAsia="zh-CN"/>
        </w:rPr>
        <w:t>一</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新规划</w:t>
      </w:r>
      <w:r>
        <w:rPr>
          <w:rFonts w:hint="eastAsia" w:ascii="宋体" w:hAnsi="宋体" w:eastAsia="宋体" w:cs="宋体"/>
          <w:color w:val="auto"/>
          <w:sz w:val="21"/>
          <w:szCs w:val="21"/>
        </w:rPr>
        <w:t>智慧停车泊位</w:t>
      </w:r>
      <w:r>
        <w:rPr>
          <w:rFonts w:hint="eastAsia" w:ascii="宋体" w:hAnsi="宋体" w:eastAsia="宋体" w:cs="宋体"/>
          <w:color w:val="auto"/>
          <w:kern w:val="0"/>
          <w:sz w:val="21"/>
          <w:szCs w:val="21"/>
        </w:rPr>
        <w:t>1361</w:t>
      </w:r>
      <w:r>
        <w:rPr>
          <w:rFonts w:hint="eastAsia" w:ascii="宋体" w:hAnsi="宋体" w:eastAsia="宋体" w:cs="宋体"/>
          <w:color w:val="auto"/>
          <w:sz w:val="21"/>
          <w:szCs w:val="21"/>
        </w:rPr>
        <w:t>个</w:t>
      </w:r>
      <w:r>
        <w:rPr>
          <w:rFonts w:hint="eastAsia" w:ascii="宋体" w:hAnsi="宋体" w:eastAsia="宋体" w:cs="宋体"/>
          <w:color w:val="auto"/>
          <w:sz w:val="21"/>
          <w:szCs w:val="21"/>
          <w:lang w:eastAsia="zh-CN"/>
        </w:rPr>
        <w:t>；</w:t>
      </w:r>
    </w:p>
    <w:p w14:paraId="1E3DC7D5">
      <w:pPr>
        <w:keepNext w:val="0"/>
        <w:keepLines w:val="0"/>
        <w:pageBreakBefore w:val="0"/>
        <w:kinsoku/>
        <w:wordWrap/>
        <w:topLinePunct w:val="0"/>
        <w:bidi w:val="0"/>
        <w:snapToGrid/>
        <w:spacing w:line="46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cs="宋体"/>
          <w:color w:val="auto"/>
          <w:sz w:val="21"/>
          <w:szCs w:val="21"/>
          <w:lang w:val="en-US" w:eastAsia="zh-CN"/>
        </w:rPr>
        <w:t>二</w:t>
      </w:r>
      <w:r>
        <w:rPr>
          <w:rFonts w:hint="eastAsia" w:ascii="宋体" w:hAnsi="宋体" w:eastAsia="宋体" w:cs="宋体"/>
          <w:color w:val="auto"/>
          <w:sz w:val="21"/>
          <w:szCs w:val="21"/>
        </w:rPr>
        <w:t>）</w:t>
      </w:r>
      <w:r>
        <w:rPr>
          <w:rFonts w:hint="eastAsia" w:ascii="宋体" w:hAnsi="宋体" w:eastAsia="宋体" w:cs="宋体"/>
          <w:b w:val="0"/>
          <w:bCs w:val="0"/>
          <w:color w:val="auto"/>
          <w:kern w:val="0"/>
          <w:sz w:val="21"/>
          <w:szCs w:val="21"/>
        </w:rPr>
        <w:t>待规划</w:t>
      </w:r>
      <w:r>
        <w:rPr>
          <w:rFonts w:hint="eastAsia" w:ascii="宋体" w:hAnsi="宋体" w:eastAsia="宋体" w:cs="宋体"/>
          <w:b w:val="0"/>
          <w:bCs w:val="0"/>
          <w:color w:val="auto"/>
          <w:sz w:val="21"/>
          <w:szCs w:val="21"/>
        </w:rPr>
        <w:t>智</w:t>
      </w:r>
      <w:r>
        <w:rPr>
          <w:rFonts w:hint="eastAsia" w:ascii="宋体" w:hAnsi="宋体" w:eastAsia="宋体" w:cs="宋体"/>
          <w:color w:val="auto"/>
          <w:sz w:val="21"/>
          <w:szCs w:val="21"/>
        </w:rPr>
        <w:t>慧停车泊位</w:t>
      </w:r>
      <w:r>
        <w:rPr>
          <w:rFonts w:hint="eastAsia" w:ascii="宋体" w:hAnsi="宋体" w:eastAsia="宋体" w:cs="宋体"/>
          <w:color w:val="auto"/>
          <w:kern w:val="0"/>
          <w:sz w:val="21"/>
          <w:szCs w:val="21"/>
        </w:rPr>
        <w:t>1169</w:t>
      </w:r>
      <w:r>
        <w:rPr>
          <w:rFonts w:hint="eastAsia" w:ascii="宋体" w:hAnsi="宋体" w:eastAsia="宋体" w:cs="宋体"/>
          <w:color w:val="auto"/>
          <w:kern w:val="0"/>
          <w:sz w:val="21"/>
          <w:szCs w:val="21"/>
          <w:lang w:eastAsia="zh-CN"/>
        </w:rPr>
        <w:t>个</w:t>
      </w:r>
      <w:r>
        <w:rPr>
          <w:rFonts w:hint="eastAsia" w:ascii="宋体" w:hAnsi="宋体" w:eastAsia="宋体" w:cs="宋体"/>
          <w:color w:val="auto"/>
          <w:sz w:val="21"/>
          <w:szCs w:val="21"/>
        </w:rPr>
        <w:t>；</w:t>
      </w:r>
    </w:p>
    <w:p w14:paraId="34607437">
      <w:pPr>
        <w:keepNext w:val="0"/>
        <w:keepLines w:val="0"/>
        <w:pageBreakBefore w:val="0"/>
        <w:kinsoku/>
        <w:wordWrap/>
        <w:topLinePunct w:val="0"/>
        <w:bidi w:val="0"/>
        <w:snapToGrid/>
        <w:spacing w:line="460" w:lineRule="exact"/>
        <w:jc w:val="center"/>
        <w:rPr>
          <w:rFonts w:hint="eastAsia" w:ascii="宋体" w:hAnsi="宋体" w:cs="宋体"/>
          <w:color w:val="auto"/>
        </w:rPr>
      </w:pPr>
      <w:r>
        <w:rPr>
          <w:rFonts w:hint="eastAsia" w:ascii="宋体" w:hAnsi="宋体" w:eastAsia="宋体" w:cs="宋体"/>
          <w:color w:val="auto"/>
          <w:sz w:val="21"/>
          <w:szCs w:val="21"/>
          <w:lang w:val="en-US" w:eastAsia="zh-CN"/>
        </w:rPr>
        <w:t>表</w:t>
      </w:r>
      <w:r>
        <w:rPr>
          <w:rFonts w:hint="eastAsia" w:ascii="宋体" w:hAnsi="宋体" w:cs="宋体"/>
          <w:color w:val="auto"/>
          <w:sz w:val="21"/>
          <w:szCs w:val="21"/>
          <w:lang w:val="en-US" w:eastAsia="zh-CN"/>
        </w:rPr>
        <w:t>1</w:t>
      </w:r>
      <w:r>
        <w:rPr>
          <w:rFonts w:hint="eastAsia" w:ascii="宋体" w:hAnsi="宋体" w:eastAsia="宋体" w:cs="宋体"/>
          <w:color w:val="auto"/>
          <w:sz w:val="21"/>
          <w:szCs w:val="21"/>
          <w:lang w:val="en-US" w:eastAsia="zh-CN"/>
        </w:rPr>
        <w:t>：</w:t>
      </w:r>
      <w:r>
        <w:rPr>
          <w:rFonts w:hint="eastAsia" w:ascii="宋体" w:hAnsi="宋体" w:cs="宋体"/>
          <w:color w:val="auto"/>
        </w:rPr>
        <w:t>停车泊位智能化升级建设明细如下：</w:t>
      </w:r>
    </w:p>
    <w:tbl>
      <w:tblPr>
        <w:tblStyle w:val="19"/>
        <w:tblW w:w="5000" w:type="pct"/>
        <w:tblInd w:w="0" w:type="dxa"/>
        <w:tblLayout w:type="autofit"/>
        <w:tblCellMar>
          <w:top w:w="0" w:type="dxa"/>
          <w:left w:w="108" w:type="dxa"/>
          <w:bottom w:w="0" w:type="dxa"/>
          <w:right w:w="108" w:type="dxa"/>
        </w:tblCellMar>
      </w:tblPr>
      <w:tblGrid>
        <w:gridCol w:w="638"/>
        <w:gridCol w:w="3461"/>
        <w:gridCol w:w="1251"/>
        <w:gridCol w:w="1253"/>
        <w:gridCol w:w="1919"/>
      </w:tblGrid>
      <w:tr w14:paraId="32D376D7">
        <w:tblPrEx>
          <w:tblCellMar>
            <w:top w:w="0" w:type="dxa"/>
            <w:left w:w="108" w:type="dxa"/>
            <w:bottom w:w="0" w:type="dxa"/>
            <w:right w:w="108" w:type="dxa"/>
          </w:tblCellMar>
        </w:tblPrEx>
        <w:trPr>
          <w:trHeight w:val="567"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8D6743">
            <w:pPr>
              <w:keepNext w:val="0"/>
              <w:keepLines w:val="0"/>
              <w:pageBreakBefore w:val="0"/>
              <w:widowControl/>
              <w:kinsoku/>
              <w:wordWrap/>
              <w:topLinePunct w:val="0"/>
              <w:bidi w:val="0"/>
              <w:snapToGrid/>
              <w:spacing w:line="460" w:lineRule="exact"/>
              <w:jc w:val="left"/>
              <w:textAlignment w:val="center"/>
              <w:rPr>
                <w:rFonts w:hint="default" w:ascii="宋体" w:hAnsi="宋体" w:eastAsia="宋体" w:cs="宋体"/>
                <w:b/>
                <w:bCs/>
                <w:color w:val="auto"/>
                <w:sz w:val="21"/>
                <w:szCs w:val="21"/>
                <w:lang w:val="en-US" w:eastAsia="zh-CN"/>
              </w:rPr>
            </w:pPr>
            <w:r>
              <w:rPr>
                <w:rFonts w:hint="eastAsia" w:ascii="宋体" w:hAnsi="宋体" w:cs="宋体"/>
                <w:b/>
                <w:bCs/>
                <w:color w:val="auto"/>
                <w:kern w:val="0"/>
                <w:sz w:val="21"/>
                <w:szCs w:val="21"/>
                <w:lang w:bidi="ar"/>
              </w:rPr>
              <w:t>一、道路停车泊位</w:t>
            </w:r>
            <w:r>
              <w:rPr>
                <w:rFonts w:hint="eastAsia" w:ascii="宋体" w:hAnsi="宋体" w:cs="宋体"/>
                <w:b/>
                <w:bCs/>
                <w:color w:val="auto"/>
                <w:kern w:val="0"/>
                <w:sz w:val="21"/>
                <w:szCs w:val="21"/>
                <w:lang w:val="en-US" w:eastAsia="zh-CN" w:bidi="ar"/>
              </w:rPr>
              <w:t>-智能化升级建设</w:t>
            </w:r>
          </w:p>
        </w:tc>
      </w:tr>
      <w:tr w14:paraId="1E0B2762">
        <w:tblPrEx>
          <w:tblCellMar>
            <w:top w:w="0" w:type="dxa"/>
            <w:left w:w="108" w:type="dxa"/>
            <w:bottom w:w="0" w:type="dxa"/>
            <w:right w:w="108" w:type="dxa"/>
          </w:tblCellMar>
        </w:tblPrEx>
        <w:trPr>
          <w:trHeight w:val="567" w:hRule="atLeast"/>
        </w:trPr>
        <w:tc>
          <w:tcPr>
            <w:tcW w:w="37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0C390C">
            <w:pPr>
              <w:keepNext w:val="0"/>
              <w:keepLines w:val="0"/>
              <w:pageBreakBefore w:val="0"/>
              <w:widowControl/>
              <w:kinsoku/>
              <w:wordWrap/>
              <w:topLinePunct w:val="0"/>
              <w:bidi w:val="0"/>
              <w:snapToGrid/>
              <w:spacing w:line="460" w:lineRule="exact"/>
              <w:jc w:val="center"/>
              <w:textAlignment w:val="center"/>
              <w:rPr>
                <w:rFonts w:ascii="宋体" w:hAnsi="宋体" w:cs="宋体"/>
                <w:b/>
                <w:bCs/>
                <w:color w:val="auto"/>
                <w:sz w:val="21"/>
                <w:szCs w:val="21"/>
              </w:rPr>
            </w:pPr>
            <w:r>
              <w:rPr>
                <w:rFonts w:hint="eastAsia" w:ascii="宋体" w:hAnsi="宋体" w:cs="宋体"/>
                <w:b/>
                <w:bCs/>
                <w:color w:val="auto"/>
                <w:kern w:val="0"/>
                <w:sz w:val="21"/>
                <w:szCs w:val="21"/>
                <w:lang w:bidi="ar"/>
              </w:rPr>
              <w:t>序号</w:t>
            </w:r>
          </w:p>
        </w:tc>
        <w:tc>
          <w:tcPr>
            <w:tcW w:w="20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8D2913">
            <w:pPr>
              <w:keepNext w:val="0"/>
              <w:keepLines w:val="0"/>
              <w:pageBreakBefore w:val="0"/>
              <w:widowControl/>
              <w:kinsoku/>
              <w:wordWrap/>
              <w:topLinePunct w:val="0"/>
              <w:bidi w:val="0"/>
              <w:snapToGrid/>
              <w:spacing w:line="460" w:lineRule="exact"/>
              <w:jc w:val="center"/>
              <w:textAlignment w:val="center"/>
              <w:rPr>
                <w:rFonts w:ascii="宋体" w:hAnsi="宋体" w:cs="宋体"/>
                <w:b/>
                <w:bCs/>
                <w:color w:val="auto"/>
                <w:sz w:val="21"/>
                <w:szCs w:val="21"/>
              </w:rPr>
            </w:pPr>
            <w:r>
              <w:rPr>
                <w:rFonts w:hint="eastAsia" w:ascii="宋体" w:hAnsi="宋体" w:cs="宋体"/>
                <w:b/>
                <w:bCs/>
                <w:color w:val="auto"/>
                <w:kern w:val="0"/>
                <w:sz w:val="21"/>
                <w:szCs w:val="21"/>
                <w:lang w:bidi="ar"/>
              </w:rPr>
              <w:t>路段</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CD8ACA">
            <w:pPr>
              <w:keepNext w:val="0"/>
              <w:keepLines w:val="0"/>
              <w:pageBreakBefore w:val="0"/>
              <w:widowControl/>
              <w:kinsoku/>
              <w:wordWrap/>
              <w:topLinePunct w:val="0"/>
              <w:bidi w:val="0"/>
              <w:snapToGrid/>
              <w:spacing w:line="460" w:lineRule="exact"/>
              <w:jc w:val="center"/>
              <w:textAlignment w:val="center"/>
              <w:rPr>
                <w:rFonts w:ascii="宋体" w:hAnsi="宋体" w:cs="宋体"/>
                <w:b/>
                <w:bCs/>
                <w:color w:val="auto"/>
                <w:sz w:val="21"/>
                <w:szCs w:val="21"/>
              </w:rPr>
            </w:pPr>
            <w:r>
              <w:rPr>
                <w:rFonts w:hint="eastAsia" w:ascii="宋体" w:hAnsi="宋体" w:cs="宋体"/>
                <w:b/>
                <w:bCs/>
                <w:color w:val="auto"/>
                <w:kern w:val="0"/>
                <w:sz w:val="21"/>
                <w:szCs w:val="21"/>
                <w:lang w:bidi="ar"/>
              </w:rPr>
              <w:t>已规划泊位数</w:t>
            </w:r>
          </w:p>
        </w:tc>
        <w:tc>
          <w:tcPr>
            <w:tcW w:w="7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947C51">
            <w:pPr>
              <w:keepNext w:val="0"/>
              <w:keepLines w:val="0"/>
              <w:pageBreakBefore w:val="0"/>
              <w:widowControl/>
              <w:kinsoku/>
              <w:wordWrap/>
              <w:topLinePunct w:val="0"/>
              <w:bidi w:val="0"/>
              <w:snapToGrid/>
              <w:spacing w:line="460" w:lineRule="exact"/>
              <w:jc w:val="center"/>
              <w:textAlignment w:val="center"/>
              <w:rPr>
                <w:rFonts w:ascii="宋体" w:hAnsi="宋体" w:cs="宋体"/>
                <w:b/>
                <w:bCs/>
                <w:color w:val="auto"/>
                <w:sz w:val="21"/>
                <w:szCs w:val="21"/>
              </w:rPr>
            </w:pPr>
            <w:r>
              <w:rPr>
                <w:rFonts w:hint="eastAsia" w:ascii="宋体" w:hAnsi="宋体" w:cs="宋体"/>
                <w:b/>
                <w:bCs/>
                <w:color w:val="auto"/>
                <w:kern w:val="0"/>
                <w:sz w:val="21"/>
                <w:szCs w:val="21"/>
                <w:lang w:bidi="ar"/>
              </w:rPr>
              <w:t>待规划泊位数</w:t>
            </w:r>
          </w:p>
        </w:tc>
        <w:tc>
          <w:tcPr>
            <w:tcW w:w="112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0E44C2">
            <w:pPr>
              <w:keepNext w:val="0"/>
              <w:keepLines w:val="0"/>
              <w:pageBreakBefore w:val="0"/>
              <w:widowControl/>
              <w:kinsoku/>
              <w:wordWrap/>
              <w:topLinePunct w:val="0"/>
              <w:bidi w:val="0"/>
              <w:snapToGrid/>
              <w:spacing w:line="460" w:lineRule="exact"/>
              <w:jc w:val="center"/>
              <w:textAlignment w:val="center"/>
              <w:rPr>
                <w:rFonts w:ascii="宋体" w:hAnsi="宋体" w:cs="宋体"/>
                <w:b/>
                <w:bCs/>
                <w:color w:val="auto"/>
                <w:sz w:val="21"/>
                <w:szCs w:val="21"/>
              </w:rPr>
            </w:pPr>
            <w:r>
              <w:rPr>
                <w:rFonts w:hint="eastAsia" w:ascii="宋体" w:hAnsi="宋体" w:cs="宋体"/>
                <w:b/>
                <w:bCs/>
                <w:color w:val="auto"/>
                <w:kern w:val="0"/>
                <w:sz w:val="21"/>
                <w:szCs w:val="21"/>
                <w:lang w:bidi="ar"/>
              </w:rPr>
              <w:t>备注</w:t>
            </w:r>
          </w:p>
        </w:tc>
      </w:tr>
      <w:tr w14:paraId="2E75246D">
        <w:tblPrEx>
          <w:tblCellMar>
            <w:top w:w="0" w:type="dxa"/>
            <w:left w:w="108" w:type="dxa"/>
            <w:bottom w:w="0" w:type="dxa"/>
            <w:right w:w="108" w:type="dxa"/>
          </w:tblCellMar>
        </w:tblPrEx>
        <w:trPr>
          <w:trHeight w:val="567" w:hRule="atLeast"/>
        </w:trPr>
        <w:tc>
          <w:tcPr>
            <w:tcW w:w="37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FAF423">
            <w:pPr>
              <w:keepNext w:val="0"/>
              <w:keepLines w:val="0"/>
              <w:pageBreakBefore w:val="0"/>
              <w:widowControl/>
              <w:kinsoku/>
              <w:wordWrap/>
              <w:topLinePunct w:val="0"/>
              <w:bidi w:val="0"/>
              <w:snapToGrid/>
              <w:spacing w:line="460" w:lineRule="exact"/>
              <w:jc w:val="center"/>
              <w:textAlignment w:val="center"/>
              <w:rPr>
                <w:rFonts w:ascii="宋体" w:hAnsi="宋体" w:cs="宋体"/>
                <w:b/>
                <w:bCs/>
                <w:color w:val="auto"/>
                <w:sz w:val="21"/>
                <w:szCs w:val="21"/>
              </w:rPr>
            </w:pPr>
            <w:r>
              <w:rPr>
                <w:rFonts w:hint="eastAsia" w:ascii="宋体" w:hAnsi="宋体" w:cs="宋体"/>
                <w:b/>
                <w:bCs/>
                <w:color w:val="auto"/>
                <w:kern w:val="0"/>
                <w:sz w:val="21"/>
                <w:szCs w:val="21"/>
                <w:lang w:bidi="ar"/>
              </w:rPr>
              <w:t>1</w:t>
            </w:r>
          </w:p>
        </w:tc>
        <w:tc>
          <w:tcPr>
            <w:tcW w:w="20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4E3DBE">
            <w:pPr>
              <w:keepNext w:val="0"/>
              <w:keepLines w:val="0"/>
              <w:pageBreakBefore w:val="0"/>
              <w:widowControl/>
              <w:kinsoku/>
              <w:wordWrap/>
              <w:topLinePunct w:val="0"/>
              <w:bidi w:val="0"/>
              <w:snapToGrid/>
              <w:spacing w:line="460" w:lineRule="exact"/>
              <w:jc w:val="center"/>
              <w:textAlignment w:val="center"/>
              <w:rPr>
                <w:rFonts w:ascii="宋体" w:hAnsi="宋体" w:cs="宋体"/>
                <w:color w:val="auto"/>
                <w:sz w:val="21"/>
                <w:szCs w:val="21"/>
              </w:rPr>
            </w:pPr>
            <w:r>
              <w:rPr>
                <w:rFonts w:hint="eastAsia" w:ascii="宋体" w:hAnsi="宋体" w:cs="宋体"/>
                <w:color w:val="auto"/>
                <w:kern w:val="0"/>
                <w:sz w:val="21"/>
                <w:szCs w:val="21"/>
                <w:lang w:bidi="ar"/>
              </w:rPr>
              <w:t>东风路</w:t>
            </w:r>
          </w:p>
        </w:tc>
        <w:tc>
          <w:tcPr>
            <w:tcW w:w="7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0724DA">
            <w:pPr>
              <w:keepNext w:val="0"/>
              <w:keepLines w:val="0"/>
              <w:pageBreakBefore w:val="0"/>
              <w:widowControl/>
              <w:kinsoku/>
              <w:wordWrap/>
              <w:topLinePunct w:val="0"/>
              <w:bidi w:val="0"/>
              <w:snapToGrid/>
              <w:spacing w:line="460" w:lineRule="exact"/>
              <w:jc w:val="center"/>
              <w:textAlignment w:val="center"/>
              <w:rPr>
                <w:rFonts w:ascii="宋体" w:hAnsi="宋体" w:cs="宋体"/>
                <w:color w:val="auto"/>
                <w:sz w:val="21"/>
                <w:szCs w:val="21"/>
              </w:rPr>
            </w:pPr>
            <w:r>
              <w:rPr>
                <w:rFonts w:hint="eastAsia" w:ascii="宋体" w:hAnsi="宋体" w:cs="宋体"/>
                <w:color w:val="auto"/>
                <w:kern w:val="0"/>
                <w:sz w:val="21"/>
                <w:szCs w:val="21"/>
                <w:lang w:bidi="ar"/>
              </w:rPr>
              <w:t>291</w:t>
            </w:r>
          </w:p>
        </w:tc>
        <w:tc>
          <w:tcPr>
            <w:tcW w:w="73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9F7D1A">
            <w:pPr>
              <w:keepNext w:val="0"/>
              <w:keepLines w:val="0"/>
              <w:pageBreakBefore w:val="0"/>
              <w:widowControl/>
              <w:kinsoku/>
              <w:wordWrap/>
              <w:topLinePunct w:val="0"/>
              <w:bidi w:val="0"/>
              <w:snapToGrid/>
              <w:spacing w:line="460" w:lineRule="exact"/>
              <w:jc w:val="center"/>
              <w:textAlignment w:val="center"/>
              <w:rPr>
                <w:rFonts w:ascii="宋体" w:hAnsi="宋体" w:cs="宋体"/>
                <w:color w:val="auto"/>
                <w:sz w:val="21"/>
                <w:szCs w:val="21"/>
              </w:rPr>
            </w:pPr>
            <w:r>
              <w:rPr>
                <w:rFonts w:hint="eastAsia" w:ascii="宋体" w:hAnsi="宋体" w:cs="宋体"/>
                <w:color w:val="auto"/>
                <w:kern w:val="0"/>
                <w:sz w:val="21"/>
                <w:szCs w:val="21"/>
                <w:lang w:bidi="ar"/>
              </w:rPr>
              <w:t>0</w:t>
            </w:r>
          </w:p>
        </w:tc>
        <w:tc>
          <w:tcPr>
            <w:tcW w:w="112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9B7973">
            <w:pPr>
              <w:keepNext w:val="0"/>
              <w:keepLines w:val="0"/>
              <w:pageBreakBefore w:val="0"/>
              <w:widowControl/>
              <w:kinsoku/>
              <w:wordWrap/>
              <w:topLinePunct w:val="0"/>
              <w:bidi w:val="0"/>
              <w:snapToGrid/>
              <w:spacing w:line="460" w:lineRule="exact"/>
              <w:jc w:val="center"/>
              <w:rPr>
                <w:rFonts w:ascii="宋体" w:hAnsi="宋体" w:cs="宋体"/>
                <w:b/>
                <w:bCs/>
                <w:color w:val="auto"/>
                <w:sz w:val="21"/>
                <w:szCs w:val="21"/>
              </w:rPr>
            </w:pPr>
          </w:p>
        </w:tc>
      </w:tr>
      <w:tr w14:paraId="4091E037">
        <w:tblPrEx>
          <w:tblCellMar>
            <w:top w:w="0" w:type="dxa"/>
            <w:left w:w="108" w:type="dxa"/>
            <w:bottom w:w="0" w:type="dxa"/>
            <w:right w:w="108" w:type="dxa"/>
          </w:tblCellMar>
        </w:tblPrEx>
        <w:trPr>
          <w:trHeight w:val="567" w:hRule="atLeast"/>
        </w:trPr>
        <w:tc>
          <w:tcPr>
            <w:tcW w:w="37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5FC505">
            <w:pPr>
              <w:keepNext w:val="0"/>
              <w:keepLines w:val="0"/>
              <w:pageBreakBefore w:val="0"/>
              <w:widowControl/>
              <w:kinsoku/>
              <w:wordWrap/>
              <w:topLinePunct w:val="0"/>
              <w:bidi w:val="0"/>
              <w:snapToGrid/>
              <w:spacing w:line="460" w:lineRule="exact"/>
              <w:jc w:val="center"/>
              <w:textAlignment w:val="center"/>
              <w:rPr>
                <w:rFonts w:ascii="宋体" w:hAnsi="宋体" w:cs="宋体"/>
                <w:b/>
                <w:bCs/>
                <w:color w:val="auto"/>
                <w:sz w:val="21"/>
                <w:szCs w:val="21"/>
              </w:rPr>
            </w:pPr>
            <w:r>
              <w:rPr>
                <w:rFonts w:hint="eastAsia" w:ascii="宋体" w:hAnsi="宋体" w:cs="宋体"/>
                <w:b/>
                <w:bCs/>
                <w:color w:val="auto"/>
                <w:kern w:val="0"/>
                <w:sz w:val="21"/>
                <w:szCs w:val="21"/>
                <w:lang w:bidi="ar"/>
              </w:rPr>
              <w:t>2</w:t>
            </w:r>
          </w:p>
        </w:tc>
        <w:tc>
          <w:tcPr>
            <w:tcW w:w="20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3F280D">
            <w:pPr>
              <w:keepNext w:val="0"/>
              <w:keepLines w:val="0"/>
              <w:pageBreakBefore w:val="0"/>
              <w:widowControl/>
              <w:kinsoku/>
              <w:wordWrap/>
              <w:topLinePunct w:val="0"/>
              <w:bidi w:val="0"/>
              <w:snapToGrid/>
              <w:spacing w:line="460" w:lineRule="exact"/>
              <w:jc w:val="center"/>
              <w:textAlignment w:val="center"/>
              <w:rPr>
                <w:rFonts w:ascii="宋体" w:hAnsi="宋体" w:cs="宋体"/>
                <w:color w:val="auto"/>
                <w:sz w:val="21"/>
                <w:szCs w:val="21"/>
              </w:rPr>
            </w:pPr>
            <w:r>
              <w:rPr>
                <w:rFonts w:hint="eastAsia" w:ascii="宋体" w:hAnsi="宋体" w:cs="宋体"/>
                <w:color w:val="auto"/>
                <w:kern w:val="0"/>
                <w:sz w:val="21"/>
                <w:szCs w:val="21"/>
                <w:lang w:bidi="ar"/>
              </w:rPr>
              <w:t>人民路</w:t>
            </w:r>
          </w:p>
        </w:tc>
        <w:tc>
          <w:tcPr>
            <w:tcW w:w="7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FC84D7">
            <w:pPr>
              <w:keepNext w:val="0"/>
              <w:keepLines w:val="0"/>
              <w:pageBreakBefore w:val="0"/>
              <w:widowControl/>
              <w:kinsoku/>
              <w:wordWrap/>
              <w:topLinePunct w:val="0"/>
              <w:bidi w:val="0"/>
              <w:snapToGrid/>
              <w:spacing w:line="460" w:lineRule="exact"/>
              <w:jc w:val="center"/>
              <w:textAlignment w:val="center"/>
              <w:rPr>
                <w:rFonts w:ascii="宋体" w:hAnsi="宋体" w:cs="宋体"/>
                <w:color w:val="auto"/>
                <w:sz w:val="21"/>
                <w:szCs w:val="21"/>
              </w:rPr>
            </w:pPr>
            <w:r>
              <w:rPr>
                <w:rFonts w:hint="eastAsia" w:ascii="宋体" w:hAnsi="宋体" w:cs="宋体"/>
                <w:color w:val="auto"/>
                <w:kern w:val="0"/>
                <w:sz w:val="21"/>
                <w:szCs w:val="21"/>
                <w:lang w:bidi="ar"/>
              </w:rPr>
              <w:t>91</w:t>
            </w:r>
          </w:p>
        </w:tc>
        <w:tc>
          <w:tcPr>
            <w:tcW w:w="73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EBFBD9">
            <w:pPr>
              <w:keepNext w:val="0"/>
              <w:keepLines w:val="0"/>
              <w:pageBreakBefore w:val="0"/>
              <w:widowControl/>
              <w:kinsoku/>
              <w:wordWrap/>
              <w:topLinePunct w:val="0"/>
              <w:bidi w:val="0"/>
              <w:snapToGrid/>
              <w:spacing w:line="460" w:lineRule="exact"/>
              <w:jc w:val="center"/>
              <w:textAlignment w:val="center"/>
              <w:rPr>
                <w:rFonts w:ascii="宋体" w:hAnsi="宋体" w:cs="宋体"/>
                <w:color w:val="auto"/>
                <w:sz w:val="21"/>
                <w:szCs w:val="21"/>
              </w:rPr>
            </w:pPr>
            <w:r>
              <w:rPr>
                <w:rFonts w:hint="eastAsia" w:ascii="宋体" w:hAnsi="宋体" w:cs="宋体"/>
                <w:color w:val="auto"/>
                <w:kern w:val="0"/>
                <w:sz w:val="21"/>
                <w:szCs w:val="21"/>
                <w:lang w:bidi="ar"/>
              </w:rPr>
              <w:t>0</w:t>
            </w:r>
          </w:p>
        </w:tc>
        <w:tc>
          <w:tcPr>
            <w:tcW w:w="112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92FC9D">
            <w:pPr>
              <w:keepNext w:val="0"/>
              <w:keepLines w:val="0"/>
              <w:pageBreakBefore w:val="0"/>
              <w:widowControl/>
              <w:kinsoku/>
              <w:wordWrap/>
              <w:topLinePunct w:val="0"/>
              <w:bidi w:val="0"/>
              <w:snapToGrid/>
              <w:spacing w:line="460" w:lineRule="exact"/>
              <w:jc w:val="center"/>
              <w:rPr>
                <w:rFonts w:ascii="宋体" w:hAnsi="宋体" w:cs="宋体"/>
                <w:b/>
                <w:bCs/>
                <w:color w:val="auto"/>
                <w:sz w:val="21"/>
                <w:szCs w:val="21"/>
              </w:rPr>
            </w:pPr>
          </w:p>
        </w:tc>
      </w:tr>
      <w:tr w14:paraId="6E3D4593">
        <w:tblPrEx>
          <w:tblCellMar>
            <w:top w:w="0" w:type="dxa"/>
            <w:left w:w="108" w:type="dxa"/>
            <w:bottom w:w="0" w:type="dxa"/>
            <w:right w:w="108" w:type="dxa"/>
          </w:tblCellMar>
        </w:tblPrEx>
        <w:trPr>
          <w:trHeight w:val="567" w:hRule="atLeast"/>
        </w:trPr>
        <w:tc>
          <w:tcPr>
            <w:tcW w:w="37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1FFBEB">
            <w:pPr>
              <w:keepNext w:val="0"/>
              <w:keepLines w:val="0"/>
              <w:pageBreakBefore w:val="0"/>
              <w:widowControl/>
              <w:kinsoku/>
              <w:wordWrap/>
              <w:topLinePunct w:val="0"/>
              <w:bidi w:val="0"/>
              <w:snapToGrid/>
              <w:spacing w:line="460" w:lineRule="exact"/>
              <w:jc w:val="center"/>
              <w:textAlignment w:val="center"/>
              <w:rPr>
                <w:rFonts w:ascii="宋体" w:hAnsi="宋体" w:cs="宋体"/>
                <w:b/>
                <w:bCs/>
                <w:color w:val="auto"/>
                <w:sz w:val="21"/>
                <w:szCs w:val="21"/>
              </w:rPr>
            </w:pPr>
            <w:r>
              <w:rPr>
                <w:rFonts w:hint="eastAsia" w:ascii="宋体" w:hAnsi="宋体" w:cs="宋体"/>
                <w:b/>
                <w:bCs/>
                <w:color w:val="auto"/>
                <w:kern w:val="0"/>
                <w:sz w:val="21"/>
                <w:szCs w:val="21"/>
                <w:lang w:bidi="ar"/>
              </w:rPr>
              <w:t>3</w:t>
            </w:r>
          </w:p>
        </w:tc>
        <w:tc>
          <w:tcPr>
            <w:tcW w:w="20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FEEF0D">
            <w:pPr>
              <w:keepNext w:val="0"/>
              <w:keepLines w:val="0"/>
              <w:pageBreakBefore w:val="0"/>
              <w:widowControl/>
              <w:kinsoku/>
              <w:wordWrap/>
              <w:topLinePunct w:val="0"/>
              <w:bidi w:val="0"/>
              <w:snapToGrid/>
              <w:spacing w:line="460" w:lineRule="exact"/>
              <w:jc w:val="center"/>
              <w:textAlignment w:val="center"/>
              <w:rPr>
                <w:rFonts w:ascii="宋体" w:hAnsi="宋体" w:cs="宋体"/>
                <w:color w:val="auto"/>
                <w:sz w:val="21"/>
                <w:szCs w:val="21"/>
              </w:rPr>
            </w:pPr>
            <w:r>
              <w:rPr>
                <w:rFonts w:hint="eastAsia" w:ascii="宋体" w:hAnsi="宋体" w:cs="宋体"/>
                <w:color w:val="auto"/>
                <w:kern w:val="0"/>
                <w:sz w:val="21"/>
                <w:szCs w:val="21"/>
                <w:lang w:bidi="ar"/>
              </w:rPr>
              <w:t>金桥路（兴安街）</w:t>
            </w:r>
          </w:p>
        </w:tc>
        <w:tc>
          <w:tcPr>
            <w:tcW w:w="7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F1C2C9">
            <w:pPr>
              <w:keepNext w:val="0"/>
              <w:keepLines w:val="0"/>
              <w:pageBreakBefore w:val="0"/>
              <w:widowControl/>
              <w:kinsoku/>
              <w:wordWrap/>
              <w:topLinePunct w:val="0"/>
              <w:bidi w:val="0"/>
              <w:snapToGrid/>
              <w:spacing w:line="460" w:lineRule="exact"/>
              <w:jc w:val="center"/>
              <w:textAlignment w:val="center"/>
              <w:rPr>
                <w:rFonts w:ascii="宋体" w:hAnsi="宋体" w:cs="宋体"/>
                <w:color w:val="auto"/>
                <w:sz w:val="21"/>
                <w:szCs w:val="21"/>
              </w:rPr>
            </w:pPr>
            <w:r>
              <w:rPr>
                <w:rFonts w:hint="eastAsia" w:ascii="宋体" w:hAnsi="宋体" w:cs="宋体"/>
                <w:color w:val="auto"/>
                <w:kern w:val="0"/>
                <w:sz w:val="21"/>
                <w:szCs w:val="21"/>
                <w:lang w:bidi="ar"/>
              </w:rPr>
              <w:t>58</w:t>
            </w:r>
          </w:p>
        </w:tc>
        <w:tc>
          <w:tcPr>
            <w:tcW w:w="73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0B9C14">
            <w:pPr>
              <w:keepNext w:val="0"/>
              <w:keepLines w:val="0"/>
              <w:pageBreakBefore w:val="0"/>
              <w:widowControl/>
              <w:kinsoku/>
              <w:wordWrap/>
              <w:topLinePunct w:val="0"/>
              <w:bidi w:val="0"/>
              <w:snapToGrid/>
              <w:spacing w:line="460" w:lineRule="exact"/>
              <w:jc w:val="center"/>
              <w:textAlignment w:val="center"/>
              <w:rPr>
                <w:rFonts w:ascii="宋体" w:hAnsi="宋体" w:cs="宋体"/>
                <w:color w:val="auto"/>
                <w:sz w:val="21"/>
                <w:szCs w:val="21"/>
              </w:rPr>
            </w:pPr>
            <w:r>
              <w:rPr>
                <w:rFonts w:hint="eastAsia" w:ascii="宋体" w:hAnsi="宋体" w:cs="宋体"/>
                <w:color w:val="auto"/>
                <w:kern w:val="0"/>
                <w:sz w:val="21"/>
                <w:szCs w:val="21"/>
                <w:lang w:bidi="ar"/>
              </w:rPr>
              <w:t>0</w:t>
            </w:r>
          </w:p>
        </w:tc>
        <w:tc>
          <w:tcPr>
            <w:tcW w:w="112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8C082D">
            <w:pPr>
              <w:keepNext w:val="0"/>
              <w:keepLines w:val="0"/>
              <w:pageBreakBefore w:val="0"/>
              <w:widowControl/>
              <w:kinsoku/>
              <w:wordWrap/>
              <w:topLinePunct w:val="0"/>
              <w:bidi w:val="0"/>
              <w:snapToGrid/>
              <w:spacing w:line="460" w:lineRule="exact"/>
              <w:jc w:val="center"/>
              <w:rPr>
                <w:rFonts w:ascii="宋体" w:hAnsi="宋体" w:cs="宋体"/>
                <w:b/>
                <w:bCs/>
                <w:color w:val="auto"/>
                <w:sz w:val="21"/>
                <w:szCs w:val="21"/>
              </w:rPr>
            </w:pPr>
          </w:p>
        </w:tc>
      </w:tr>
      <w:tr w14:paraId="03EAA249">
        <w:tblPrEx>
          <w:tblCellMar>
            <w:top w:w="0" w:type="dxa"/>
            <w:left w:w="108" w:type="dxa"/>
            <w:bottom w:w="0" w:type="dxa"/>
            <w:right w:w="108" w:type="dxa"/>
          </w:tblCellMar>
        </w:tblPrEx>
        <w:trPr>
          <w:trHeight w:val="567" w:hRule="atLeast"/>
        </w:trPr>
        <w:tc>
          <w:tcPr>
            <w:tcW w:w="37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33BA6D">
            <w:pPr>
              <w:keepNext w:val="0"/>
              <w:keepLines w:val="0"/>
              <w:pageBreakBefore w:val="0"/>
              <w:widowControl/>
              <w:kinsoku/>
              <w:wordWrap/>
              <w:topLinePunct w:val="0"/>
              <w:bidi w:val="0"/>
              <w:snapToGrid/>
              <w:spacing w:line="460" w:lineRule="exact"/>
              <w:jc w:val="center"/>
              <w:textAlignment w:val="center"/>
              <w:rPr>
                <w:rFonts w:ascii="宋体" w:hAnsi="宋体" w:cs="宋体"/>
                <w:b/>
                <w:bCs/>
                <w:color w:val="auto"/>
                <w:sz w:val="21"/>
                <w:szCs w:val="21"/>
              </w:rPr>
            </w:pPr>
            <w:r>
              <w:rPr>
                <w:rFonts w:hint="eastAsia" w:ascii="宋体" w:hAnsi="宋体" w:cs="宋体"/>
                <w:b/>
                <w:bCs/>
                <w:color w:val="auto"/>
                <w:kern w:val="0"/>
                <w:sz w:val="21"/>
                <w:szCs w:val="21"/>
                <w:lang w:bidi="ar"/>
              </w:rPr>
              <w:t>4</w:t>
            </w:r>
          </w:p>
        </w:tc>
        <w:tc>
          <w:tcPr>
            <w:tcW w:w="20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4F4E6E">
            <w:pPr>
              <w:keepNext w:val="0"/>
              <w:keepLines w:val="0"/>
              <w:pageBreakBefore w:val="0"/>
              <w:widowControl/>
              <w:kinsoku/>
              <w:wordWrap/>
              <w:topLinePunct w:val="0"/>
              <w:bidi w:val="0"/>
              <w:snapToGrid/>
              <w:spacing w:line="460" w:lineRule="exact"/>
              <w:jc w:val="center"/>
              <w:textAlignment w:val="center"/>
              <w:rPr>
                <w:rFonts w:ascii="宋体" w:hAnsi="宋体" w:cs="宋体"/>
                <w:color w:val="auto"/>
                <w:sz w:val="21"/>
                <w:szCs w:val="21"/>
              </w:rPr>
            </w:pPr>
            <w:r>
              <w:rPr>
                <w:rFonts w:hint="eastAsia" w:ascii="宋体" w:hAnsi="宋体" w:cs="宋体"/>
                <w:color w:val="auto"/>
                <w:kern w:val="0"/>
                <w:sz w:val="21"/>
                <w:szCs w:val="21"/>
                <w:lang w:bidi="ar"/>
              </w:rPr>
              <w:t>海滨二路</w:t>
            </w:r>
          </w:p>
        </w:tc>
        <w:tc>
          <w:tcPr>
            <w:tcW w:w="7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D8770F">
            <w:pPr>
              <w:keepNext w:val="0"/>
              <w:keepLines w:val="0"/>
              <w:pageBreakBefore w:val="0"/>
              <w:widowControl/>
              <w:kinsoku/>
              <w:wordWrap/>
              <w:topLinePunct w:val="0"/>
              <w:bidi w:val="0"/>
              <w:snapToGrid/>
              <w:spacing w:line="460" w:lineRule="exact"/>
              <w:jc w:val="center"/>
              <w:textAlignment w:val="center"/>
              <w:rPr>
                <w:rFonts w:ascii="宋体" w:hAnsi="宋体" w:cs="宋体"/>
                <w:color w:val="auto"/>
                <w:sz w:val="21"/>
                <w:szCs w:val="21"/>
              </w:rPr>
            </w:pPr>
            <w:r>
              <w:rPr>
                <w:rFonts w:hint="eastAsia" w:ascii="宋体" w:hAnsi="宋体" w:cs="宋体"/>
                <w:color w:val="auto"/>
                <w:kern w:val="0"/>
                <w:sz w:val="21"/>
                <w:szCs w:val="21"/>
                <w:lang w:bidi="ar"/>
              </w:rPr>
              <w:t>39</w:t>
            </w:r>
          </w:p>
        </w:tc>
        <w:tc>
          <w:tcPr>
            <w:tcW w:w="73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CC7B80">
            <w:pPr>
              <w:keepNext w:val="0"/>
              <w:keepLines w:val="0"/>
              <w:pageBreakBefore w:val="0"/>
              <w:widowControl/>
              <w:kinsoku/>
              <w:wordWrap/>
              <w:topLinePunct w:val="0"/>
              <w:bidi w:val="0"/>
              <w:snapToGrid/>
              <w:spacing w:line="460" w:lineRule="exact"/>
              <w:jc w:val="center"/>
              <w:textAlignment w:val="center"/>
              <w:rPr>
                <w:rFonts w:ascii="宋体" w:hAnsi="宋体" w:cs="宋体"/>
                <w:color w:val="auto"/>
                <w:sz w:val="21"/>
                <w:szCs w:val="21"/>
              </w:rPr>
            </w:pPr>
            <w:r>
              <w:rPr>
                <w:rFonts w:hint="eastAsia" w:ascii="宋体" w:hAnsi="宋体" w:cs="宋体"/>
                <w:color w:val="auto"/>
                <w:kern w:val="0"/>
                <w:sz w:val="21"/>
                <w:szCs w:val="21"/>
                <w:lang w:bidi="ar"/>
              </w:rPr>
              <w:t>0</w:t>
            </w:r>
          </w:p>
        </w:tc>
        <w:tc>
          <w:tcPr>
            <w:tcW w:w="112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D08A2A">
            <w:pPr>
              <w:keepNext w:val="0"/>
              <w:keepLines w:val="0"/>
              <w:pageBreakBefore w:val="0"/>
              <w:widowControl/>
              <w:kinsoku/>
              <w:wordWrap/>
              <w:topLinePunct w:val="0"/>
              <w:bidi w:val="0"/>
              <w:snapToGrid/>
              <w:spacing w:line="460" w:lineRule="exact"/>
              <w:jc w:val="center"/>
              <w:rPr>
                <w:rFonts w:ascii="宋体" w:hAnsi="宋体" w:cs="宋体"/>
                <w:b/>
                <w:bCs/>
                <w:color w:val="auto"/>
                <w:sz w:val="21"/>
                <w:szCs w:val="21"/>
              </w:rPr>
            </w:pPr>
          </w:p>
        </w:tc>
      </w:tr>
      <w:tr w14:paraId="666F83CF">
        <w:tblPrEx>
          <w:tblCellMar>
            <w:top w:w="0" w:type="dxa"/>
            <w:left w:w="108" w:type="dxa"/>
            <w:bottom w:w="0" w:type="dxa"/>
            <w:right w:w="108" w:type="dxa"/>
          </w:tblCellMar>
        </w:tblPrEx>
        <w:trPr>
          <w:trHeight w:val="567" w:hRule="atLeast"/>
        </w:trPr>
        <w:tc>
          <w:tcPr>
            <w:tcW w:w="37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E3ED97">
            <w:pPr>
              <w:keepNext w:val="0"/>
              <w:keepLines w:val="0"/>
              <w:pageBreakBefore w:val="0"/>
              <w:widowControl/>
              <w:kinsoku/>
              <w:wordWrap/>
              <w:topLinePunct w:val="0"/>
              <w:bidi w:val="0"/>
              <w:snapToGrid/>
              <w:spacing w:line="460" w:lineRule="exact"/>
              <w:jc w:val="center"/>
              <w:textAlignment w:val="center"/>
              <w:rPr>
                <w:rFonts w:ascii="宋体" w:hAnsi="宋体" w:cs="宋体"/>
                <w:b/>
                <w:bCs/>
                <w:color w:val="auto"/>
                <w:sz w:val="21"/>
                <w:szCs w:val="21"/>
              </w:rPr>
            </w:pPr>
            <w:r>
              <w:rPr>
                <w:rFonts w:hint="eastAsia" w:ascii="宋体" w:hAnsi="宋体" w:cs="宋体"/>
                <w:b/>
                <w:bCs/>
                <w:color w:val="auto"/>
                <w:kern w:val="0"/>
                <w:sz w:val="21"/>
                <w:szCs w:val="21"/>
                <w:lang w:bidi="ar"/>
              </w:rPr>
              <w:t>5</w:t>
            </w:r>
          </w:p>
        </w:tc>
        <w:tc>
          <w:tcPr>
            <w:tcW w:w="20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9B4913">
            <w:pPr>
              <w:keepNext w:val="0"/>
              <w:keepLines w:val="0"/>
              <w:pageBreakBefore w:val="0"/>
              <w:widowControl/>
              <w:kinsoku/>
              <w:wordWrap/>
              <w:topLinePunct w:val="0"/>
              <w:bidi w:val="0"/>
              <w:snapToGrid/>
              <w:spacing w:line="460" w:lineRule="exact"/>
              <w:jc w:val="center"/>
              <w:textAlignment w:val="center"/>
              <w:rPr>
                <w:rFonts w:ascii="宋体" w:hAnsi="宋体" w:cs="宋体"/>
                <w:color w:val="auto"/>
                <w:sz w:val="21"/>
                <w:szCs w:val="21"/>
              </w:rPr>
            </w:pPr>
            <w:r>
              <w:rPr>
                <w:rFonts w:hint="eastAsia" w:ascii="宋体" w:hAnsi="宋体" w:cs="宋体"/>
                <w:color w:val="auto"/>
                <w:kern w:val="0"/>
                <w:sz w:val="21"/>
                <w:szCs w:val="21"/>
                <w:lang w:bidi="ar"/>
              </w:rPr>
              <w:t>环港路</w:t>
            </w:r>
          </w:p>
        </w:tc>
        <w:tc>
          <w:tcPr>
            <w:tcW w:w="7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98B06C">
            <w:pPr>
              <w:keepNext w:val="0"/>
              <w:keepLines w:val="0"/>
              <w:pageBreakBefore w:val="0"/>
              <w:widowControl/>
              <w:kinsoku/>
              <w:wordWrap/>
              <w:topLinePunct w:val="0"/>
              <w:bidi w:val="0"/>
              <w:snapToGrid/>
              <w:spacing w:line="460" w:lineRule="exact"/>
              <w:jc w:val="center"/>
              <w:textAlignment w:val="center"/>
              <w:rPr>
                <w:rFonts w:ascii="宋体" w:hAnsi="宋体" w:cs="宋体"/>
                <w:color w:val="auto"/>
                <w:sz w:val="21"/>
                <w:szCs w:val="21"/>
              </w:rPr>
            </w:pPr>
            <w:r>
              <w:rPr>
                <w:rFonts w:hint="eastAsia" w:ascii="宋体" w:hAnsi="宋体" w:cs="宋体"/>
                <w:color w:val="auto"/>
                <w:kern w:val="0"/>
                <w:sz w:val="21"/>
                <w:szCs w:val="21"/>
                <w:lang w:bidi="ar"/>
              </w:rPr>
              <w:t>20</w:t>
            </w:r>
          </w:p>
        </w:tc>
        <w:tc>
          <w:tcPr>
            <w:tcW w:w="73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C1991C">
            <w:pPr>
              <w:keepNext w:val="0"/>
              <w:keepLines w:val="0"/>
              <w:pageBreakBefore w:val="0"/>
              <w:widowControl/>
              <w:kinsoku/>
              <w:wordWrap/>
              <w:topLinePunct w:val="0"/>
              <w:bidi w:val="0"/>
              <w:snapToGrid/>
              <w:spacing w:line="460" w:lineRule="exact"/>
              <w:jc w:val="center"/>
              <w:textAlignment w:val="center"/>
              <w:rPr>
                <w:rFonts w:ascii="宋体" w:hAnsi="宋体" w:cs="宋体"/>
                <w:color w:val="auto"/>
                <w:sz w:val="21"/>
                <w:szCs w:val="21"/>
              </w:rPr>
            </w:pPr>
            <w:r>
              <w:rPr>
                <w:rFonts w:hint="eastAsia" w:ascii="宋体" w:hAnsi="宋体" w:cs="宋体"/>
                <w:color w:val="auto"/>
                <w:kern w:val="0"/>
                <w:sz w:val="21"/>
                <w:szCs w:val="21"/>
                <w:lang w:bidi="ar"/>
              </w:rPr>
              <w:t>27</w:t>
            </w:r>
          </w:p>
        </w:tc>
        <w:tc>
          <w:tcPr>
            <w:tcW w:w="112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EE804D">
            <w:pPr>
              <w:keepNext w:val="0"/>
              <w:keepLines w:val="0"/>
              <w:pageBreakBefore w:val="0"/>
              <w:widowControl/>
              <w:kinsoku/>
              <w:wordWrap/>
              <w:topLinePunct w:val="0"/>
              <w:bidi w:val="0"/>
              <w:snapToGrid/>
              <w:spacing w:line="460" w:lineRule="exact"/>
              <w:jc w:val="center"/>
              <w:rPr>
                <w:rFonts w:ascii="宋体" w:hAnsi="宋体" w:cs="宋体"/>
                <w:b/>
                <w:bCs/>
                <w:color w:val="auto"/>
                <w:sz w:val="21"/>
                <w:szCs w:val="21"/>
              </w:rPr>
            </w:pPr>
          </w:p>
        </w:tc>
      </w:tr>
      <w:tr w14:paraId="1C7C4C87">
        <w:tblPrEx>
          <w:tblCellMar>
            <w:top w:w="0" w:type="dxa"/>
            <w:left w:w="108" w:type="dxa"/>
            <w:bottom w:w="0" w:type="dxa"/>
            <w:right w:w="108" w:type="dxa"/>
          </w:tblCellMar>
        </w:tblPrEx>
        <w:trPr>
          <w:trHeight w:val="567" w:hRule="atLeast"/>
        </w:trPr>
        <w:tc>
          <w:tcPr>
            <w:tcW w:w="37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444E99">
            <w:pPr>
              <w:keepNext w:val="0"/>
              <w:keepLines w:val="0"/>
              <w:pageBreakBefore w:val="0"/>
              <w:widowControl/>
              <w:kinsoku/>
              <w:wordWrap/>
              <w:topLinePunct w:val="0"/>
              <w:bidi w:val="0"/>
              <w:snapToGrid/>
              <w:spacing w:line="460" w:lineRule="exact"/>
              <w:jc w:val="center"/>
              <w:textAlignment w:val="center"/>
              <w:rPr>
                <w:rFonts w:ascii="宋体" w:hAnsi="宋体" w:cs="宋体"/>
                <w:b/>
                <w:bCs/>
                <w:color w:val="auto"/>
                <w:sz w:val="21"/>
                <w:szCs w:val="21"/>
              </w:rPr>
            </w:pPr>
            <w:r>
              <w:rPr>
                <w:rFonts w:hint="eastAsia" w:ascii="宋体" w:hAnsi="宋体" w:cs="宋体"/>
                <w:b/>
                <w:bCs/>
                <w:color w:val="auto"/>
                <w:kern w:val="0"/>
                <w:sz w:val="21"/>
                <w:szCs w:val="21"/>
                <w:lang w:bidi="ar"/>
              </w:rPr>
              <w:t>6</w:t>
            </w:r>
          </w:p>
        </w:tc>
        <w:tc>
          <w:tcPr>
            <w:tcW w:w="20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1BA397">
            <w:pPr>
              <w:keepNext w:val="0"/>
              <w:keepLines w:val="0"/>
              <w:pageBreakBefore w:val="0"/>
              <w:widowControl/>
              <w:kinsoku/>
              <w:wordWrap/>
              <w:topLinePunct w:val="0"/>
              <w:bidi w:val="0"/>
              <w:snapToGrid/>
              <w:spacing w:line="460" w:lineRule="exact"/>
              <w:jc w:val="center"/>
              <w:textAlignment w:val="center"/>
              <w:rPr>
                <w:rFonts w:ascii="宋体" w:hAnsi="宋体" w:cs="宋体"/>
                <w:color w:val="auto"/>
                <w:sz w:val="21"/>
                <w:szCs w:val="21"/>
              </w:rPr>
            </w:pPr>
            <w:r>
              <w:rPr>
                <w:rFonts w:hint="eastAsia" w:ascii="宋体" w:hAnsi="宋体" w:cs="宋体"/>
                <w:color w:val="auto"/>
                <w:kern w:val="0"/>
                <w:sz w:val="21"/>
                <w:szCs w:val="21"/>
                <w:lang w:bidi="ar"/>
              </w:rPr>
              <w:t>海滨西路</w:t>
            </w:r>
          </w:p>
        </w:tc>
        <w:tc>
          <w:tcPr>
            <w:tcW w:w="7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F05CBE">
            <w:pPr>
              <w:keepNext w:val="0"/>
              <w:keepLines w:val="0"/>
              <w:pageBreakBefore w:val="0"/>
              <w:widowControl/>
              <w:kinsoku/>
              <w:wordWrap/>
              <w:topLinePunct w:val="0"/>
              <w:bidi w:val="0"/>
              <w:snapToGrid/>
              <w:spacing w:line="460" w:lineRule="exact"/>
              <w:jc w:val="center"/>
              <w:textAlignment w:val="center"/>
              <w:rPr>
                <w:rFonts w:ascii="宋体" w:hAnsi="宋体" w:cs="宋体"/>
                <w:color w:val="auto"/>
                <w:sz w:val="21"/>
                <w:szCs w:val="21"/>
              </w:rPr>
            </w:pPr>
            <w:r>
              <w:rPr>
                <w:rFonts w:hint="eastAsia" w:ascii="宋体" w:hAnsi="宋体" w:cs="宋体"/>
                <w:color w:val="auto"/>
                <w:kern w:val="0"/>
                <w:sz w:val="21"/>
                <w:szCs w:val="21"/>
                <w:lang w:bidi="ar"/>
              </w:rPr>
              <w:t>24</w:t>
            </w:r>
          </w:p>
        </w:tc>
        <w:tc>
          <w:tcPr>
            <w:tcW w:w="73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960610">
            <w:pPr>
              <w:keepNext w:val="0"/>
              <w:keepLines w:val="0"/>
              <w:pageBreakBefore w:val="0"/>
              <w:widowControl/>
              <w:kinsoku/>
              <w:wordWrap/>
              <w:topLinePunct w:val="0"/>
              <w:bidi w:val="0"/>
              <w:snapToGrid/>
              <w:spacing w:line="460" w:lineRule="exact"/>
              <w:jc w:val="center"/>
              <w:textAlignment w:val="center"/>
              <w:rPr>
                <w:rFonts w:ascii="宋体" w:hAnsi="宋体" w:cs="宋体"/>
                <w:color w:val="auto"/>
                <w:sz w:val="21"/>
                <w:szCs w:val="21"/>
              </w:rPr>
            </w:pPr>
            <w:r>
              <w:rPr>
                <w:rFonts w:hint="eastAsia" w:ascii="宋体" w:hAnsi="宋体" w:cs="宋体"/>
                <w:color w:val="auto"/>
                <w:kern w:val="0"/>
                <w:sz w:val="21"/>
                <w:szCs w:val="21"/>
                <w:lang w:bidi="ar"/>
              </w:rPr>
              <w:t>0</w:t>
            </w:r>
          </w:p>
        </w:tc>
        <w:tc>
          <w:tcPr>
            <w:tcW w:w="112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A5FC1E">
            <w:pPr>
              <w:keepNext w:val="0"/>
              <w:keepLines w:val="0"/>
              <w:pageBreakBefore w:val="0"/>
              <w:widowControl/>
              <w:kinsoku/>
              <w:wordWrap/>
              <w:topLinePunct w:val="0"/>
              <w:bidi w:val="0"/>
              <w:snapToGrid/>
              <w:spacing w:line="460" w:lineRule="exact"/>
              <w:jc w:val="center"/>
              <w:rPr>
                <w:rFonts w:ascii="宋体" w:hAnsi="宋体" w:cs="宋体"/>
                <w:b/>
                <w:bCs/>
                <w:color w:val="auto"/>
                <w:sz w:val="21"/>
                <w:szCs w:val="21"/>
              </w:rPr>
            </w:pPr>
          </w:p>
        </w:tc>
      </w:tr>
      <w:tr w14:paraId="64E71E9D">
        <w:tblPrEx>
          <w:tblCellMar>
            <w:top w:w="0" w:type="dxa"/>
            <w:left w:w="108" w:type="dxa"/>
            <w:bottom w:w="0" w:type="dxa"/>
            <w:right w:w="108" w:type="dxa"/>
          </w:tblCellMar>
        </w:tblPrEx>
        <w:trPr>
          <w:trHeight w:val="567" w:hRule="atLeast"/>
        </w:trPr>
        <w:tc>
          <w:tcPr>
            <w:tcW w:w="37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7C7268">
            <w:pPr>
              <w:keepNext w:val="0"/>
              <w:keepLines w:val="0"/>
              <w:pageBreakBefore w:val="0"/>
              <w:widowControl/>
              <w:kinsoku/>
              <w:wordWrap/>
              <w:topLinePunct w:val="0"/>
              <w:bidi w:val="0"/>
              <w:snapToGrid/>
              <w:spacing w:line="460" w:lineRule="exact"/>
              <w:jc w:val="center"/>
              <w:textAlignment w:val="center"/>
              <w:rPr>
                <w:rFonts w:ascii="宋体" w:hAnsi="宋体" w:cs="宋体"/>
                <w:b/>
                <w:bCs/>
                <w:color w:val="auto"/>
                <w:sz w:val="21"/>
                <w:szCs w:val="21"/>
              </w:rPr>
            </w:pPr>
            <w:r>
              <w:rPr>
                <w:rFonts w:hint="eastAsia" w:ascii="宋体" w:hAnsi="宋体" w:cs="宋体"/>
                <w:b/>
                <w:bCs/>
                <w:color w:val="auto"/>
                <w:kern w:val="0"/>
                <w:sz w:val="21"/>
                <w:szCs w:val="21"/>
                <w:lang w:bidi="ar"/>
              </w:rPr>
              <w:t>7</w:t>
            </w:r>
          </w:p>
        </w:tc>
        <w:tc>
          <w:tcPr>
            <w:tcW w:w="20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ADE9FF">
            <w:pPr>
              <w:keepNext w:val="0"/>
              <w:keepLines w:val="0"/>
              <w:pageBreakBefore w:val="0"/>
              <w:widowControl/>
              <w:kinsoku/>
              <w:wordWrap/>
              <w:topLinePunct w:val="0"/>
              <w:bidi w:val="0"/>
              <w:snapToGrid/>
              <w:spacing w:line="460" w:lineRule="exact"/>
              <w:jc w:val="center"/>
              <w:textAlignment w:val="center"/>
              <w:rPr>
                <w:rFonts w:ascii="宋体" w:hAnsi="宋体" w:cs="宋体"/>
                <w:color w:val="auto"/>
                <w:sz w:val="21"/>
                <w:szCs w:val="21"/>
              </w:rPr>
            </w:pPr>
            <w:r>
              <w:rPr>
                <w:rFonts w:hint="eastAsia" w:ascii="宋体" w:hAnsi="宋体" w:cs="宋体"/>
                <w:color w:val="auto"/>
                <w:kern w:val="0"/>
                <w:sz w:val="21"/>
                <w:szCs w:val="21"/>
                <w:lang w:bidi="ar"/>
              </w:rPr>
              <w:t>宋康大道</w:t>
            </w:r>
          </w:p>
        </w:tc>
        <w:tc>
          <w:tcPr>
            <w:tcW w:w="7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A781BC">
            <w:pPr>
              <w:keepNext w:val="0"/>
              <w:keepLines w:val="0"/>
              <w:pageBreakBefore w:val="0"/>
              <w:widowControl/>
              <w:kinsoku/>
              <w:wordWrap/>
              <w:topLinePunct w:val="0"/>
              <w:bidi w:val="0"/>
              <w:snapToGrid/>
              <w:spacing w:line="460" w:lineRule="exact"/>
              <w:jc w:val="center"/>
              <w:textAlignment w:val="center"/>
              <w:rPr>
                <w:rFonts w:ascii="宋体" w:hAnsi="宋体" w:cs="宋体"/>
                <w:color w:val="auto"/>
                <w:sz w:val="21"/>
                <w:szCs w:val="21"/>
              </w:rPr>
            </w:pPr>
            <w:r>
              <w:rPr>
                <w:rFonts w:hint="eastAsia" w:ascii="宋体" w:hAnsi="宋体" w:cs="宋体"/>
                <w:color w:val="auto"/>
                <w:kern w:val="0"/>
                <w:sz w:val="21"/>
                <w:szCs w:val="21"/>
                <w:lang w:bidi="ar"/>
              </w:rPr>
              <w:t>181</w:t>
            </w:r>
          </w:p>
        </w:tc>
        <w:tc>
          <w:tcPr>
            <w:tcW w:w="73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78EC65">
            <w:pPr>
              <w:keepNext w:val="0"/>
              <w:keepLines w:val="0"/>
              <w:pageBreakBefore w:val="0"/>
              <w:widowControl/>
              <w:kinsoku/>
              <w:wordWrap/>
              <w:topLinePunct w:val="0"/>
              <w:bidi w:val="0"/>
              <w:snapToGrid/>
              <w:spacing w:line="460" w:lineRule="exact"/>
              <w:jc w:val="center"/>
              <w:textAlignment w:val="center"/>
              <w:rPr>
                <w:rFonts w:ascii="宋体" w:hAnsi="宋体" w:cs="宋体"/>
                <w:color w:val="auto"/>
                <w:sz w:val="21"/>
                <w:szCs w:val="21"/>
              </w:rPr>
            </w:pPr>
            <w:r>
              <w:rPr>
                <w:rFonts w:hint="eastAsia" w:ascii="宋体" w:hAnsi="宋体" w:cs="宋体"/>
                <w:color w:val="auto"/>
                <w:kern w:val="0"/>
                <w:sz w:val="21"/>
                <w:szCs w:val="21"/>
                <w:lang w:bidi="ar"/>
              </w:rPr>
              <w:t>0</w:t>
            </w:r>
          </w:p>
        </w:tc>
        <w:tc>
          <w:tcPr>
            <w:tcW w:w="112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E710BA">
            <w:pPr>
              <w:keepNext w:val="0"/>
              <w:keepLines w:val="0"/>
              <w:pageBreakBefore w:val="0"/>
              <w:widowControl/>
              <w:kinsoku/>
              <w:wordWrap/>
              <w:topLinePunct w:val="0"/>
              <w:bidi w:val="0"/>
              <w:snapToGrid/>
              <w:spacing w:line="460" w:lineRule="exact"/>
              <w:jc w:val="center"/>
              <w:rPr>
                <w:rFonts w:ascii="宋体" w:hAnsi="宋体" w:cs="宋体"/>
                <w:b/>
                <w:bCs/>
                <w:color w:val="auto"/>
                <w:sz w:val="21"/>
                <w:szCs w:val="21"/>
              </w:rPr>
            </w:pPr>
          </w:p>
        </w:tc>
      </w:tr>
      <w:tr w14:paraId="5AAA7668">
        <w:tblPrEx>
          <w:tblCellMar>
            <w:top w:w="0" w:type="dxa"/>
            <w:left w:w="108" w:type="dxa"/>
            <w:bottom w:w="0" w:type="dxa"/>
            <w:right w:w="108" w:type="dxa"/>
          </w:tblCellMar>
        </w:tblPrEx>
        <w:trPr>
          <w:trHeight w:val="567" w:hRule="atLeast"/>
        </w:trPr>
        <w:tc>
          <w:tcPr>
            <w:tcW w:w="37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A56590">
            <w:pPr>
              <w:keepNext w:val="0"/>
              <w:keepLines w:val="0"/>
              <w:pageBreakBefore w:val="0"/>
              <w:widowControl/>
              <w:kinsoku/>
              <w:wordWrap/>
              <w:topLinePunct w:val="0"/>
              <w:bidi w:val="0"/>
              <w:snapToGrid/>
              <w:spacing w:line="460" w:lineRule="exact"/>
              <w:jc w:val="center"/>
              <w:textAlignment w:val="center"/>
              <w:rPr>
                <w:rFonts w:ascii="宋体" w:hAnsi="宋体" w:cs="宋体"/>
                <w:b/>
                <w:bCs/>
                <w:color w:val="auto"/>
                <w:sz w:val="21"/>
                <w:szCs w:val="21"/>
              </w:rPr>
            </w:pPr>
            <w:r>
              <w:rPr>
                <w:rFonts w:hint="eastAsia" w:ascii="宋体" w:hAnsi="宋体" w:cs="宋体"/>
                <w:b/>
                <w:bCs/>
                <w:color w:val="auto"/>
                <w:kern w:val="0"/>
                <w:sz w:val="21"/>
                <w:szCs w:val="21"/>
                <w:lang w:bidi="ar"/>
              </w:rPr>
              <w:t>8</w:t>
            </w:r>
          </w:p>
        </w:tc>
        <w:tc>
          <w:tcPr>
            <w:tcW w:w="20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62A595">
            <w:pPr>
              <w:keepNext w:val="0"/>
              <w:keepLines w:val="0"/>
              <w:pageBreakBefore w:val="0"/>
              <w:widowControl/>
              <w:kinsoku/>
              <w:wordWrap/>
              <w:topLinePunct w:val="0"/>
              <w:bidi w:val="0"/>
              <w:snapToGrid/>
              <w:spacing w:line="460" w:lineRule="exact"/>
              <w:jc w:val="center"/>
              <w:textAlignment w:val="center"/>
              <w:rPr>
                <w:rFonts w:ascii="宋体" w:hAnsi="宋体" w:cs="宋体"/>
                <w:color w:val="auto"/>
                <w:sz w:val="21"/>
                <w:szCs w:val="21"/>
              </w:rPr>
            </w:pPr>
            <w:r>
              <w:rPr>
                <w:rFonts w:hint="eastAsia" w:ascii="宋体" w:hAnsi="宋体" w:cs="宋体"/>
                <w:color w:val="auto"/>
                <w:kern w:val="0"/>
                <w:sz w:val="21"/>
                <w:szCs w:val="21"/>
                <w:lang w:bidi="ar"/>
              </w:rPr>
              <w:t>南海一号大道保利小区入口</w:t>
            </w:r>
          </w:p>
        </w:tc>
        <w:tc>
          <w:tcPr>
            <w:tcW w:w="7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AE330F">
            <w:pPr>
              <w:keepNext w:val="0"/>
              <w:keepLines w:val="0"/>
              <w:pageBreakBefore w:val="0"/>
              <w:widowControl/>
              <w:kinsoku/>
              <w:wordWrap/>
              <w:topLinePunct w:val="0"/>
              <w:bidi w:val="0"/>
              <w:snapToGrid/>
              <w:spacing w:line="460" w:lineRule="exact"/>
              <w:jc w:val="center"/>
              <w:textAlignment w:val="center"/>
              <w:rPr>
                <w:rFonts w:ascii="宋体" w:hAnsi="宋体" w:cs="宋体"/>
                <w:color w:val="auto"/>
                <w:sz w:val="21"/>
                <w:szCs w:val="21"/>
              </w:rPr>
            </w:pPr>
            <w:r>
              <w:rPr>
                <w:rFonts w:hint="eastAsia" w:ascii="宋体" w:hAnsi="宋体" w:cs="宋体"/>
                <w:color w:val="auto"/>
                <w:kern w:val="0"/>
                <w:sz w:val="21"/>
                <w:szCs w:val="21"/>
                <w:lang w:bidi="ar"/>
              </w:rPr>
              <w:t>137</w:t>
            </w:r>
          </w:p>
        </w:tc>
        <w:tc>
          <w:tcPr>
            <w:tcW w:w="73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5A4560">
            <w:pPr>
              <w:keepNext w:val="0"/>
              <w:keepLines w:val="0"/>
              <w:pageBreakBefore w:val="0"/>
              <w:widowControl/>
              <w:kinsoku/>
              <w:wordWrap/>
              <w:topLinePunct w:val="0"/>
              <w:bidi w:val="0"/>
              <w:snapToGrid/>
              <w:spacing w:line="460" w:lineRule="exact"/>
              <w:jc w:val="center"/>
              <w:textAlignment w:val="center"/>
              <w:rPr>
                <w:rFonts w:ascii="宋体" w:hAnsi="宋体" w:cs="宋体"/>
                <w:color w:val="auto"/>
                <w:sz w:val="21"/>
                <w:szCs w:val="21"/>
              </w:rPr>
            </w:pPr>
            <w:r>
              <w:rPr>
                <w:rFonts w:hint="eastAsia" w:ascii="宋体" w:hAnsi="宋体" w:cs="宋体"/>
                <w:color w:val="auto"/>
                <w:kern w:val="0"/>
                <w:sz w:val="21"/>
                <w:szCs w:val="21"/>
                <w:lang w:bidi="ar"/>
              </w:rPr>
              <w:t>0</w:t>
            </w:r>
          </w:p>
        </w:tc>
        <w:tc>
          <w:tcPr>
            <w:tcW w:w="112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AF07CD">
            <w:pPr>
              <w:keepNext w:val="0"/>
              <w:keepLines w:val="0"/>
              <w:pageBreakBefore w:val="0"/>
              <w:widowControl/>
              <w:kinsoku/>
              <w:wordWrap/>
              <w:topLinePunct w:val="0"/>
              <w:bidi w:val="0"/>
              <w:snapToGrid/>
              <w:spacing w:line="460" w:lineRule="exact"/>
              <w:jc w:val="center"/>
              <w:rPr>
                <w:rFonts w:ascii="宋体" w:hAnsi="宋体" w:cs="宋体"/>
                <w:b/>
                <w:bCs/>
                <w:color w:val="auto"/>
                <w:sz w:val="21"/>
                <w:szCs w:val="21"/>
              </w:rPr>
            </w:pPr>
          </w:p>
        </w:tc>
      </w:tr>
      <w:tr w14:paraId="7F541E79">
        <w:tblPrEx>
          <w:tblCellMar>
            <w:top w:w="0" w:type="dxa"/>
            <w:left w:w="108" w:type="dxa"/>
            <w:bottom w:w="0" w:type="dxa"/>
            <w:right w:w="108" w:type="dxa"/>
          </w:tblCellMar>
        </w:tblPrEx>
        <w:trPr>
          <w:trHeight w:val="567" w:hRule="atLeast"/>
        </w:trPr>
        <w:tc>
          <w:tcPr>
            <w:tcW w:w="37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58F456">
            <w:pPr>
              <w:keepNext w:val="0"/>
              <w:keepLines w:val="0"/>
              <w:pageBreakBefore w:val="0"/>
              <w:widowControl/>
              <w:kinsoku/>
              <w:wordWrap/>
              <w:topLinePunct w:val="0"/>
              <w:bidi w:val="0"/>
              <w:snapToGrid/>
              <w:spacing w:line="460" w:lineRule="exact"/>
              <w:jc w:val="center"/>
              <w:textAlignment w:val="center"/>
              <w:rPr>
                <w:rFonts w:ascii="宋体" w:hAnsi="宋体" w:cs="宋体"/>
                <w:b/>
                <w:bCs/>
                <w:color w:val="auto"/>
                <w:sz w:val="21"/>
                <w:szCs w:val="21"/>
              </w:rPr>
            </w:pPr>
            <w:r>
              <w:rPr>
                <w:rFonts w:hint="eastAsia" w:ascii="宋体" w:hAnsi="宋体" w:cs="宋体"/>
                <w:b/>
                <w:bCs/>
                <w:color w:val="auto"/>
                <w:kern w:val="0"/>
                <w:sz w:val="21"/>
                <w:szCs w:val="21"/>
                <w:lang w:bidi="ar"/>
              </w:rPr>
              <w:t>9</w:t>
            </w:r>
          </w:p>
        </w:tc>
        <w:tc>
          <w:tcPr>
            <w:tcW w:w="20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D7B715">
            <w:pPr>
              <w:keepNext w:val="0"/>
              <w:keepLines w:val="0"/>
              <w:pageBreakBefore w:val="0"/>
              <w:widowControl/>
              <w:kinsoku/>
              <w:wordWrap/>
              <w:topLinePunct w:val="0"/>
              <w:bidi w:val="0"/>
              <w:snapToGrid/>
              <w:spacing w:line="460" w:lineRule="exact"/>
              <w:jc w:val="center"/>
              <w:textAlignment w:val="center"/>
              <w:rPr>
                <w:rFonts w:ascii="宋体" w:hAnsi="宋体" w:cs="宋体"/>
                <w:color w:val="auto"/>
                <w:sz w:val="21"/>
                <w:szCs w:val="21"/>
              </w:rPr>
            </w:pPr>
            <w:r>
              <w:rPr>
                <w:rFonts w:hint="eastAsia" w:ascii="宋体" w:hAnsi="宋体" w:cs="宋体"/>
                <w:color w:val="auto"/>
                <w:kern w:val="0"/>
                <w:sz w:val="21"/>
                <w:szCs w:val="21"/>
                <w:lang w:bidi="ar"/>
              </w:rPr>
              <w:t>北洛湾大道</w:t>
            </w:r>
          </w:p>
        </w:tc>
        <w:tc>
          <w:tcPr>
            <w:tcW w:w="7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6B7F93">
            <w:pPr>
              <w:keepNext w:val="0"/>
              <w:keepLines w:val="0"/>
              <w:pageBreakBefore w:val="0"/>
              <w:widowControl/>
              <w:kinsoku/>
              <w:wordWrap/>
              <w:topLinePunct w:val="0"/>
              <w:bidi w:val="0"/>
              <w:snapToGrid/>
              <w:spacing w:line="460" w:lineRule="exact"/>
              <w:jc w:val="center"/>
              <w:textAlignment w:val="center"/>
              <w:rPr>
                <w:rFonts w:ascii="宋体" w:hAnsi="宋体" w:cs="宋体"/>
                <w:color w:val="auto"/>
                <w:sz w:val="21"/>
                <w:szCs w:val="21"/>
              </w:rPr>
            </w:pPr>
            <w:r>
              <w:rPr>
                <w:rFonts w:hint="eastAsia" w:ascii="宋体" w:hAnsi="宋体" w:cs="宋体"/>
                <w:color w:val="auto"/>
                <w:kern w:val="0"/>
                <w:sz w:val="21"/>
                <w:szCs w:val="21"/>
                <w:lang w:bidi="ar"/>
              </w:rPr>
              <w:t>0</w:t>
            </w:r>
          </w:p>
        </w:tc>
        <w:tc>
          <w:tcPr>
            <w:tcW w:w="73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F97B40">
            <w:pPr>
              <w:keepNext w:val="0"/>
              <w:keepLines w:val="0"/>
              <w:pageBreakBefore w:val="0"/>
              <w:widowControl/>
              <w:kinsoku/>
              <w:wordWrap/>
              <w:topLinePunct w:val="0"/>
              <w:bidi w:val="0"/>
              <w:snapToGrid/>
              <w:spacing w:line="460" w:lineRule="exact"/>
              <w:jc w:val="center"/>
              <w:textAlignment w:val="center"/>
              <w:rPr>
                <w:rFonts w:ascii="宋体" w:hAnsi="宋体" w:cs="宋体"/>
                <w:color w:val="auto"/>
                <w:sz w:val="21"/>
                <w:szCs w:val="21"/>
              </w:rPr>
            </w:pPr>
            <w:r>
              <w:rPr>
                <w:rFonts w:hint="eastAsia" w:ascii="宋体" w:hAnsi="宋体" w:cs="宋体"/>
                <w:color w:val="auto"/>
                <w:kern w:val="0"/>
                <w:sz w:val="21"/>
                <w:szCs w:val="21"/>
                <w:lang w:bidi="ar"/>
              </w:rPr>
              <w:t>50</w:t>
            </w:r>
          </w:p>
        </w:tc>
        <w:tc>
          <w:tcPr>
            <w:tcW w:w="112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C66F6F">
            <w:pPr>
              <w:keepNext w:val="0"/>
              <w:keepLines w:val="0"/>
              <w:pageBreakBefore w:val="0"/>
              <w:widowControl/>
              <w:kinsoku/>
              <w:wordWrap/>
              <w:topLinePunct w:val="0"/>
              <w:bidi w:val="0"/>
              <w:snapToGrid/>
              <w:spacing w:line="460" w:lineRule="exact"/>
              <w:jc w:val="center"/>
              <w:rPr>
                <w:rFonts w:ascii="宋体" w:hAnsi="宋体" w:cs="宋体"/>
                <w:b/>
                <w:bCs/>
                <w:color w:val="auto"/>
                <w:sz w:val="21"/>
                <w:szCs w:val="21"/>
              </w:rPr>
            </w:pPr>
          </w:p>
        </w:tc>
      </w:tr>
      <w:tr w14:paraId="671CD527">
        <w:tblPrEx>
          <w:tblCellMar>
            <w:top w:w="0" w:type="dxa"/>
            <w:left w:w="108" w:type="dxa"/>
            <w:bottom w:w="0" w:type="dxa"/>
            <w:right w:w="108" w:type="dxa"/>
          </w:tblCellMar>
        </w:tblPrEx>
        <w:trPr>
          <w:trHeight w:val="567" w:hRule="atLeast"/>
        </w:trPr>
        <w:tc>
          <w:tcPr>
            <w:tcW w:w="37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0DAD68">
            <w:pPr>
              <w:keepNext w:val="0"/>
              <w:keepLines w:val="0"/>
              <w:pageBreakBefore w:val="0"/>
              <w:widowControl/>
              <w:kinsoku/>
              <w:wordWrap/>
              <w:topLinePunct w:val="0"/>
              <w:bidi w:val="0"/>
              <w:snapToGrid/>
              <w:spacing w:line="460" w:lineRule="exact"/>
              <w:jc w:val="center"/>
              <w:textAlignment w:val="center"/>
              <w:rPr>
                <w:rFonts w:ascii="宋体" w:hAnsi="宋体" w:cs="宋体"/>
                <w:b/>
                <w:bCs/>
                <w:color w:val="auto"/>
                <w:sz w:val="21"/>
                <w:szCs w:val="21"/>
              </w:rPr>
            </w:pPr>
            <w:r>
              <w:rPr>
                <w:rFonts w:hint="eastAsia" w:ascii="宋体" w:hAnsi="宋体" w:cs="宋体"/>
                <w:b/>
                <w:bCs/>
                <w:color w:val="auto"/>
                <w:kern w:val="0"/>
                <w:sz w:val="21"/>
                <w:szCs w:val="21"/>
                <w:lang w:bidi="ar"/>
              </w:rPr>
              <w:t>10</w:t>
            </w:r>
          </w:p>
        </w:tc>
        <w:tc>
          <w:tcPr>
            <w:tcW w:w="20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1B877F">
            <w:pPr>
              <w:keepNext w:val="0"/>
              <w:keepLines w:val="0"/>
              <w:pageBreakBefore w:val="0"/>
              <w:widowControl/>
              <w:kinsoku/>
              <w:wordWrap/>
              <w:topLinePunct w:val="0"/>
              <w:bidi w:val="0"/>
              <w:snapToGrid/>
              <w:spacing w:line="460" w:lineRule="exact"/>
              <w:jc w:val="center"/>
              <w:textAlignment w:val="center"/>
              <w:rPr>
                <w:rFonts w:ascii="宋体" w:hAnsi="宋体" w:cs="宋体"/>
                <w:color w:val="auto"/>
                <w:sz w:val="21"/>
                <w:szCs w:val="21"/>
              </w:rPr>
            </w:pPr>
            <w:r>
              <w:rPr>
                <w:rFonts w:hint="eastAsia" w:ascii="宋体" w:hAnsi="宋体" w:cs="宋体"/>
                <w:color w:val="auto"/>
                <w:kern w:val="0"/>
                <w:sz w:val="21"/>
                <w:szCs w:val="21"/>
                <w:lang w:bidi="ar"/>
              </w:rPr>
              <w:t>望角路</w:t>
            </w:r>
          </w:p>
        </w:tc>
        <w:tc>
          <w:tcPr>
            <w:tcW w:w="7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953B5D">
            <w:pPr>
              <w:keepNext w:val="0"/>
              <w:keepLines w:val="0"/>
              <w:pageBreakBefore w:val="0"/>
              <w:widowControl/>
              <w:kinsoku/>
              <w:wordWrap/>
              <w:topLinePunct w:val="0"/>
              <w:bidi w:val="0"/>
              <w:snapToGrid/>
              <w:spacing w:line="460" w:lineRule="exact"/>
              <w:jc w:val="center"/>
              <w:textAlignment w:val="center"/>
              <w:rPr>
                <w:rFonts w:ascii="宋体" w:hAnsi="宋体" w:cs="宋体"/>
                <w:color w:val="auto"/>
                <w:sz w:val="21"/>
                <w:szCs w:val="21"/>
              </w:rPr>
            </w:pPr>
            <w:r>
              <w:rPr>
                <w:rFonts w:hint="eastAsia" w:ascii="宋体" w:hAnsi="宋体" w:cs="宋体"/>
                <w:color w:val="auto"/>
                <w:kern w:val="0"/>
                <w:sz w:val="21"/>
                <w:szCs w:val="21"/>
                <w:lang w:bidi="ar"/>
              </w:rPr>
              <w:t>26</w:t>
            </w:r>
          </w:p>
        </w:tc>
        <w:tc>
          <w:tcPr>
            <w:tcW w:w="73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DABFAE">
            <w:pPr>
              <w:keepNext w:val="0"/>
              <w:keepLines w:val="0"/>
              <w:pageBreakBefore w:val="0"/>
              <w:widowControl/>
              <w:kinsoku/>
              <w:wordWrap/>
              <w:topLinePunct w:val="0"/>
              <w:bidi w:val="0"/>
              <w:snapToGrid/>
              <w:spacing w:line="460" w:lineRule="exact"/>
              <w:jc w:val="center"/>
              <w:textAlignment w:val="center"/>
              <w:rPr>
                <w:rFonts w:ascii="宋体" w:hAnsi="宋体" w:cs="宋体"/>
                <w:color w:val="auto"/>
                <w:sz w:val="21"/>
                <w:szCs w:val="21"/>
              </w:rPr>
            </w:pPr>
            <w:r>
              <w:rPr>
                <w:rFonts w:hint="eastAsia" w:ascii="宋体" w:hAnsi="宋体" w:cs="宋体"/>
                <w:color w:val="auto"/>
                <w:kern w:val="0"/>
                <w:sz w:val="21"/>
                <w:szCs w:val="21"/>
                <w:lang w:bidi="ar"/>
              </w:rPr>
              <w:t>0</w:t>
            </w:r>
          </w:p>
        </w:tc>
        <w:tc>
          <w:tcPr>
            <w:tcW w:w="112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981F65">
            <w:pPr>
              <w:keepNext w:val="0"/>
              <w:keepLines w:val="0"/>
              <w:pageBreakBefore w:val="0"/>
              <w:widowControl/>
              <w:kinsoku/>
              <w:wordWrap/>
              <w:topLinePunct w:val="0"/>
              <w:bidi w:val="0"/>
              <w:snapToGrid/>
              <w:spacing w:line="460" w:lineRule="exact"/>
              <w:jc w:val="center"/>
              <w:rPr>
                <w:rFonts w:ascii="宋体" w:hAnsi="宋体" w:cs="宋体"/>
                <w:b/>
                <w:bCs/>
                <w:color w:val="auto"/>
                <w:sz w:val="21"/>
                <w:szCs w:val="21"/>
              </w:rPr>
            </w:pPr>
          </w:p>
        </w:tc>
      </w:tr>
      <w:tr w14:paraId="71CB6144">
        <w:tblPrEx>
          <w:tblCellMar>
            <w:top w:w="0" w:type="dxa"/>
            <w:left w:w="108" w:type="dxa"/>
            <w:bottom w:w="0" w:type="dxa"/>
            <w:right w:w="108" w:type="dxa"/>
          </w:tblCellMar>
        </w:tblPrEx>
        <w:trPr>
          <w:trHeight w:val="567" w:hRule="atLeast"/>
        </w:trPr>
        <w:tc>
          <w:tcPr>
            <w:tcW w:w="37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C82539">
            <w:pPr>
              <w:keepNext w:val="0"/>
              <w:keepLines w:val="0"/>
              <w:pageBreakBefore w:val="0"/>
              <w:widowControl/>
              <w:kinsoku/>
              <w:wordWrap/>
              <w:topLinePunct w:val="0"/>
              <w:bidi w:val="0"/>
              <w:snapToGrid/>
              <w:spacing w:line="460" w:lineRule="exact"/>
              <w:jc w:val="center"/>
              <w:textAlignment w:val="center"/>
              <w:rPr>
                <w:rFonts w:ascii="宋体" w:hAnsi="宋体" w:cs="宋体"/>
                <w:b/>
                <w:bCs/>
                <w:color w:val="auto"/>
                <w:sz w:val="21"/>
                <w:szCs w:val="21"/>
              </w:rPr>
            </w:pPr>
            <w:r>
              <w:rPr>
                <w:rFonts w:hint="eastAsia" w:ascii="宋体" w:hAnsi="宋体" w:cs="宋体"/>
                <w:b/>
                <w:bCs/>
                <w:color w:val="auto"/>
                <w:kern w:val="0"/>
                <w:sz w:val="21"/>
                <w:szCs w:val="21"/>
                <w:lang w:bidi="ar"/>
              </w:rPr>
              <w:t>11</w:t>
            </w:r>
          </w:p>
        </w:tc>
        <w:tc>
          <w:tcPr>
            <w:tcW w:w="20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E1BFE9">
            <w:pPr>
              <w:keepNext w:val="0"/>
              <w:keepLines w:val="0"/>
              <w:pageBreakBefore w:val="0"/>
              <w:widowControl/>
              <w:kinsoku/>
              <w:wordWrap/>
              <w:topLinePunct w:val="0"/>
              <w:bidi w:val="0"/>
              <w:snapToGrid/>
              <w:spacing w:line="460" w:lineRule="exact"/>
              <w:jc w:val="center"/>
              <w:textAlignment w:val="center"/>
              <w:rPr>
                <w:rFonts w:ascii="宋体" w:hAnsi="宋体" w:cs="宋体"/>
                <w:color w:val="auto"/>
                <w:sz w:val="21"/>
                <w:szCs w:val="21"/>
              </w:rPr>
            </w:pPr>
            <w:r>
              <w:rPr>
                <w:rFonts w:hint="eastAsia" w:ascii="宋体" w:hAnsi="宋体" w:cs="宋体"/>
                <w:color w:val="auto"/>
                <w:kern w:val="0"/>
                <w:sz w:val="21"/>
                <w:szCs w:val="21"/>
                <w:lang w:bidi="ar"/>
              </w:rPr>
              <w:t>恒大路段-海上夏威夷</w:t>
            </w:r>
          </w:p>
        </w:tc>
        <w:tc>
          <w:tcPr>
            <w:tcW w:w="7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3B61A3">
            <w:pPr>
              <w:keepNext w:val="0"/>
              <w:keepLines w:val="0"/>
              <w:pageBreakBefore w:val="0"/>
              <w:widowControl/>
              <w:kinsoku/>
              <w:wordWrap/>
              <w:topLinePunct w:val="0"/>
              <w:bidi w:val="0"/>
              <w:snapToGrid/>
              <w:spacing w:line="460" w:lineRule="exact"/>
              <w:jc w:val="center"/>
              <w:textAlignment w:val="center"/>
              <w:rPr>
                <w:rFonts w:ascii="宋体" w:hAnsi="宋体" w:cs="宋体"/>
                <w:color w:val="auto"/>
                <w:sz w:val="21"/>
                <w:szCs w:val="21"/>
              </w:rPr>
            </w:pPr>
            <w:r>
              <w:rPr>
                <w:rFonts w:hint="eastAsia" w:ascii="宋体" w:hAnsi="宋体" w:cs="宋体"/>
                <w:color w:val="auto"/>
                <w:kern w:val="0"/>
                <w:sz w:val="21"/>
                <w:szCs w:val="21"/>
                <w:lang w:bidi="ar"/>
              </w:rPr>
              <w:t>0</w:t>
            </w:r>
          </w:p>
        </w:tc>
        <w:tc>
          <w:tcPr>
            <w:tcW w:w="73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80632C">
            <w:pPr>
              <w:keepNext w:val="0"/>
              <w:keepLines w:val="0"/>
              <w:pageBreakBefore w:val="0"/>
              <w:widowControl/>
              <w:kinsoku/>
              <w:wordWrap/>
              <w:topLinePunct w:val="0"/>
              <w:bidi w:val="0"/>
              <w:snapToGrid/>
              <w:spacing w:line="460" w:lineRule="exact"/>
              <w:jc w:val="center"/>
              <w:textAlignment w:val="center"/>
              <w:rPr>
                <w:rFonts w:ascii="宋体" w:hAnsi="宋体" w:cs="宋体"/>
                <w:color w:val="auto"/>
                <w:sz w:val="21"/>
                <w:szCs w:val="21"/>
              </w:rPr>
            </w:pPr>
            <w:r>
              <w:rPr>
                <w:rFonts w:hint="eastAsia" w:ascii="宋体" w:hAnsi="宋体" w:cs="宋体"/>
                <w:color w:val="auto"/>
                <w:kern w:val="0"/>
                <w:sz w:val="21"/>
                <w:szCs w:val="21"/>
                <w:lang w:bidi="ar"/>
              </w:rPr>
              <w:t>300</w:t>
            </w:r>
          </w:p>
        </w:tc>
        <w:tc>
          <w:tcPr>
            <w:tcW w:w="112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CFF88C">
            <w:pPr>
              <w:keepNext w:val="0"/>
              <w:keepLines w:val="0"/>
              <w:pageBreakBefore w:val="0"/>
              <w:widowControl/>
              <w:kinsoku/>
              <w:wordWrap/>
              <w:topLinePunct w:val="0"/>
              <w:bidi w:val="0"/>
              <w:snapToGrid/>
              <w:spacing w:line="460" w:lineRule="exact"/>
              <w:jc w:val="center"/>
              <w:rPr>
                <w:rFonts w:ascii="宋体" w:hAnsi="宋体" w:cs="宋体"/>
                <w:b/>
                <w:bCs/>
                <w:color w:val="auto"/>
                <w:sz w:val="21"/>
                <w:szCs w:val="21"/>
              </w:rPr>
            </w:pPr>
          </w:p>
        </w:tc>
      </w:tr>
      <w:tr w14:paraId="7541FC17">
        <w:tblPrEx>
          <w:tblCellMar>
            <w:top w:w="0" w:type="dxa"/>
            <w:left w:w="108" w:type="dxa"/>
            <w:bottom w:w="0" w:type="dxa"/>
            <w:right w:w="108" w:type="dxa"/>
          </w:tblCellMar>
        </w:tblPrEx>
        <w:trPr>
          <w:trHeight w:val="567" w:hRule="atLeast"/>
        </w:trPr>
        <w:tc>
          <w:tcPr>
            <w:tcW w:w="37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C830B7">
            <w:pPr>
              <w:keepNext w:val="0"/>
              <w:keepLines w:val="0"/>
              <w:pageBreakBefore w:val="0"/>
              <w:widowControl/>
              <w:kinsoku/>
              <w:wordWrap/>
              <w:topLinePunct w:val="0"/>
              <w:bidi w:val="0"/>
              <w:snapToGrid/>
              <w:spacing w:line="460" w:lineRule="exact"/>
              <w:jc w:val="center"/>
              <w:textAlignment w:val="center"/>
              <w:rPr>
                <w:rFonts w:ascii="宋体" w:hAnsi="宋体" w:cs="宋体"/>
                <w:b/>
                <w:bCs/>
                <w:color w:val="auto"/>
                <w:sz w:val="21"/>
                <w:szCs w:val="21"/>
              </w:rPr>
            </w:pPr>
            <w:r>
              <w:rPr>
                <w:rFonts w:hint="eastAsia" w:ascii="宋体" w:hAnsi="宋体" w:cs="宋体"/>
                <w:b/>
                <w:bCs/>
                <w:color w:val="auto"/>
                <w:kern w:val="0"/>
                <w:sz w:val="21"/>
                <w:szCs w:val="21"/>
                <w:lang w:bidi="ar"/>
              </w:rPr>
              <w:t>12</w:t>
            </w:r>
          </w:p>
        </w:tc>
        <w:tc>
          <w:tcPr>
            <w:tcW w:w="20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A3636E">
            <w:pPr>
              <w:keepNext w:val="0"/>
              <w:keepLines w:val="0"/>
              <w:pageBreakBefore w:val="0"/>
              <w:widowControl/>
              <w:kinsoku/>
              <w:wordWrap/>
              <w:topLinePunct w:val="0"/>
              <w:bidi w:val="0"/>
              <w:snapToGrid/>
              <w:spacing w:line="460" w:lineRule="exact"/>
              <w:jc w:val="center"/>
              <w:textAlignment w:val="center"/>
              <w:rPr>
                <w:rFonts w:ascii="宋体" w:hAnsi="宋体" w:cs="宋体"/>
                <w:color w:val="auto"/>
                <w:sz w:val="21"/>
                <w:szCs w:val="21"/>
              </w:rPr>
            </w:pPr>
            <w:r>
              <w:rPr>
                <w:rFonts w:hint="eastAsia" w:ascii="宋体" w:hAnsi="宋体" w:cs="宋体"/>
                <w:color w:val="auto"/>
                <w:kern w:val="0"/>
                <w:sz w:val="21"/>
                <w:szCs w:val="21"/>
                <w:lang w:bidi="ar"/>
              </w:rPr>
              <w:t>黄金海岸-敏捷大道</w:t>
            </w:r>
          </w:p>
        </w:tc>
        <w:tc>
          <w:tcPr>
            <w:tcW w:w="7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75F59F">
            <w:pPr>
              <w:keepNext w:val="0"/>
              <w:keepLines w:val="0"/>
              <w:pageBreakBefore w:val="0"/>
              <w:widowControl/>
              <w:kinsoku/>
              <w:wordWrap/>
              <w:topLinePunct w:val="0"/>
              <w:bidi w:val="0"/>
              <w:snapToGrid/>
              <w:spacing w:line="460" w:lineRule="exact"/>
              <w:jc w:val="center"/>
              <w:textAlignment w:val="center"/>
              <w:rPr>
                <w:rFonts w:ascii="宋体" w:hAnsi="宋体" w:cs="宋体"/>
                <w:color w:val="auto"/>
                <w:sz w:val="21"/>
                <w:szCs w:val="21"/>
              </w:rPr>
            </w:pPr>
            <w:r>
              <w:rPr>
                <w:rFonts w:hint="eastAsia" w:ascii="宋体" w:hAnsi="宋体" w:cs="宋体"/>
                <w:color w:val="auto"/>
                <w:kern w:val="0"/>
                <w:sz w:val="21"/>
                <w:szCs w:val="21"/>
                <w:lang w:bidi="ar"/>
              </w:rPr>
              <w:t>0</w:t>
            </w:r>
          </w:p>
        </w:tc>
        <w:tc>
          <w:tcPr>
            <w:tcW w:w="73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641723">
            <w:pPr>
              <w:keepNext w:val="0"/>
              <w:keepLines w:val="0"/>
              <w:pageBreakBefore w:val="0"/>
              <w:widowControl/>
              <w:kinsoku/>
              <w:wordWrap/>
              <w:topLinePunct w:val="0"/>
              <w:bidi w:val="0"/>
              <w:snapToGrid/>
              <w:spacing w:line="460" w:lineRule="exact"/>
              <w:jc w:val="center"/>
              <w:textAlignment w:val="center"/>
              <w:rPr>
                <w:rFonts w:ascii="宋体" w:hAnsi="宋体" w:cs="宋体"/>
                <w:color w:val="auto"/>
                <w:sz w:val="21"/>
                <w:szCs w:val="21"/>
              </w:rPr>
            </w:pPr>
            <w:r>
              <w:rPr>
                <w:rFonts w:hint="eastAsia" w:ascii="宋体" w:hAnsi="宋体" w:cs="宋体"/>
                <w:color w:val="auto"/>
                <w:kern w:val="0"/>
                <w:sz w:val="21"/>
                <w:szCs w:val="21"/>
                <w:lang w:bidi="ar"/>
              </w:rPr>
              <w:t>246</w:t>
            </w:r>
          </w:p>
        </w:tc>
        <w:tc>
          <w:tcPr>
            <w:tcW w:w="112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2210E2">
            <w:pPr>
              <w:keepNext w:val="0"/>
              <w:keepLines w:val="0"/>
              <w:pageBreakBefore w:val="0"/>
              <w:widowControl/>
              <w:kinsoku/>
              <w:wordWrap/>
              <w:topLinePunct w:val="0"/>
              <w:bidi w:val="0"/>
              <w:snapToGrid/>
              <w:spacing w:line="460" w:lineRule="exact"/>
              <w:jc w:val="center"/>
              <w:rPr>
                <w:rFonts w:ascii="宋体" w:hAnsi="宋体" w:cs="宋体"/>
                <w:b/>
                <w:bCs/>
                <w:color w:val="auto"/>
                <w:sz w:val="21"/>
                <w:szCs w:val="21"/>
              </w:rPr>
            </w:pPr>
          </w:p>
        </w:tc>
      </w:tr>
      <w:tr w14:paraId="2EE61CE8">
        <w:tblPrEx>
          <w:tblCellMar>
            <w:top w:w="0" w:type="dxa"/>
            <w:left w:w="108" w:type="dxa"/>
            <w:bottom w:w="0" w:type="dxa"/>
            <w:right w:w="108" w:type="dxa"/>
          </w:tblCellMar>
        </w:tblPrEx>
        <w:trPr>
          <w:trHeight w:val="567" w:hRule="atLeast"/>
        </w:trPr>
        <w:tc>
          <w:tcPr>
            <w:tcW w:w="37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FB6A2C">
            <w:pPr>
              <w:keepNext w:val="0"/>
              <w:keepLines w:val="0"/>
              <w:pageBreakBefore w:val="0"/>
              <w:widowControl/>
              <w:kinsoku/>
              <w:wordWrap/>
              <w:topLinePunct w:val="0"/>
              <w:bidi w:val="0"/>
              <w:snapToGrid/>
              <w:spacing w:line="460" w:lineRule="exact"/>
              <w:jc w:val="center"/>
              <w:textAlignment w:val="center"/>
              <w:rPr>
                <w:rFonts w:ascii="宋体" w:hAnsi="宋体" w:cs="宋体"/>
                <w:b/>
                <w:bCs/>
                <w:color w:val="auto"/>
                <w:sz w:val="21"/>
                <w:szCs w:val="21"/>
              </w:rPr>
            </w:pPr>
            <w:r>
              <w:rPr>
                <w:rFonts w:hint="eastAsia" w:ascii="宋体" w:hAnsi="宋体" w:cs="宋体"/>
                <w:b/>
                <w:bCs/>
                <w:color w:val="auto"/>
                <w:kern w:val="0"/>
                <w:sz w:val="21"/>
                <w:szCs w:val="21"/>
                <w:lang w:bidi="ar"/>
              </w:rPr>
              <w:t>13</w:t>
            </w:r>
          </w:p>
        </w:tc>
        <w:tc>
          <w:tcPr>
            <w:tcW w:w="20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23CB84">
            <w:pPr>
              <w:keepNext w:val="0"/>
              <w:keepLines w:val="0"/>
              <w:pageBreakBefore w:val="0"/>
              <w:widowControl/>
              <w:kinsoku/>
              <w:wordWrap/>
              <w:topLinePunct w:val="0"/>
              <w:bidi w:val="0"/>
              <w:snapToGrid/>
              <w:spacing w:line="460" w:lineRule="exact"/>
              <w:jc w:val="center"/>
              <w:textAlignment w:val="center"/>
              <w:rPr>
                <w:rFonts w:ascii="宋体" w:hAnsi="宋体" w:cs="宋体"/>
                <w:color w:val="auto"/>
                <w:sz w:val="21"/>
                <w:szCs w:val="21"/>
              </w:rPr>
            </w:pPr>
            <w:r>
              <w:rPr>
                <w:rFonts w:hint="eastAsia" w:ascii="宋体" w:hAnsi="宋体" w:cs="宋体"/>
                <w:color w:val="auto"/>
                <w:kern w:val="0"/>
                <w:sz w:val="21"/>
                <w:szCs w:val="21"/>
                <w:lang w:bidi="ar"/>
              </w:rPr>
              <w:t>美海湾（香港）国际能源加油站</w:t>
            </w:r>
          </w:p>
        </w:tc>
        <w:tc>
          <w:tcPr>
            <w:tcW w:w="7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33C8FD">
            <w:pPr>
              <w:keepNext w:val="0"/>
              <w:keepLines w:val="0"/>
              <w:pageBreakBefore w:val="0"/>
              <w:widowControl/>
              <w:kinsoku/>
              <w:wordWrap/>
              <w:topLinePunct w:val="0"/>
              <w:bidi w:val="0"/>
              <w:snapToGrid/>
              <w:spacing w:line="460" w:lineRule="exact"/>
              <w:jc w:val="center"/>
              <w:textAlignment w:val="center"/>
              <w:rPr>
                <w:rFonts w:ascii="宋体" w:hAnsi="宋体" w:cs="宋体"/>
                <w:color w:val="auto"/>
                <w:sz w:val="21"/>
                <w:szCs w:val="21"/>
              </w:rPr>
            </w:pPr>
            <w:r>
              <w:rPr>
                <w:rFonts w:hint="eastAsia" w:ascii="宋体" w:hAnsi="宋体" w:cs="宋体"/>
                <w:color w:val="auto"/>
                <w:kern w:val="0"/>
                <w:sz w:val="21"/>
                <w:szCs w:val="21"/>
                <w:lang w:bidi="ar"/>
              </w:rPr>
              <w:t>0</w:t>
            </w:r>
          </w:p>
        </w:tc>
        <w:tc>
          <w:tcPr>
            <w:tcW w:w="73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0099D1">
            <w:pPr>
              <w:keepNext w:val="0"/>
              <w:keepLines w:val="0"/>
              <w:pageBreakBefore w:val="0"/>
              <w:widowControl/>
              <w:kinsoku/>
              <w:wordWrap/>
              <w:topLinePunct w:val="0"/>
              <w:bidi w:val="0"/>
              <w:snapToGrid/>
              <w:spacing w:line="460" w:lineRule="exact"/>
              <w:jc w:val="center"/>
              <w:textAlignment w:val="center"/>
              <w:rPr>
                <w:rFonts w:ascii="宋体" w:hAnsi="宋体" w:cs="宋体"/>
                <w:color w:val="auto"/>
                <w:sz w:val="21"/>
                <w:szCs w:val="21"/>
              </w:rPr>
            </w:pPr>
            <w:r>
              <w:rPr>
                <w:rFonts w:hint="eastAsia" w:ascii="宋体" w:hAnsi="宋体" w:cs="宋体"/>
                <w:color w:val="auto"/>
                <w:kern w:val="0"/>
                <w:sz w:val="21"/>
                <w:szCs w:val="21"/>
                <w:lang w:bidi="ar"/>
              </w:rPr>
              <w:t>60</w:t>
            </w:r>
          </w:p>
        </w:tc>
        <w:tc>
          <w:tcPr>
            <w:tcW w:w="112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36F49E">
            <w:pPr>
              <w:keepNext w:val="0"/>
              <w:keepLines w:val="0"/>
              <w:pageBreakBefore w:val="0"/>
              <w:widowControl/>
              <w:kinsoku/>
              <w:wordWrap/>
              <w:topLinePunct w:val="0"/>
              <w:bidi w:val="0"/>
              <w:snapToGrid/>
              <w:spacing w:line="460" w:lineRule="exact"/>
              <w:jc w:val="center"/>
              <w:rPr>
                <w:rFonts w:ascii="宋体" w:hAnsi="宋体" w:cs="宋体"/>
                <w:color w:val="auto"/>
                <w:sz w:val="21"/>
                <w:szCs w:val="21"/>
              </w:rPr>
            </w:pPr>
          </w:p>
        </w:tc>
      </w:tr>
      <w:tr w14:paraId="292CC573">
        <w:tblPrEx>
          <w:tblCellMar>
            <w:top w:w="0" w:type="dxa"/>
            <w:left w:w="108" w:type="dxa"/>
            <w:bottom w:w="0" w:type="dxa"/>
            <w:right w:w="108" w:type="dxa"/>
          </w:tblCellMar>
        </w:tblPrEx>
        <w:trPr>
          <w:trHeight w:val="567" w:hRule="atLeast"/>
        </w:trPr>
        <w:tc>
          <w:tcPr>
            <w:tcW w:w="37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7E4B8B">
            <w:pPr>
              <w:keepNext w:val="0"/>
              <w:keepLines w:val="0"/>
              <w:pageBreakBefore w:val="0"/>
              <w:widowControl/>
              <w:kinsoku/>
              <w:wordWrap/>
              <w:topLinePunct w:val="0"/>
              <w:bidi w:val="0"/>
              <w:snapToGrid/>
              <w:spacing w:line="460" w:lineRule="exact"/>
              <w:jc w:val="center"/>
              <w:textAlignment w:val="center"/>
              <w:rPr>
                <w:rFonts w:ascii="宋体" w:hAnsi="宋体" w:cs="宋体"/>
                <w:b/>
                <w:bCs/>
                <w:color w:val="auto"/>
                <w:kern w:val="0"/>
                <w:sz w:val="21"/>
                <w:szCs w:val="21"/>
                <w:lang w:bidi="ar"/>
              </w:rPr>
            </w:pPr>
            <w:r>
              <w:rPr>
                <w:rFonts w:hint="eastAsia" w:ascii="宋体" w:hAnsi="宋体" w:cs="宋体"/>
                <w:b/>
                <w:bCs/>
                <w:color w:val="auto"/>
                <w:kern w:val="0"/>
                <w:sz w:val="21"/>
                <w:szCs w:val="21"/>
                <w:lang w:bidi="ar"/>
              </w:rPr>
              <w:t>14</w:t>
            </w:r>
          </w:p>
        </w:tc>
        <w:tc>
          <w:tcPr>
            <w:tcW w:w="20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E79FB9">
            <w:pPr>
              <w:keepNext w:val="0"/>
              <w:keepLines w:val="0"/>
              <w:pageBreakBefore w:val="0"/>
              <w:widowControl/>
              <w:kinsoku/>
              <w:wordWrap/>
              <w:topLinePunct w:val="0"/>
              <w:bidi w:val="0"/>
              <w:snapToGrid/>
              <w:spacing w:line="460" w:lineRule="exact"/>
              <w:jc w:val="center"/>
              <w:textAlignment w:val="center"/>
              <w:rPr>
                <w:rFonts w:ascii="宋体" w:hAnsi="宋体" w:cs="宋体"/>
                <w:b/>
                <w:bCs/>
                <w:color w:val="auto"/>
                <w:kern w:val="0"/>
                <w:sz w:val="21"/>
                <w:szCs w:val="21"/>
                <w:lang w:bidi="ar"/>
              </w:rPr>
            </w:pPr>
            <w:r>
              <w:rPr>
                <w:rFonts w:hint="eastAsia" w:ascii="宋体" w:hAnsi="宋体" w:cs="宋体"/>
                <w:color w:val="auto"/>
                <w:kern w:val="0"/>
                <w:sz w:val="21"/>
                <w:szCs w:val="21"/>
                <w:lang w:bidi="ar"/>
              </w:rPr>
              <w:t>自由港饭店门口</w:t>
            </w:r>
          </w:p>
        </w:tc>
        <w:tc>
          <w:tcPr>
            <w:tcW w:w="7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1819E4">
            <w:pPr>
              <w:keepNext w:val="0"/>
              <w:keepLines w:val="0"/>
              <w:pageBreakBefore w:val="0"/>
              <w:widowControl/>
              <w:kinsoku/>
              <w:wordWrap/>
              <w:topLinePunct w:val="0"/>
              <w:bidi w:val="0"/>
              <w:snapToGrid/>
              <w:spacing w:line="460" w:lineRule="exact"/>
              <w:jc w:val="center"/>
              <w:textAlignment w:val="center"/>
              <w:rPr>
                <w:rFonts w:ascii="宋体" w:hAnsi="宋体" w:cs="宋体"/>
                <w:b/>
                <w:bCs/>
                <w:color w:val="auto"/>
                <w:kern w:val="0"/>
                <w:sz w:val="21"/>
                <w:szCs w:val="21"/>
                <w:lang w:bidi="ar"/>
              </w:rPr>
            </w:pPr>
            <w:r>
              <w:rPr>
                <w:rFonts w:hint="eastAsia" w:ascii="宋体" w:hAnsi="宋体" w:cs="宋体"/>
                <w:color w:val="auto"/>
                <w:kern w:val="0"/>
                <w:sz w:val="21"/>
                <w:szCs w:val="21"/>
                <w:lang w:bidi="ar"/>
              </w:rPr>
              <w:t>0</w:t>
            </w:r>
          </w:p>
        </w:tc>
        <w:tc>
          <w:tcPr>
            <w:tcW w:w="73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55C9FF">
            <w:pPr>
              <w:keepNext w:val="0"/>
              <w:keepLines w:val="0"/>
              <w:pageBreakBefore w:val="0"/>
              <w:widowControl/>
              <w:kinsoku/>
              <w:wordWrap/>
              <w:topLinePunct w:val="0"/>
              <w:bidi w:val="0"/>
              <w:snapToGrid/>
              <w:spacing w:line="460" w:lineRule="exact"/>
              <w:jc w:val="center"/>
              <w:textAlignment w:val="center"/>
              <w:rPr>
                <w:rFonts w:ascii="宋体" w:hAnsi="宋体" w:cs="宋体"/>
                <w:b/>
                <w:bCs/>
                <w:color w:val="auto"/>
                <w:kern w:val="0"/>
                <w:sz w:val="21"/>
                <w:szCs w:val="21"/>
                <w:lang w:bidi="ar"/>
              </w:rPr>
            </w:pPr>
            <w:r>
              <w:rPr>
                <w:rFonts w:hint="eastAsia" w:ascii="宋体" w:hAnsi="宋体" w:cs="宋体"/>
                <w:color w:val="auto"/>
                <w:kern w:val="0"/>
                <w:sz w:val="21"/>
                <w:szCs w:val="21"/>
                <w:lang w:bidi="ar"/>
              </w:rPr>
              <w:t>80</w:t>
            </w:r>
          </w:p>
        </w:tc>
        <w:tc>
          <w:tcPr>
            <w:tcW w:w="112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308710">
            <w:pPr>
              <w:keepNext w:val="0"/>
              <w:keepLines w:val="0"/>
              <w:pageBreakBefore w:val="0"/>
              <w:widowControl/>
              <w:kinsoku/>
              <w:wordWrap/>
              <w:topLinePunct w:val="0"/>
              <w:bidi w:val="0"/>
              <w:snapToGrid/>
              <w:spacing w:line="460" w:lineRule="exact"/>
              <w:jc w:val="center"/>
              <w:rPr>
                <w:rFonts w:ascii="宋体" w:hAnsi="宋体" w:cs="宋体"/>
                <w:color w:val="auto"/>
                <w:sz w:val="21"/>
                <w:szCs w:val="21"/>
              </w:rPr>
            </w:pPr>
          </w:p>
        </w:tc>
      </w:tr>
      <w:tr w14:paraId="385734A7">
        <w:tblPrEx>
          <w:tblCellMar>
            <w:top w:w="0" w:type="dxa"/>
            <w:left w:w="108" w:type="dxa"/>
            <w:bottom w:w="0" w:type="dxa"/>
            <w:right w:w="108" w:type="dxa"/>
          </w:tblCellMar>
        </w:tblPrEx>
        <w:trPr>
          <w:trHeight w:val="567" w:hRule="atLeast"/>
        </w:trPr>
        <w:tc>
          <w:tcPr>
            <w:tcW w:w="37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F3EF09">
            <w:pPr>
              <w:keepNext w:val="0"/>
              <w:keepLines w:val="0"/>
              <w:pageBreakBefore w:val="0"/>
              <w:widowControl/>
              <w:kinsoku/>
              <w:wordWrap/>
              <w:topLinePunct w:val="0"/>
              <w:bidi w:val="0"/>
              <w:snapToGrid/>
              <w:spacing w:line="460" w:lineRule="exact"/>
              <w:jc w:val="center"/>
              <w:textAlignment w:val="center"/>
              <w:rPr>
                <w:rFonts w:ascii="宋体" w:hAnsi="宋体" w:cs="宋体"/>
                <w:b/>
                <w:bCs/>
                <w:color w:val="auto"/>
                <w:kern w:val="0"/>
                <w:sz w:val="21"/>
                <w:szCs w:val="21"/>
                <w:lang w:bidi="ar"/>
              </w:rPr>
            </w:pPr>
            <w:r>
              <w:rPr>
                <w:rFonts w:hint="eastAsia" w:ascii="宋体" w:hAnsi="宋体" w:cs="宋体"/>
                <w:b/>
                <w:bCs/>
                <w:color w:val="auto"/>
                <w:kern w:val="0"/>
                <w:sz w:val="21"/>
                <w:szCs w:val="21"/>
                <w:lang w:bidi="ar"/>
              </w:rPr>
              <w:t>15</w:t>
            </w:r>
          </w:p>
        </w:tc>
        <w:tc>
          <w:tcPr>
            <w:tcW w:w="20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2DC072">
            <w:pPr>
              <w:keepNext w:val="0"/>
              <w:keepLines w:val="0"/>
              <w:pageBreakBefore w:val="0"/>
              <w:widowControl/>
              <w:kinsoku/>
              <w:wordWrap/>
              <w:topLinePunct w:val="0"/>
              <w:bidi w:val="0"/>
              <w:snapToGrid/>
              <w:spacing w:line="460" w:lineRule="exact"/>
              <w:jc w:val="center"/>
              <w:textAlignment w:val="center"/>
              <w:rPr>
                <w:rFonts w:ascii="宋体" w:hAnsi="宋体" w:cs="宋体"/>
                <w:b/>
                <w:bCs/>
                <w:color w:val="auto"/>
                <w:kern w:val="0"/>
                <w:sz w:val="21"/>
                <w:szCs w:val="21"/>
                <w:lang w:bidi="ar"/>
              </w:rPr>
            </w:pPr>
            <w:r>
              <w:rPr>
                <w:rFonts w:hint="eastAsia" w:ascii="宋体" w:hAnsi="宋体" w:cs="宋体"/>
                <w:color w:val="auto"/>
                <w:kern w:val="0"/>
                <w:sz w:val="21"/>
                <w:szCs w:val="21"/>
                <w:lang w:bidi="ar"/>
              </w:rPr>
              <w:t>瓦晒湾-海洋秘境</w:t>
            </w:r>
          </w:p>
        </w:tc>
        <w:tc>
          <w:tcPr>
            <w:tcW w:w="7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737960">
            <w:pPr>
              <w:keepNext w:val="0"/>
              <w:keepLines w:val="0"/>
              <w:pageBreakBefore w:val="0"/>
              <w:widowControl/>
              <w:kinsoku/>
              <w:wordWrap/>
              <w:topLinePunct w:val="0"/>
              <w:bidi w:val="0"/>
              <w:snapToGrid/>
              <w:spacing w:line="460" w:lineRule="exact"/>
              <w:jc w:val="center"/>
              <w:textAlignment w:val="center"/>
              <w:rPr>
                <w:rFonts w:ascii="宋体" w:hAnsi="宋体" w:cs="宋体"/>
                <w:b/>
                <w:bCs/>
                <w:color w:val="auto"/>
                <w:kern w:val="0"/>
                <w:sz w:val="21"/>
                <w:szCs w:val="21"/>
                <w:lang w:bidi="ar"/>
              </w:rPr>
            </w:pPr>
            <w:r>
              <w:rPr>
                <w:rFonts w:hint="eastAsia" w:ascii="宋体" w:hAnsi="宋体" w:cs="宋体"/>
                <w:color w:val="auto"/>
                <w:kern w:val="0"/>
                <w:sz w:val="21"/>
                <w:szCs w:val="21"/>
                <w:lang w:bidi="ar"/>
              </w:rPr>
              <w:t>66</w:t>
            </w:r>
          </w:p>
        </w:tc>
        <w:tc>
          <w:tcPr>
            <w:tcW w:w="73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073BBD">
            <w:pPr>
              <w:keepNext w:val="0"/>
              <w:keepLines w:val="0"/>
              <w:pageBreakBefore w:val="0"/>
              <w:widowControl/>
              <w:kinsoku/>
              <w:wordWrap/>
              <w:topLinePunct w:val="0"/>
              <w:bidi w:val="0"/>
              <w:snapToGrid/>
              <w:spacing w:line="460" w:lineRule="exact"/>
              <w:jc w:val="center"/>
              <w:textAlignment w:val="center"/>
              <w:rPr>
                <w:rFonts w:ascii="宋体" w:hAnsi="宋体" w:cs="宋体"/>
                <w:b/>
                <w:bCs/>
                <w:color w:val="auto"/>
                <w:kern w:val="0"/>
                <w:sz w:val="21"/>
                <w:szCs w:val="21"/>
                <w:lang w:bidi="ar"/>
              </w:rPr>
            </w:pPr>
            <w:r>
              <w:rPr>
                <w:rFonts w:hint="eastAsia" w:ascii="宋体" w:hAnsi="宋体" w:cs="宋体"/>
                <w:color w:val="auto"/>
                <w:kern w:val="0"/>
                <w:sz w:val="21"/>
                <w:szCs w:val="21"/>
                <w:lang w:bidi="ar"/>
              </w:rPr>
              <w:t>0</w:t>
            </w:r>
          </w:p>
        </w:tc>
        <w:tc>
          <w:tcPr>
            <w:tcW w:w="112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BA78A3">
            <w:pPr>
              <w:keepNext w:val="0"/>
              <w:keepLines w:val="0"/>
              <w:pageBreakBefore w:val="0"/>
              <w:widowControl/>
              <w:kinsoku/>
              <w:wordWrap/>
              <w:topLinePunct w:val="0"/>
              <w:bidi w:val="0"/>
              <w:snapToGrid/>
              <w:spacing w:line="460" w:lineRule="exact"/>
              <w:jc w:val="center"/>
              <w:rPr>
                <w:rFonts w:ascii="宋体" w:hAnsi="宋体" w:cs="宋体"/>
                <w:color w:val="auto"/>
                <w:sz w:val="21"/>
                <w:szCs w:val="21"/>
              </w:rPr>
            </w:pPr>
          </w:p>
        </w:tc>
      </w:tr>
      <w:tr w14:paraId="6A62F083">
        <w:tblPrEx>
          <w:tblCellMar>
            <w:top w:w="0" w:type="dxa"/>
            <w:left w:w="108" w:type="dxa"/>
            <w:bottom w:w="0" w:type="dxa"/>
            <w:right w:w="108" w:type="dxa"/>
          </w:tblCellMar>
        </w:tblPrEx>
        <w:trPr>
          <w:trHeight w:val="567" w:hRule="atLeast"/>
        </w:trPr>
        <w:tc>
          <w:tcPr>
            <w:tcW w:w="37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5747F3">
            <w:pPr>
              <w:keepNext w:val="0"/>
              <w:keepLines w:val="0"/>
              <w:pageBreakBefore w:val="0"/>
              <w:widowControl/>
              <w:kinsoku/>
              <w:wordWrap/>
              <w:topLinePunct w:val="0"/>
              <w:bidi w:val="0"/>
              <w:snapToGrid/>
              <w:spacing w:line="460" w:lineRule="exact"/>
              <w:jc w:val="center"/>
              <w:textAlignment w:val="center"/>
              <w:rPr>
                <w:rFonts w:ascii="宋体" w:hAnsi="宋体" w:cs="宋体"/>
                <w:b/>
                <w:bCs/>
                <w:color w:val="auto"/>
                <w:kern w:val="0"/>
                <w:sz w:val="21"/>
                <w:szCs w:val="21"/>
                <w:lang w:bidi="ar"/>
              </w:rPr>
            </w:pPr>
            <w:r>
              <w:rPr>
                <w:rFonts w:hint="eastAsia" w:ascii="宋体" w:hAnsi="宋体" w:cs="宋体"/>
                <w:b/>
                <w:bCs/>
                <w:color w:val="auto"/>
                <w:kern w:val="0"/>
                <w:sz w:val="21"/>
                <w:szCs w:val="21"/>
                <w:lang w:bidi="ar"/>
              </w:rPr>
              <w:t>16</w:t>
            </w:r>
          </w:p>
        </w:tc>
        <w:tc>
          <w:tcPr>
            <w:tcW w:w="20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99D361">
            <w:pPr>
              <w:keepNext w:val="0"/>
              <w:keepLines w:val="0"/>
              <w:pageBreakBefore w:val="0"/>
              <w:widowControl/>
              <w:kinsoku/>
              <w:wordWrap/>
              <w:topLinePunct w:val="0"/>
              <w:bidi w:val="0"/>
              <w:snapToGrid/>
              <w:spacing w:line="460" w:lineRule="exact"/>
              <w:jc w:val="center"/>
              <w:textAlignment w:val="center"/>
              <w:rPr>
                <w:rFonts w:ascii="宋体" w:hAnsi="宋体" w:cs="宋体"/>
                <w:b/>
                <w:bCs/>
                <w:color w:val="auto"/>
                <w:kern w:val="0"/>
                <w:sz w:val="21"/>
                <w:szCs w:val="21"/>
                <w:lang w:bidi="ar"/>
              </w:rPr>
            </w:pPr>
            <w:r>
              <w:rPr>
                <w:rFonts w:hint="eastAsia" w:ascii="宋体" w:hAnsi="宋体" w:cs="宋体"/>
                <w:color w:val="auto"/>
                <w:kern w:val="0"/>
                <w:sz w:val="21"/>
                <w:szCs w:val="21"/>
                <w:lang w:bidi="ar"/>
              </w:rPr>
              <w:t>牛塘山文化公</w:t>
            </w:r>
            <w:r>
              <w:rPr>
                <w:rFonts w:hint="eastAsia" w:ascii="宋体" w:hAnsi="宋体" w:cs="宋体"/>
                <w:color w:val="auto"/>
                <w:kern w:val="0"/>
                <w:sz w:val="21"/>
                <w:szCs w:val="21"/>
                <w:lang w:val="en-US" w:eastAsia="zh-CN" w:bidi="ar"/>
              </w:rPr>
              <w:t>园</w:t>
            </w:r>
            <w:r>
              <w:rPr>
                <w:rFonts w:hint="eastAsia" w:ascii="宋体" w:hAnsi="宋体" w:cs="宋体"/>
                <w:color w:val="auto"/>
                <w:kern w:val="0"/>
                <w:sz w:val="21"/>
                <w:szCs w:val="21"/>
                <w:lang w:bidi="ar"/>
              </w:rPr>
              <w:t>前（白石根路）</w:t>
            </w:r>
          </w:p>
        </w:tc>
        <w:tc>
          <w:tcPr>
            <w:tcW w:w="7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8F577B">
            <w:pPr>
              <w:keepNext w:val="0"/>
              <w:keepLines w:val="0"/>
              <w:pageBreakBefore w:val="0"/>
              <w:widowControl/>
              <w:kinsoku/>
              <w:wordWrap/>
              <w:topLinePunct w:val="0"/>
              <w:bidi w:val="0"/>
              <w:snapToGrid/>
              <w:spacing w:line="460" w:lineRule="exact"/>
              <w:jc w:val="center"/>
              <w:textAlignment w:val="center"/>
              <w:rPr>
                <w:rFonts w:ascii="宋体" w:hAnsi="宋体" w:cs="宋体"/>
                <w:b/>
                <w:bCs/>
                <w:color w:val="auto"/>
                <w:kern w:val="0"/>
                <w:sz w:val="21"/>
                <w:szCs w:val="21"/>
                <w:lang w:bidi="ar"/>
              </w:rPr>
            </w:pPr>
            <w:r>
              <w:rPr>
                <w:rFonts w:hint="eastAsia" w:ascii="宋体" w:hAnsi="宋体" w:cs="宋体"/>
                <w:color w:val="auto"/>
                <w:kern w:val="0"/>
                <w:sz w:val="21"/>
                <w:szCs w:val="21"/>
                <w:lang w:bidi="ar"/>
              </w:rPr>
              <w:t>0</w:t>
            </w:r>
          </w:p>
        </w:tc>
        <w:tc>
          <w:tcPr>
            <w:tcW w:w="73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AC1BD7">
            <w:pPr>
              <w:keepNext w:val="0"/>
              <w:keepLines w:val="0"/>
              <w:pageBreakBefore w:val="0"/>
              <w:widowControl/>
              <w:kinsoku/>
              <w:wordWrap/>
              <w:topLinePunct w:val="0"/>
              <w:bidi w:val="0"/>
              <w:snapToGrid/>
              <w:spacing w:line="460" w:lineRule="exact"/>
              <w:jc w:val="center"/>
              <w:textAlignment w:val="center"/>
              <w:rPr>
                <w:rFonts w:ascii="宋体" w:hAnsi="宋体" w:cs="宋体"/>
                <w:b/>
                <w:bCs/>
                <w:color w:val="auto"/>
                <w:kern w:val="0"/>
                <w:sz w:val="21"/>
                <w:szCs w:val="21"/>
                <w:lang w:bidi="ar"/>
              </w:rPr>
            </w:pPr>
            <w:r>
              <w:rPr>
                <w:rFonts w:hint="eastAsia" w:ascii="宋体" w:hAnsi="宋体" w:cs="宋体"/>
                <w:color w:val="auto"/>
                <w:kern w:val="0"/>
                <w:sz w:val="21"/>
                <w:szCs w:val="21"/>
                <w:lang w:bidi="ar"/>
              </w:rPr>
              <w:t>40</w:t>
            </w:r>
          </w:p>
        </w:tc>
        <w:tc>
          <w:tcPr>
            <w:tcW w:w="112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67C7DE">
            <w:pPr>
              <w:keepNext w:val="0"/>
              <w:keepLines w:val="0"/>
              <w:pageBreakBefore w:val="0"/>
              <w:widowControl/>
              <w:kinsoku/>
              <w:wordWrap/>
              <w:topLinePunct w:val="0"/>
              <w:bidi w:val="0"/>
              <w:snapToGrid/>
              <w:spacing w:line="460" w:lineRule="exact"/>
              <w:jc w:val="center"/>
              <w:rPr>
                <w:rFonts w:ascii="宋体" w:hAnsi="宋体" w:cs="宋体"/>
                <w:color w:val="auto"/>
                <w:sz w:val="21"/>
                <w:szCs w:val="21"/>
              </w:rPr>
            </w:pPr>
          </w:p>
        </w:tc>
      </w:tr>
      <w:tr w14:paraId="0734ACD6">
        <w:tblPrEx>
          <w:tblCellMar>
            <w:top w:w="0" w:type="dxa"/>
            <w:left w:w="108" w:type="dxa"/>
            <w:bottom w:w="0" w:type="dxa"/>
            <w:right w:w="108" w:type="dxa"/>
          </w:tblCellMar>
        </w:tblPrEx>
        <w:trPr>
          <w:trHeight w:val="567" w:hRule="atLeast"/>
        </w:trPr>
        <w:tc>
          <w:tcPr>
            <w:tcW w:w="2405"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305DFF">
            <w:pPr>
              <w:keepNext w:val="0"/>
              <w:keepLines w:val="0"/>
              <w:pageBreakBefore w:val="0"/>
              <w:widowControl/>
              <w:kinsoku/>
              <w:wordWrap/>
              <w:topLinePunct w:val="0"/>
              <w:bidi w:val="0"/>
              <w:snapToGrid/>
              <w:spacing w:line="460" w:lineRule="exact"/>
              <w:jc w:val="center"/>
              <w:textAlignment w:val="center"/>
              <w:rPr>
                <w:rFonts w:ascii="宋体" w:hAnsi="宋体" w:cs="宋体"/>
                <w:color w:val="auto"/>
                <w:sz w:val="21"/>
                <w:szCs w:val="21"/>
              </w:rPr>
            </w:pPr>
            <w:r>
              <w:rPr>
                <w:rFonts w:hint="eastAsia" w:ascii="宋体" w:hAnsi="宋体" w:cs="宋体"/>
                <w:color w:val="auto"/>
                <w:kern w:val="0"/>
                <w:sz w:val="21"/>
                <w:szCs w:val="21"/>
                <w:lang w:bidi="ar"/>
              </w:rPr>
              <w:t>小计</w:t>
            </w:r>
          </w:p>
        </w:tc>
        <w:tc>
          <w:tcPr>
            <w:tcW w:w="7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7EC566">
            <w:pPr>
              <w:keepNext w:val="0"/>
              <w:keepLines w:val="0"/>
              <w:pageBreakBefore w:val="0"/>
              <w:widowControl/>
              <w:kinsoku/>
              <w:wordWrap/>
              <w:topLinePunct w:val="0"/>
              <w:bidi w:val="0"/>
              <w:snapToGrid/>
              <w:spacing w:line="460" w:lineRule="exact"/>
              <w:jc w:val="center"/>
              <w:textAlignment w:val="center"/>
              <w:rPr>
                <w:rFonts w:ascii="宋体" w:hAnsi="宋体" w:cs="宋体"/>
                <w:color w:val="auto"/>
                <w:sz w:val="21"/>
                <w:szCs w:val="21"/>
              </w:rPr>
            </w:pPr>
            <w:r>
              <w:rPr>
                <w:rFonts w:hint="eastAsia" w:ascii="宋体" w:hAnsi="宋体" w:cs="宋体"/>
                <w:color w:val="auto"/>
                <w:kern w:val="0"/>
                <w:sz w:val="21"/>
                <w:szCs w:val="21"/>
                <w:lang w:bidi="ar"/>
              </w:rPr>
              <w:t>933</w:t>
            </w:r>
          </w:p>
        </w:tc>
        <w:tc>
          <w:tcPr>
            <w:tcW w:w="73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4DB7F0">
            <w:pPr>
              <w:keepNext w:val="0"/>
              <w:keepLines w:val="0"/>
              <w:pageBreakBefore w:val="0"/>
              <w:widowControl/>
              <w:kinsoku/>
              <w:wordWrap/>
              <w:topLinePunct w:val="0"/>
              <w:bidi w:val="0"/>
              <w:snapToGrid/>
              <w:spacing w:line="460" w:lineRule="exact"/>
              <w:jc w:val="center"/>
              <w:textAlignment w:val="center"/>
              <w:rPr>
                <w:rFonts w:ascii="宋体" w:hAnsi="宋体" w:cs="宋体"/>
                <w:color w:val="auto"/>
                <w:sz w:val="21"/>
                <w:szCs w:val="21"/>
              </w:rPr>
            </w:pPr>
            <w:r>
              <w:rPr>
                <w:rFonts w:hint="eastAsia" w:ascii="宋体" w:hAnsi="宋体" w:cs="宋体"/>
                <w:color w:val="auto"/>
                <w:kern w:val="0"/>
                <w:sz w:val="21"/>
                <w:szCs w:val="21"/>
                <w:lang w:bidi="ar"/>
              </w:rPr>
              <w:t>803</w:t>
            </w:r>
          </w:p>
        </w:tc>
        <w:tc>
          <w:tcPr>
            <w:tcW w:w="112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24AAFF">
            <w:pPr>
              <w:keepNext w:val="0"/>
              <w:keepLines w:val="0"/>
              <w:pageBreakBefore w:val="0"/>
              <w:widowControl/>
              <w:kinsoku/>
              <w:wordWrap/>
              <w:topLinePunct w:val="0"/>
              <w:bidi w:val="0"/>
              <w:snapToGrid/>
              <w:spacing w:line="460" w:lineRule="exact"/>
              <w:jc w:val="center"/>
              <w:textAlignment w:val="center"/>
              <w:rPr>
                <w:rFonts w:ascii="宋体" w:hAnsi="宋体" w:cs="宋体"/>
                <w:color w:val="auto"/>
                <w:sz w:val="21"/>
                <w:szCs w:val="21"/>
              </w:rPr>
            </w:pPr>
            <w:r>
              <w:rPr>
                <w:rFonts w:hint="eastAsia" w:ascii="宋体" w:hAnsi="宋体" w:cs="宋体"/>
                <w:color w:val="auto"/>
                <w:kern w:val="0"/>
                <w:sz w:val="21"/>
                <w:szCs w:val="21"/>
                <w:lang w:bidi="ar"/>
              </w:rPr>
              <w:t>1736</w:t>
            </w:r>
          </w:p>
        </w:tc>
      </w:tr>
      <w:tr w14:paraId="67328006">
        <w:tblPrEx>
          <w:tblCellMar>
            <w:top w:w="0" w:type="dxa"/>
            <w:left w:w="108" w:type="dxa"/>
            <w:bottom w:w="0" w:type="dxa"/>
            <w:right w:w="108" w:type="dxa"/>
          </w:tblCellMar>
        </w:tblPrEx>
        <w:trPr>
          <w:trHeight w:val="567"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94D62E">
            <w:pPr>
              <w:keepNext w:val="0"/>
              <w:keepLines w:val="0"/>
              <w:pageBreakBefore w:val="0"/>
              <w:widowControl/>
              <w:kinsoku/>
              <w:wordWrap/>
              <w:topLinePunct w:val="0"/>
              <w:bidi w:val="0"/>
              <w:snapToGrid/>
              <w:spacing w:line="460" w:lineRule="exact"/>
              <w:jc w:val="left"/>
              <w:textAlignment w:val="center"/>
              <w:rPr>
                <w:rFonts w:hint="default" w:ascii="宋体" w:hAnsi="宋体" w:eastAsia="宋体" w:cs="宋体"/>
                <w:b/>
                <w:bCs/>
                <w:color w:val="auto"/>
                <w:sz w:val="21"/>
                <w:szCs w:val="21"/>
                <w:lang w:val="en-US" w:eastAsia="zh-CN"/>
              </w:rPr>
            </w:pPr>
            <w:r>
              <w:rPr>
                <w:rFonts w:hint="eastAsia" w:ascii="宋体" w:hAnsi="宋体" w:cs="宋体"/>
                <w:b/>
                <w:bCs/>
                <w:color w:val="auto"/>
                <w:kern w:val="0"/>
                <w:sz w:val="21"/>
                <w:szCs w:val="21"/>
                <w:lang w:bidi="ar"/>
              </w:rPr>
              <w:t>二、停车场停车泊位</w:t>
            </w:r>
            <w:r>
              <w:rPr>
                <w:rFonts w:hint="eastAsia" w:ascii="宋体" w:hAnsi="宋体" w:cs="宋体"/>
                <w:b/>
                <w:bCs/>
                <w:color w:val="auto"/>
                <w:kern w:val="0"/>
                <w:sz w:val="21"/>
                <w:szCs w:val="21"/>
                <w:lang w:val="en-US" w:eastAsia="zh-CN" w:bidi="ar"/>
              </w:rPr>
              <w:t>-智能化升级建设</w:t>
            </w:r>
          </w:p>
        </w:tc>
      </w:tr>
      <w:tr w14:paraId="7C523060">
        <w:tblPrEx>
          <w:tblCellMar>
            <w:top w:w="0" w:type="dxa"/>
            <w:left w:w="108" w:type="dxa"/>
            <w:bottom w:w="0" w:type="dxa"/>
            <w:right w:w="108" w:type="dxa"/>
          </w:tblCellMar>
        </w:tblPrEx>
        <w:trPr>
          <w:trHeight w:val="567" w:hRule="atLeast"/>
        </w:trPr>
        <w:tc>
          <w:tcPr>
            <w:tcW w:w="37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AA644A">
            <w:pPr>
              <w:keepNext w:val="0"/>
              <w:keepLines w:val="0"/>
              <w:pageBreakBefore w:val="0"/>
              <w:widowControl/>
              <w:kinsoku/>
              <w:wordWrap/>
              <w:topLinePunct w:val="0"/>
              <w:bidi w:val="0"/>
              <w:snapToGrid/>
              <w:spacing w:line="460" w:lineRule="exact"/>
              <w:jc w:val="center"/>
              <w:textAlignment w:val="center"/>
              <w:rPr>
                <w:rFonts w:ascii="宋体" w:hAnsi="宋体" w:cs="宋体"/>
                <w:b/>
                <w:bCs/>
                <w:color w:val="auto"/>
                <w:sz w:val="21"/>
                <w:szCs w:val="21"/>
              </w:rPr>
            </w:pPr>
            <w:r>
              <w:rPr>
                <w:rFonts w:hint="eastAsia" w:ascii="宋体" w:hAnsi="宋体" w:cs="宋体"/>
                <w:b/>
                <w:bCs/>
                <w:color w:val="auto"/>
                <w:kern w:val="0"/>
                <w:sz w:val="21"/>
                <w:szCs w:val="21"/>
                <w:lang w:bidi="ar"/>
              </w:rPr>
              <w:t>序号</w:t>
            </w:r>
          </w:p>
        </w:tc>
        <w:tc>
          <w:tcPr>
            <w:tcW w:w="20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17C23A">
            <w:pPr>
              <w:keepNext w:val="0"/>
              <w:keepLines w:val="0"/>
              <w:pageBreakBefore w:val="0"/>
              <w:widowControl/>
              <w:kinsoku/>
              <w:wordWrap/>
              <w:topLinePunct w:val="0"/>
              <w:bidi w:val="0"/>
              <w:snapToGrid/>
              <w:spacing w:line="460" w:lineRule="exact"/>
              <w:jc w:val="center"/>
              <w:textAlignment w:val="center"/>
              <w:rPr>
                <w:rFonts w:ascii="宋体" w:hAnsi="宋体" w:cs="宋体"/>
                <w:b/>
                <w:bCs/>
                <w:color w:val="auto"/>
                <w:sz w:val="21"/>
                <w:szCs w:val="21"/>
              </w:rPr>
            </w:pPr>
            <w:r>
              <w:rPr>
                <w:rFonts w:hint="eastAsia" w:ascii="宋体" w:hAnsi="宋体" w:cs="宋体"/>
                <w:b/>
                <w:bCs/>
                <w:color w:val="auto"/>
                <w:kern w:val="0"/>
                <w:sz w:val="21"/>
                <w:szCs w:val="21"/>
                <w:lang w:bidi="ar"/>
              </w:rPr>
              <w:t>名称</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42CA15">
            <w:pPr>
              <w:keepNext w:val="0"/>
              <w:keepLines w:val="0"/>
              <w:pageBreakBefore w:val="0"/>
              <w:widowControl/>
              <w:kinsoku/>
              <w:wordWrap/>
              <w:topLinePunct w:val="0"/>
              <w:bidi w:val="0"/>
              <w:snapToGrid/>
              <w:spacing w:line="460" w:lineRule="exact"/>
              <w:jc w:val="center"/>
              <w:textAlignment w:val="center"/>
              <w:rPr>
                <w:rFonts w:ascii="宋体" w:hAnsi="宋体" w:cs="宋体"/>
                <w:b/>
                <w:bCs/>
                <w:color w:val="auto"/>
                <w:sz w:val="21"/>
                <w:szCs w:val="21"/>
              </w:rPr>
            </w:pPr>
            <w:r>
              <w:rPr>
                <w:rFonts w:hint="eastAsia" w:ascii="宋体" w:hAnsi="宋体" w:cs="宋体"/>
                <w:b/>
                <w:bCs/>
                <w:color w:val="auto"/>
                <w:kern w:val="0"/>
                <w:sz w:val="21"/>
                <w:szCs w:val="21"/>
                <w:lang w:bidi="ar"/>
              </w:rPr>
              <w:t>已规划泊位数</w:t>
            </w:r>
          </w:p>
        </w:tc>
        <w:tc>
          <w:tcPr>
            <w:tcW w:w="7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8020CE">
            <w:pPr>
              <w:keepNext w:val="0"/>
              <w:keepLines w:val="0"/>
              <w:pageBreakBefore w:val="0"/>
              <w:widowControl/>
              <w:kinsoku/>
              <w:wordWrap/>
              <w:topLinePunct w:val="0"/>
              <w:bidi w:val="0"/>
              <w:snapToGrid/>
              <w:spacing w:line="460" w:lineRule="exact"/>
              <w:jc w:val="center"/>
              <w:textAlignment w:val="center"/>
              <w:rPr>
                <w:rFonts w:ascii="宋体" w:hAnsi="宋体" w:cs="宋体"/>
                <w:b/>
                <w:bCs/>
                <w:color w:val="auto"/>
                <w:sz w:val="21"/>
                <w:szCs w:val="21"/>
              </w:rPr>
            </w:pPr>
            <w:r>
              <w:rPr>
                <w:rFonts w:hint="eastAsia" w:ascii="宋体" w:hAnsi="宋体" w:cs="宋体"/>
                <w:b/>
                <w:bCs/>
                <w:color w:val="auto"/>
                <w:kern w:val="0"/>
                <w:sz w:val="21"/>
                <w:szCs w:val="21"/>
                <w:lang w:bidi="ar"/>
              </w:rPr>
              <w:t>待规划泊位数</w:t>
            </w:r>
          </w:p>
        </w:tc>
        <w:tc>
          <w:tcPr>
            <w:tcW w:w="112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EC8CD7">
            <w:pPr>
              <w:keepNext w:val="0"/>
              <w:keepLines w:val="0"/>
              <w:pageBreakBefore w:val="0"/>
              <w:widowControl/>
              <w:kinsoku/>
              <w:wordWrap/>
              <w:topLinePunct w:val="0"/>
              <w:bidi w:val="0"/>
              <w:snapToGrid/>
              <w:spacing w:line="460" w:lineRule="exact"/>
              <w:jc w:val="center"/>
              <w:textAlignment w:val="center"/>
              <w:rPr>
                <w:rFonts w:ascii="宋体" w:hAnsi="宋体" w:cs="宋体"/>
                <w:b/>
                <w:bCs/>
                <w:color w:val="auto"/>
                <w:sz w:val="21"/>
                <w:szCs w:val="21"/>
              </w:rPr>
            </w:pPr>
            <w:r>
              <w:rPr>
                <w:rFonts w:hint="eastAsia" w:ascii="宋体" w:hAnsi="宋体" w:cs="宋体"/>
                <w:b/>
                <w:bCs/>
                <w:color w:val="auto"/>
                <w:kern w:val="0"/>
                <w:sz w:val="21"/>
                <w:szCs w:val="21"/>
                <w:lang w:bidi="ar"/>
              </w:rPr>
              <w:t>备注</w:t>
            </w:r>
          </w:p>
        </w:tc>
      </w:tr>
      <w:tr w14:paraId="2FFA838F">
        <w:tblPrEx>
          <w:tblCellMar>
            <w:top w:w="0" w:type="dxa"/>
            <w:left w:w="108" w:type="dxa"/>
            <w:bottom w:w="0" w:type="dxa"/>
            <w:right w:w="108" w:type="dxa"/>
          </w:tblCellMar>
        </w:tblPrEx>
        <w:trPr>
          <w:trHeight w:val="567" w:hRule="atLeast"/>
        </w:trPr>
        <w:tc>
          <w:tcPr>
            <w:tcW w:w="37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7FE539">
            <w:pPr>
              <w:keepNext w:val="0"/>
              <w:keepLines w:val="0"/>
              <w:pageBreakBefore w:val="0"/>
              <w:widowControl/>
              <w:kinsoku/>
              <w:wordWrap/>
              <w:topLinePunct w:val="0"/>
              <w:bidi w:val="0"/>
              <w:snapToGrid/>
              <w:spacing w:line="460" w:lineRule="exact"/>
              <w:jc w:val="center"/>
              <w:textAlignment w:val="center"/>
              <w:rPr>
                <w:rFonts w:ascii="宋体" w:hAnsi="宋体" w:cs="宋体"/>
                <w:b/>
                <w:bCs/>
                <w:color w:val="auto"/>
                <w:sz w:val="21"/>
                <w:szCs w:val="21"/>
              </w:rPr>
            </w:pPr>
            <w:r>
              <w:rPr>
                <w:rFonts w:hint="eastAsia" w:ascii="宋体" w:hAnsi="宋体" w:cs="宋体"/>
                <w:b/>
                <w:bCs/>
                <w:color w:val="auto"/>
                <w:kern w:val="0"/>
                <w:sz w:val="21"/>
                <w:szCs w:val="21"/>
                <w:lang w:bidi="ar"/>
              </w:rPr>
              <w:t>17</w:t>
            </w:r>
          </w:p>
        </w:tc>
        <w:tc>
          <w:tcPr>
            <w:tcW w:w="20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7536C6">
            <w:pPr>
              <w:keepNext w:val="0"/>
              <w:keepLines w:val="0"/>
              <w:pageBreakBefore w:val="0"/>
              <w:widowControl/>
              <w:kinsoku/>
              <w:wordWrap/>
              <w:topLinePunct w:val="0"/>
              <w:bidi w:val="0"/>
              <w:snapToGrid/>
              <w:spacing w:line="460" w:lineRule="exact"/>
              <w:jc w:val="center"/>
              <w:textAlignment w:val="center"/>
              <w:rPr>
                <w:rFonts w:ascii="宋体" w:hAnsi="宋体" w:cs="宋体"/>
                <w:color w:val="auto"/>
                <w:sz w:val="21"/>
                <w:szCs w:val="21"/>
              </w:rPr>
            </w:pPr>
            <w:r>
              <w:rPr>
                <w:rFonts w:hint="eastAsia" w:ascii="宋体" w:hAnsi="宋体" w:cs="宋体"/>
                <w:color w:val="auto"/>
                <w:kern w:val="0"/>
                <w:sz w:val="21"/>
                <w:szCs w:val="21"/>
                <w:lang w:bidi="ar"/>
              </w:rPr>
              <w:t>闸坡国际海产交易商场</w:t>
            </w:r>
          </w:p>
        </w:tc>
        <w:tc>
          <w:tcPr>
            <w:tcW w:w="7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8BD608">
            <w:pPr>
              <w:keepNext w:val="0"/>
              <w:keepLines w:val="0"/>
              <w:pageBreakBefore w:val="0"/>
              <w:widowControl/>
              <w:kinsoku/>
              <w:wordWrap/>
              <w:topLinePunct w:val="0"/>
              <w:bidi w:val="0"/>
              <w:snapToGrid/>
              <w:spacing w:line="460" w:lineRule="exact"/>
              <w:jc w:val="center"/>
              <w:textAlignment w:val="center"/>
              <w:rPr>
                <w:rFonts w:ascii="宋体" w:hAnsi="宋体" w:cs="宋体"/>
                <w:color w:val="auto"/>
                <w:sz w:val="21"/>
                <w:szCs w:val="21"/>
              </w:rPr>
            </w:pPr>
            <w:r>
              <w:rPr>
                <w:rFonts w:hint="eastAsia" w:ascii="宋体" w:hAnsi="宋体" w:cs="宋体"/>
                <w:color w:val="auto"/>
                <w:kern w:val="0"/>
                <w:sz w:val="21"/>
                <w:szCs w:val="21"/>
                <w:lang w:bidi="ar"/>
              </w:rPr>
              <w:t>0</w:t>
            </w:r>
          </w:p>
        </w:tc>
        <w:tc>
          <w:tcPr>
            <w:tcW w:w="73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85C268">
            <w:pPr>
              <w:keepNext w:val="0"/>
              <w:keepLines w:val="0"/>
              <w:pageBreakBefore w:val="0"/>
              <w:widowControl/>
              <w:kinsoku/>
              <w:wordWrap/>
              <w:topLinePunct w:val="0"/>
              <w:bidi w:val="0"/>
              <w:snapToGrid/>
              <w:spacing w:line="460" w:lineRule="exact"/>
              <w:jc w:val="center"/>
              <w:textAlignment w:val="center"/>
              <w:rPr>
                <w:rFonts w:ascii="宋体" w:hAnsi="宋体" w:cs="宋体"/>
                <w:color w:val="auto"/>
                <w:sz w:val="21"/>
                <w:szCs w:val="21"/>
              </w:rPr>
            </w:pPr>
            <w:r>
              <w:rPr>
                <w:rFonts w:hint="eastAsia" w:ascii="宋体" w:hAnsi="宋体" w:cs="宋体"/>
                <w:color w:val="auto"/>
                <w:kern w:val="0"/>
                <w:sz w:val="21"/>
                <w:szCs w:val="21"/>
                <w:lang w:bidi="ar"/>
              </w:rPr>
              <w:t>300</w:t>
            </w:r>
          </w:p>
        </w:tc>
        <w:tc>
          <w:tcPr>
            <w:tcW w:w="112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09A123">
            <w:pPr>
              <w:keepNext w:val="0"/>
              <w:keepLines w:val="0"/>
              <w:pageBreakBefore w:val="0"/>
              <w:widowControl/>
              <w:kinsoku/>
              <w:wordWrap/>
              <w:topLinePunct w:val="0"/>
              <w:bidi w:val="0"/>
              <w:snapToGrid/>
              <w:spacing w:line="460" w:lineRule="exact"/>
              <w:jc w:val="center"/>
              <w:textAlignment w:val="center"/>
              <w:rPr>
                <w:rFonts w:ascii="宋体" w:hAnsi="宋体" w:cs="宋体"/>
                <w:color w:val="auto"/>
                <w:sz w:val="21"/>
                <w:szCs w:val="21"/>
              </w:rPr>
            </w:pPr>
          </w:p>
        </w:tc>
      </w:tr>
      <w:tr w14:paraId="298262BF">
        <w:tblPrEx>
          <w:tblCellMar>
            <w:top w:w="0" w:type="dxa"/>
            <w:left w:w="108" w:type="dxa"/>
            <w:bottom w:w="0" w:type="dxa"/>
            <w:right w:w="108" w:type="dxa"/>
          </w:tblCellMar>
        </w:tblPrEx>
        <w:trPr>
          <w:trHeight w:val="567" w:hRule="atLeast"/>
        </w:trPr>
        <w:tc>
          <w:tcPr>
            <w:tcW w:w="37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59FE8B">
            <w:pPr>
              <w:keepNext w:val="0"/>
              <w:keepLines w:val="0"/>
              <w:pageBreakBefore w:val="0"/>
              <w:widowControl/>
              <w:kinsoku/>
              <w:wordWrap/>
              <w:topLinePunct w:val="0"/>
              <w:bidi w:val="0"/>
              <w:snapToGrid/>
              <w:spacing w:line="460" w:lineRule="exact"/>
              <w:jc w:val="center"/>
              <w:textAlignment w:val="center"/>
              <w:rPr>
                <w:rFonts w:ascii="宋体" w:hAnsi="宋体" w:cs="宋体"/>
                <w:b/>
                <w:bCs/>
                <w:color w:val="auto"/>
                <w:sz w:val="21"/>
                <w:szCs w:val="21"/>
              </w:rPr>
            </w:pPr>
            <w:r>
              <w:rPr>
                <w:rFonts w:hint="eastAsia" w:ascii="宋体" w:hAnsi="宋体" w:cs="宋体"/>
                <w:b/>
                <w:bCs/>
                <w:color w:val="auto"/>
                <w:kern w:val="0"/>
                <w:sz w:val="21"/>
                <w:szCs w:val="21"/>
                <w:lang w:bidi="ar"/>
              </w:rPr>
              <w:t>18</w:t>
            </w:r>
          </w:p>
        </w:tc>
        <w:tc>
          <w:tcPr>
            <w:tcW w:w="20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3883D3">
            <w:pPr>
              <w:keepNext w:val="0"/>
              <w:keepLines w:val="0"/>
              <w:pageBreakBefore w:val="0"/>
              <w:widowControl/>
              <w:kinsoku/>
              <w:wordWrap/>
              <w:topLinePunct w:val="0"/>
              <w:bidi w:val="0"/>
              <w:snapToGrid/>
              <w:spacing w:line="460" w:lineRule="exact"/>
              <w:jc w:val="center"/>
              <w:textAlignment w:val="center"/>
              <w:rPr>
                <w:rFonts w:ascii="宋体" w:hAnsi="宋体" w:cs="宋体"/>
                <w:color w:val="auto"/>
                <w:sz w:val="21"/>
                <w:szCs w:val="21"/>
              </w:rPr>
            </w:pPr>
            <w:r>
              <w:rPr>
                <w:rFonts w:hint="eastAsia" w:ascii="宋体" w:hAnsi="宋体" w:cs="宋体"/>
                <w:color w:val="auto"/>
                <w:kern w:val="0"/>
                <w:sz w:val="21"/>
                <w:szCs w:val="21"/>
                <w:lang w:bidi="ar"/>
              </w:rPr>
              <w:t>碧桂园-北洛明珠停车场</w:t>
            </w:r>
          </w:p>
        </w:tc>
        <w:tc>
          <w:tcPr>
            <w:tcW w:w="7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1DD985">
            <w:pPr>
              <w:keepNext w:val="0"/>
              <w:keepLines w:val="0"/>
              <w:pageBreakBefore w:val="0"/>
              <w:widowControl/>
              <w:kinsoku/>
              <w:wordWrap/>
              <w:topLinePunct w:val="0"/>
              <w:bidi w:val="0"/>
              <w:snapToGrid/>
              <w:spacing w:line="460" w:lineRule="exact"/>
              <w:jc w:val="center"/>
              <w:textAlignment w:val="center"/>
              <w:rPr>
                <w:rFonts w:ascii="宋体" w:hAnsi="宋体" w:cs="宋体"/>
                <w:color w:val="auto"/>
                <w:sz w:val="21"/>
                <w:szCs w:val="21"/>
              </w:rPr>
            </w:pPr>
            <w:r>
              <w:rPr>
                <w:rFonts w:hint="eastAsia" w:ascii="宋体" w:hAnsi="宋体" w:cs="宋体"/>
                <w:color w:val="auto"/>
                <w:kern w:val="0"/>
                <w:sz w:val="21"/>
                <w:szCs w:val="21"/>
                <w:lang w:bidi="ar"/>
              </w:rPr>
              <w:t>74</w:t>
            </w:r>
          </w:p>
        </w:tc>
        <w:tc>
          <w:tcPr>
            <w:tcW w:w="73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41F875">
            <w:pPr>
              <w:keepNext w:val="0"/>
              <w:keepLines w:val="0"/>
              <w:pageBreakBefore w:val="0"/>
              <w:widowControl/>
              <w:kinsoku/>
              <w:wordWrap/>
              <w:topLinePunct w:val="0"/>
              <w:bidi w:val="0"/>
              <w:snapToGrid/>
              <w:spacing w:line="460" w:lineRule="exact"/>
              <w:jc w:val="center"/>
              <w:textAlignment w:val="center"/>
              <w:rPr>
                <w:rFonts w:ascii="宋体" w:hAnsi="宋体" w:cs="宋体"/>
                <w:color w:val="auto"/>
                <w:sz w:val="21"/>
                <w:szCs w:val="21"/>
              </w:rPr>
            </w:pPr>
            <w:r>
              <w:rPr>
                <w:rFonts w:hint="eastAsia" w:ascii="宋体" w:hAnsi="宋体" w:cs="宋体"/>
                <w:color w:val="auto"/>
                <w:kern w:val="0"/>
                <w:sz w:val="21"/>
                <w:szCs w:val="21"/>
                <w:lang w:bidi="ar"/>
              </w:rPr>
              <w:t>0</w:t>
            </w:r>
          </w:p>
        </w:tc>
        <w:tc>
          <w:tcPr>
            <w:tcW w:w="112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6B44EE">
            <w:pPr>
              <w:keepNext w:val="0"/>
              <w:keepLines w:val="0"/>
              <w:pageBreakBefore w:val="0"/>
              <w:widowControl/>
              <w:kinsoku/>
              <w:wordWrap/>
              <w:topLinePunct w:val="0"/>
              <w:bidi w:val="0"/>
              <w:snapToGrid/>
              <w:spacing w:line="460" w:lineRule="exact"/>
              <w:jc w:val="center"/>
              <w:textAlignment w:val="center"/>
              <w:rPr>
                <w:rFonts w:ascii="宋体" w:hAnsi="宋体" w:cs="宋体"/>
                <w:color w:val="auto"/>
                <w:sz w:val="21"/>
                <w:szCs w:val="21"/>
              </w:rPr>
            </w:pPr>
          </w:p>
        </w:tc>
      </w:tr>
      <w:tr w14:paraId="1ADD32C8">
        <w:tblPrEx>
          <w:tblCellMar>
            <w:top w:w="0" w:type="dxa"/>
            <w:left w:w="108" w:type="dxa"/>
            <w:bottom w:w="0" w:type="dxa"/>
            <w:right w:w="108" w:type="dxa"/>
          </w:tblCellMar>
        </w:tblPrEx>
        <w:trPr>
          <w:trHeight w:val="567" w:hRule="atLeast"/>
        </w:trPr>
        <w:tc>
          <w:tcPr>
            <w:tcW w:w="37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8AE3C0">
            <w:pPr>
              <w:keepNext w:val="0"/>
              <w:keepLines w:val="0"/>
              <w:pageBreakBefore w:val="0"/>
              <w:widowControl/>
              <w:kinsoku/>
              <w:wordWrap/>
              <w:topLinePunct w:val="0"/>
              <w:bidi w:val="0"/>
              <w:snapToGrid/>
              <w:spacing w:line="460" w:lineRule="exact"/>
              <w:jc w:val="center"/>
              <w:textAlignment w:val="center"/>
              <w:rPr>
                <w:rFonts w:ascii="宋体" w:hAnsi="宋体" w:cs="宋体"/>
                <w:b/>
                <w:bCs/>
                <w:color w:val="auto"/>
                <w:sz w:val="21"/>
                <w:szCs w:val="21"/>
              </w:rPr>
            </w:pPr>
            <w:r>
              <w:rPr>
                <w:rFonts w:hint="eastAsia" w:ascii="宋体" w:hAnsi="宋体" w:cs="宋体"/>
                <w:b/>
                <w:bCs/>
                <w:color w:val="auto"/>
                <w:kern w:val="0"/>
                <w:sz w:val="21"/>
                <w:szCs w:val="21"/>
                <w:lang w:bidi="ar"/>
              </w:rPr>
              <w:t>19</w:t>
            </w:r>
          </w:p>
        </w:tc>
        <w:tc>
          <w:tcPr>
            <w:tcW w:w="20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15F43A">
            <w:pPr>
              <w:keepNext w:val="0"/>
              <w:keepLines w:val="0"/>
              <w:pageBreakBefore w:val="0"/>
              <w:widowControl/>
              <w:kinsoku/>
              <w:wordWrap/>
              <w:topLinePunct w:val="0"/>
              <w:bidi w:val="0"/>
              <w:snapToGrid/>
              <w:spacing w:line="460" w:lineRule="exact"/>
              <w:jc w:val="center"/>
              <w:textAlignment w:val="center"/>
              <w:rPr>
                <w:rFonts w:ascii="宋体" w:hAnsi="宋体" w:cs="宋体"/>
                <w:color w:val="auto"/>
                <w:sz w:val="21"/>
                <w:szCs w:val="21"/>
              </w:rPr>
            </w:pPr>
            <w:r>
              <w:rPr>
                <w:rFonts w:hint="eastAsia" w:ascii="宋体" w:hAnsi="宋体" w:cs="宋体"/>
                <w:color w:val="auto"/>
                <w:kern w:val="0"/>
                <w:sz w:val="21"/>
                <w:szCs w:val="21"/>
                <w:lang w:bidi="ar"/>
              </w:rPr>
              <w:t>四海一家鱼排停车场</w:t>
            </w:r>
          </w:p>
        </w:tc>
        <w:tc>
          <w:tcPr>
            <w:tcW w:w="7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561415">
            <w:pPr>
              <w:keepNext w:val="0"/>
              <w:keepLines w:val="0"/>
              <w:pageBreakBefore w:val="0"/>
              <w:widowControl/>
              <w:kinsoku/>
              <w:wordWrap/>
              <w:topLinePunct w:val="0"/>
              <w:bidi w:val="0"/>
              <w:snapToGrid/>
              <w:spacing w:line="460" w:lineRule="exact"/>
              <w:jc w:val="center"/>
              <w:textAlignment w:val="center"/>
              <w:rPr>
                <w:rFonts w:ascii="宋体" w:hAnsi="宋体" w:cs="宋体"/>
                <w:color w:val="auto"/>
                <w:sz w:val="21"/>
                <w:szCs w:val="21"/>
              </w:rPr>
            </w:pPr>
            <w:r>
              <w:rPr>
                <w:rFonts w:hint="eastAsia" w:ascii="宋体" w:hAnsi="宋体" w:cs="宋体"/>
                <w:color w:val="auto"/>
                <w:kern w:val="0"/>
                <w:sz w:val="21"/>
                <w:szCs w:val="21"/>
                <w:lang w:bidi="ar"/>
              </w:rPr>
              <w:t>0</w:t>
            </w:r>
          </w:p>
        </w:tc>
        <w:tc>
          <w:tcPr>
            <w:tcW w:w="73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A03E06">
            <w:pPr>
              <w:keepNext w:val="0"/>
              <w:keepLines w:val="0"/>
              <w:pageBreakBefore w:val="0"/>
              <w:widowControl/>
              <w:kinsoku/>
              <w:wordWrap/>
              <w:topLinePunct w:val="0"/>
              <w:bidi w:val="0"/>
              <w:snapToGrid/>
              <w:spacing w:line="460" w:lineRule="exact"/>
              <w:jc w:val="center"/>
              <w:textAlignment w:val="center"/>
              <w:rPr>
                <w:rFonts w:ascii="宋体" w:hAnsi="宋体" w:cs="宋体"/>
                <w:color w:val="auto"/>
                <w:sz w:val="21"/>
                <w:szCs w:val="21"/>
              </w:rPr>
            </w:pPr>
            <w:r>
              <w:rPr>
                <w:rFonts w:hint="eastAsia" w:ascii="宋体" w:hAnsi="宋体" w:cs="宋体"/>
                <w:color w:val="auto"/>
                <w:kern w:val="0"/>
                <w:sz w:val="21"/>
                <w:szCs w:val="21"/>
                <w:lang w:bidi="ar"/>
              </w:rPr>
              <w:t>52</w:t>
            </w:r>
          </w:p>
        </w:tc>
        <w:tc>
          <w:tcPr>
            <w:tcW w:w="112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405CC9">
            <w:pPr>
              <w:keepNext w:val="0"/>
              <w:keepLines w:val="0"/>
              <w:pageBreakBefore w:val="0"/>
              <w:widowControl/>
              <w:kinsoku/>
              <w:wordWrap/>
              <w:topLinePunct w:val="0"/>
              <w:bidi w:val="0"/>
              <w:snapToGrid/>
              <w:spacing w:line="460" w:lineRule="exact"/>
              <w:jc w:val="center"/>
              <w:textAlignment w:val="center"/>
              <w:rPr>
                <w:rFonts w:ascii="宋体" w:hAnsi="宋体" w:cs="宋体"/>
                <w:color w:val="auto"/>
                <w:sz w:val="21"/>
                <w:szCs w:val="21"/>
              </w:rPr>
            </w:pPr>
          </w:p>
        </w:tc>
      </w:tr>
      <w:tr w14:paraId="2B51F830">
        <w:tblPrEx>
          <w:tblCellMar>
            <w:top w:w="0" w:type="dxa"/>
            <w:left w:w="108" w:type="dxa"/>
            <w:bottom w:w="0" w:type="dxa"/>
            <w:right w:w="108" w:type="dxa"/>
          </w:tblCellMar>
        </w:tblPrEx>
        <w:trPr>
          <w:trHeight w:val="567" w:hRule="atLeast"/>
        </w:trPr>
        <w:tc>
          <w:tcPr>
            <w:tcW w:w="37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7B564A">
            <w:pPr>
              <w:keepNext w:val="0"/>
              <w:keepLines w:val="0"/>
              <w:pageBreakBefore w:val="0"/>
              <w:widowControl/>
              <w:kinsoku/>
              <w:wordWrap/>
              <w:topLinePunct w:val="0"/>
              <w:bidi w:val="0"/>
              <w:snapToGrid/>
              <w:spacing w:line="460" w:lineRule="exact"/>
              <w:jc w:val="center"/>
              <w:textAlignment w:val="center"/>
              <w:rPr>
                <w:rFonts w:ascii="宋体" w:hAnsi="宋体" w:cs="宋体"/>
                <w:b/>
                <w:bCs/>
                <w:color w:val="auto"/>
                <w:sz w:val="21"/>
                <w:szCs w:val="21"/>
              </w:rPr>
            </w:pPr>
            <w:r>
              <w:rPr>
                <w:rFonts w:hint="eastAsia" w:ascii="宋体" w:hAnsi="宋体" w:cs="宋体"/>
                <w:b/>
                <w:bCs/>
                <w:color w:val="auto"/>
                <w:kern w:val="0"/>
                <w:sz w:val="21"/>
                <w:szCs w:val="21"/>
                <w:lang w:bidi="ar"/>
              </w:rPr>
              <w:t>20</w:t>
            </w:r>
          </w:p>
        </w:tc>
        <w:tc>
          <w:tcPr>
            <w:tcW w:w="20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219B14">
            <w:pPr>
              <w:keepNext w:val="0"/>
              <w:keepLines w:val="0"/>
              <w:pageBreakBefore w:val="0"/>
              <w:widowControl/>
              <w:kinsoku/>
              <w:wordWrap/>
              <w:topLinePunct w:val="0"/>
              <w:bidi w:val="0"/>
              <w:snapToGrid/>
              <w:spacing w:line="460" w:lineRule="exact"/>
              <w:jc w:val="center"/>
              <w:textAlignment w:val="center"/>
              <w:rPr>
                <w:rFonts w:ascii="宋体" w:hAnsi="宋体" w:cs="宋体"/>
                <w:color w:val="auto"/>
                <w:sz w:val="21"/>
                <w:szCs w:val="21"/>
              </w:rPr>
            </w:pPr>
            <w:r>
              <w:rPr>
                <w:rFonts w:hint="eastAsia" w:ascii="宋体" w:hAnsi="宋体" w:cs="宋体"/>
                <w:color w:val="auto"/>
                <w:kern w:val="0"/>
                <w:sz w:val="21"/>
                <w:szCs w:val="21"/>
                <w:lang w:bidi="ar"/>
              </w:rPr>
              <w:t>海陵税局对面停车场</w:t>
            </w:r>
          </w:p>
        </w:tc>
        <w:tc>
          <w:tcPr>
            <w:tcW w:w="7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F93BB5">
            <w:pPr>
              <w:keepNext w:val="0"/>
              <w:keepLines w:val="0"/>
              <w:pageBreakBefore w:val="0"/>
              <w:widowControl/>
              <w:kinsoku/>
              <w:wordWrap/>
              <w:topLinePunct w:val="0"/>
              <w:bidi w:val="0"/>
              <w:snapToGrid/>
              <w:spacing w:line="460" w:lineRule="exact"/>
              <w:jc w:val="center"/>
              <w:textAlignment w:val="center"/>
              <w:rPr>
                <w:rFonts w:ascii="宋体" w:hAnsi="宋体" w:cs="宋体"/>
                <w:color w:val="auto"/>
                <w:sz w:val="21"/>
                <w:szCs w:val="21"/>
              </w:rPr>
            </w:pPr>
            <w:r>
              <w:rPr>
                <w:rFonts w:hint="eastAsia" w:ascii="宋体" w:hAnsi="宋体" w:cs="宋体"/>
                <w:color w:val="auto"/>
                <w:kern w:val="0"/>
                <w:sz w:val="21"/>
                <w:szCs w:val="21"/>
                <w:lang w:bidi="ar"/>
              </w:rPr>
              <w:t>86</w:t>
            </w:r>
          </w:p>
        </w:tc>
        <w:tc>
          <w:tcPr>
            <w:tcW w:w="73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9ECDA3">
            <w:pPr>
              <w:keepNext w:val="0"/>
              <w:keepLines w:val="0"/>
              <w:pageBreakBefore w:val="0"/>
              <w:widowControl/>
              <w:kinsoku/>
              <w:wordWrap/>
              <w:topLinePunct w:val="0"/>
              <w:bidi w:val="0"/>
              <w:snapToGrid/>
              <w:spacing w:line="460" w:lineRule="exact"/>
              <w:jc w:val="center"/>
              <w:textAlignment w:val="center"/>
              <w:rPr>
                <w:rFonts w:ascii="宋体" w:hAnsi="宋体" w:cs="宋体"/>
                <w:color w:val="auto"/>
                <w:sz w:val="21"/>
                <w:szCs w:val="21"/>
              </w:rPr>
            </w:pPr>
            <w:r>
              <w:rPr>
                <w:rFonts w:hint="eastAsia" w:ascii="宋体" w:hAnsi="宋体" w:cs="宋体"/>
                <w:color w:val="auto"/>
                <w:kern w:val="0"/>
                <w:sz w:val="21"/>
                <w:szCs w:val="21"/>
                <w:lang w:bidi="ar"/>
              </w:rPr>
              <w:t>14</w:t>
            </w:r>
          </w:p>
        </w:tc>
        <w:tc>
          <w:tcPr>
            <w:tcW w:w="112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07C89E">
            <w:pPr>
              <w:keepNext w:val="0"/>
              <w:keepLines w:val="0"/>
              <w:pageBreakBefore w:val="0"/>
              <w:widowControl/>
              <w:kinsoku/>
              <w:wordWrap/>
              <w:topLinePunct w:val="0"/>
              <w:bidi w:val="0"/>
              <w:snapToGrid/>
              <w:spacing w:line="460" w:lineRule="exact"/>
              <w:jc w:val="center"/>
              <w:textAlignment w:val="center"/>
              <w:rPr>
                <w:rFonts w:ascii="宋体" w:hAnsi="宋体" w:cs="宋体"/>
                <w:color w:val="auto"/>
                <w:sz w:val="21"/>
                <w:szCs w:val="21"/>
              </w:rPr>
            </w:pPr>
          </w:p>
        </w:tc>
      </w:tr>
      <w:tr w14:paraId="10DB4D0E">
        <w:tblPrEx>
          <w:tblCellMar>
            <w:top w:w="0" w:type="dxa"/>
            <w:left w:w="108" w:type="dxa"/>
            <w:bottom w:w="0" w:type="dxa"/>
            <w:right w:w="108" w:type="dxa"/>
          </w:tblCellMar>
        </w:tblPrEx>
        <w:trPr>
          <w:trHeight w:val="567" w:hRule="atLeast"/>
        </w:trPr>
        <w:tc>
          <w:tcPr>
            <w:tcW w:w="2405"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D8C5EE">
            <w:pPr>
              <w:keepNext w:val="0"/>
              <w:keepLines w:val="0"/>
              <w:pageBreakBefore w:val="0"/>
              <w:widowControl/>
              <w:kinsoku/>
              <w:wordWrap/>
              <w:topLinePunct w:val="0"/>
              <w:bidi w:val="0"/>
              <w:snapToGrid/>
              <w:spacing w:line="460" w:lineRule="exact"/>
              <w:jc w:val="center"/>
              <w:textAlignment w:val="center"/>
              <w:rPr>
                <w:rFonts w:hint="eastAsia" w:ascii="宋体" w:hAnsi="宋体" w:cs="宋体"/>
                <w:color w:val="auto"/>
                <w:kern w:val="0"/>
                <w:sz w:val="21"/>
                <w:szCs w:val="21"/>
                <w:lang w:bidi="ar"/>
              </w:rPr>
            </w:pPr>
            <w:r>
              <w:rPr>
                <w:rFonts w:hint="eastAsia" w:ascii="宋体" w:hAnsi="宋体" w:cs="宋体"/>
                <w:b/>
                <w:bCs/>
                <w:color w:val="auto"/>
                <w:kern w:val="0"/>
                <w:sz w:val="21"/>
                <w:szCs w:val="21"/>
                <w:lang w:bidi="ar"/>
              </w:rPr>
              <w:t>小计</w:t>
            </w:r>
          </w:p>
        </w:tc>
        <w:tc>
          <w:tcPr>
            <w:tcW w:w="7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ABE83A">
            <w:pPr>
              <w:keepNext w:val="0"/>
              <w:keepLines w:val="0"/>
              <w:pageBreakBefore w:val="0"/>
              <w:widowControl/>
              <w:kinsoku/>
              <w:wordWrap/>
              <w:topLinePunct w:val="0"/>
              <w:bidi w:val="0"/>
              <w:snapToGrid/>
              <w:spacing w:line="460" w:lineRule="exact"/>
              <w:jc w:val="center"/>
              <w:textAlignment w:val="center"/>
              <w:rPr>
                <w:rFonts w:hint="default" w:ascii="宋体" w:hAnsi="宋体" w:cs="宋体"/>
                <w:color w:val="auto"/>
                <w:kern w:val="0"/>
                <w:sz w:val="21"/>
                <w:szCs w:val="21"/>
                <w:lang w:val="en-US" w:bidi="ar"/>
              </w:rPr>
            </w:pPr>
            <w:r>
              <w:rPr>
                <w:rFonts w:hint="eastAsia" w:ascii="宋体" w:hAnsi="宋体" w:cs="宋体"/>
                <w:color w:val="auto"/>
                <w:kern w:val="0"/>
                <w:sz w:val="21"/>
                <w:szCs w:val="21"/>
                <w:lang w:val="en-US" w:eastAsia="zh-CN" w:bidi="ar"/>
              </w:rPr>
              <w:t>160</w:t>
            </w:r>
          </w:p>
        </w:tc>
        <w:tc>
          <w:tcPr>
            <w:tcW w:w="73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B545CC">
            <w:pPr>
              <w:keepNext w:val="0"/>
              <w:keepLines w:val="0"/>
              <w:pageBreakBefore w:val="0"/>
              <w:widowControl/>
              <w:kinsoku/>
              <w:wordWrap/>
              <w:topLinePunct w:val="0"/>
              <w:bidi w:val="0"/>
              <w:snapToGrid/>
              <w:spacing w:line="460" w:lineRule="exact"/>
              <w:jc w:val="center"/>
              <w:textAlignment w:val="center"/>
              <w:rPr>
                <w:rFonts w:hint="eastAsia" w:ascii="宋体" w:hAnsi="宋体" w:cs="宋体"/>
                <w:color w:val="auto"/>
                <w:kern w:val="0"/>
                <w:sz w:val="21"/>
                <w:szCs w:val="21"/>
                <w:lang w:bidi="ar"/>
              </w:rPr>
            </w:pPr>
            <w:r>
              <w:rPr>
                <w:rFonts w:hint="eastAsia" w:ascii="宋体" w:hAnsi="宋体" w:cs="宋体"/>
                <w:color w:val="auto"/>
                <w:kern w:val="0"/>
                <w:sz w:val="21"/>
                <w:szCs w:val="21"/>
                <w:lang w:bidi="ar"/>
              </w:rPr>
              <w:t>366</w:t>
            </w:r>
          </w:p>
        </w:tc>
        <w:tc>
          <w:tcPr>
            <w:tcW w:w="112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89078C">
            <w:pPr>
              <w:keepNext w:val="0"/>
              <w:keepLines w:val="0"/>
              <w:pageBreakBefore w:val="0"/>
              <w:widowControl/>
              <w:kinsoku/>
              <w:wordWrap/>
              <w:topLinePunct w:val="0"/>
              <w:bidi w:val="0"/>
              <w:snapToGrid/>
              <w:spacing w:line="460" w:lineRule="exact"/>
              <w:jc w:val="center"/>
              <w:textAlignment w:val="center"/>
              <w:rPr>
                <w:rFonts w:hint="default" w:ascii="宋体" w:hAnsi="宋体" w:cs="宋体"/>
                <w:color w:val="auto"/>
                <w:sz w:val="21"/>
                <w:szCs w:val="21"/>
                <w:lang w:val="en-US"/>
              </w:rPr>
            </w:pPr>
            <w:r>
              <w:rPr>
                <w:rFonts w:hint="eastAsia" w:ascii="宋体" w:hAnsi="宋体" w:cs="宋体"/>
                <w:color w:val="auto"/>
                <w:sz w:val="21"/>
                <w:szCs w:val="21"/>
                <w:lang w:val="en-US" w:eastAsia="zh-CN"/>
              </w:rPr>
              <w:t>526</w:t>
            </w:r>
          </w:p>
        </w:tc>
      </w:tr>
      <w:tr w14:paraId="559EB16B">
        <w:tblPrEx>
          <w:tblCellMar>
            <w:top w:w="0" w:type="dxa"/>
            <w:left w:w="108" w:type="dxa"/>
            <w:bottom w:w="0" w:type="dxa"/>
            <w:right w:w="108" w:type="dxa"/>
          </w:tblCellMar>
        </w:tblPrEx>
        <w:trPr>
          <w:trHeight w:val="567"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DE1105">
            <w:pPr>
              <w:keepNext w:val="0"/>
              <w:keepLines w:val="0"/>
              <w:pageBreakBefore w:val="0"/>
              <w:widowControl/>
              <w:kinsoku/>
              <w:wordWrap/>
              <w:topLinePunct w:val="0"/>
              <w:bidi w:val="0"/>
              <w:snapToGrid/>
              <w:spacing w:line="460" w:lineRule="exact"/>
              <w:jc w:val="left"/>
              <w:textAlignment w:val="center"/>
              <w:rPr>
                <w:rFonts w:hint="default" w:ascii="宋体" w:hAnsi="宋体" w:cs="宋体"/>
                <w:color w:val="auto"/>
                <w:sz w:val="21"/>
                <w:szCs w:val="21"/>
                <w:lang w:val="en-US" w:eastAsia="zh-CN"/>
              </w:rPr>
            </w:pPr>
            <w:r>
              <w:rPr>
                <w:rFonts w:hint="eastAsia" w:ascii="宋体" w:hAnsi="宋体" w:cs="宋体"/>
                <w:b/>
                <w:bCs/>
                <w:color w:val="auto"/>
                <w:kern w:val="0"/>
                <w:sz w:val="21"/>
                <w:szCs w:val="21"/>
                <w:lang w:val="en-US" w:eastAsia="zh-CN" w:bidi="ar"/>
              </w:rPr>
              <w:t>三、停车场停车泊位-纳入平台统一管理</w:t>
            </w:r>
          </w:p>
        </w:tc>
      </w:tr>
      <w:tr w14:paraId="5F7B3B8F">
        <w:tblPrEx>
          <w:tblCellMar>
            <w:top w:w="0" w:type="dxa"/>
            <w:left w:w="108" w:type="dxa"/>
            <w:bottom w:w="0" w:type="dxa"/>
            <w:right w:w="108" w:type="dxa"/>
          </w:tblCellMar>
        </w:tblPrEx>
        <w:trPr>
          <w:trHeight w:val="567" w:hRule="atLeast"/>
        </w:trPr>
        <w:tc>
          <w:tcPr>
            <w:tcW w:w="37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0E1C88">
            <w:pPr>
              <w:keepNext w:val="0"/>
              <w:keepLines w:val="0"/>
              <w:pageBreakBefore w:val="0"/>
              <w:widowControl/>
              <w:kinsoku/>
              <w:wordWrap/>
              <w:topLinePunct w:val="0"/>
              <w:bidi w:val="0"/>
              <w:snapToGrid/>
              <w:spacing w:line="460" w:lineRule="exact"/>
              <w:jc w:val="center"/>
              <w:textAlignment w:val="center"/>
              <w:rPr>
                <w:rFonts w:hint="default" w:ascii="宋体" w:hAnsi="宋体" w:eastAsia="宋体" w:cs="宋体"/>
                <w:b/>
                <w:bCs/>
                <w:color w:val="auto"/>
                <w:kern w:val="0"/>
                <w:sz w:val="21"/>
                <w:szCs w:val="21"/>
                <w:lang w:val="en-US" w:eastAsia="zh-CN" w:bidi="ar"/>
              </w:rPr>
            </w:pPr>
            <w:r>
              <w:rPr>
                <w:rFonts w:hint="eastAsia" w:ascii="宋体" w:hAnsi="宋体" w:cs="宋体"/>
                <w:b/>
                <w:bCs/>
                <w:color w:val="auto"/>
                <w:kern w:val="0"/>
                <w:sz w:val="21"/>
                <w:szCs w:val="21"/>
                <w:lang w:val="en-US" w:eastAsia="zh-CN" w:bidi="ar"/>
              </w:rPr>
              <w:t>21</w:t>
            </w:r>
          </w:p>
        </w:tc>
        <w:tc>
          <w:tcPr>
            <w:tcW w:w="20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510F34">
            <w:pPr>
              <w:keepNext w:val="0"/>
              <w:keepLines w:val="0"/>
              <w:pageBreakBefore w:val="0"/>
              <w:widowControl/>
              <w:kinsoku/>
              <w:wordWrap/>
              <w:topLinePunct w:val="0"/>
              <w:bidi w:val="0"/>
              <w:snapToGrid/>
              <w:spacing w:line="460" w:lineRule="exact"/>
              <w:jc w:val="center"/>
              <w:textAlignment w:val="center"/>
              <w:rPr>
                <w:rFonts w:hint="eastAsia" w:ascii="宋体" w:hAnsi="宋体" w:eastAsia="宋体" w:cs="宋体"/>
                <w:color w:val="auto"/>
                <w:kern w:val="0"/>
                <w:sz w:val="21"/>
                <w:szCs w:val="21"/>
                <w:lang w:val="en-US" w:eastAsia="zh-CN" w:bidi="ar"/>
              </w:rPr>
            </w:pPr>
            <w:r>
              <w:rPr>
                <w:rFonts w:hint="eastAsia" w:ascii="宋体" w:hAnsi="宋体" w:cs="宋体"/>
                <w:color w:val="auto"/>
                <w:kern w:val="0"/>
                <w:sz w:val="21"/>
                <w:szCs w:val="21"/>
                <w:lang w:bidi="ar"/>
              </w:rPr>
              <w:t>大角湾地下停车场</w:t>
            </w:r>
          </w:p>
        </w:tc>
        <w:tc>
          <w:tcPr>
            <w:tcW w:w="7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BB61AF">
            <w:pPr>
              <w:keepNext w:val="0"/>
              <w:keepLines w:val="0"/>
              <w:pageBreakBefore w:val="0"/>
              <w:widowControl/>
              <w:kinsoku/>
              <w:wordWrap/>
              <w:topLinePunct w:val="0"/>
              <w:bidi w:val="0"/>
              <w:snapToGrid/>
              <w:spacing w:line="460" w:lineRule="exact"/>
              <w:jc w:val="center"/>
              <w:textAlignment w:val="center"/>
              <w:rPr>
                <w:rFonts w:hint="eastAsia" w:ascii="宋体" w:hAnsi="宋体" w:eastAsia="宋体" w:cs="宋体"/>
                <w:color w:val="auto"/>
                <w:kern w:val="0"/>
                <w:sz w:val="21"/>
                <w:szCs w:val="21"/>
                <w:lang w:val="en-US" w:eastAsia="zh-CN" w:bidi="ar"/>
              </w:rPr>
            </w:pPr>
            <w:r>
              <w:rPr>
                <w:rFonts w:hint="eastAsia" w:ascii="宋体" w:hAnsi="宋体" w:cs="宋体"/>
                <w:color w:val="auto"/>
                <w:kern w:val="0"/>
                <w:sz w:val="21"/>
                <w:szCs w:val="21"/>
                <w:lang w:val="en-US" w:eastAsia="zh-CN" w:bidi="ar"/>
              </w:rPr>
              <w:t>268</w:t>
            </w:r>
          </w:p>
        </w:tc>
        <w:tc>
          <w:tcPr>
            <w:tcW w:w="73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1AC321">
            <w:pPr>
              <w:keepNext w:val="0"/>
              <w:keepLines w:val="0"/>
              <w:pageBreakBefore w:val="0"/>
              <w:widowControl/>
              <w:kinsoku/>
              <w:wordWrap/>
              <w:topLinePunct w:val="0"/>
              <w:bidi w:val="0"/>
              <w:snapToGrid/>
              <w:spacing w:line="460" w:lineRule="exact"/>
              <w:jc w:val="center"/>
              <w:textAlignment w:val="center"/>
              <w:rPr>
                <w:rFonts w:hint="eastAsia" w:ascii="宋体" w:hAnsi="宋体" w:eastAsia="宋体" w:cs="宋体"/>
                <w:color w:val="auto"/>
                <w:kern w:val="0"/>
                <w:sz w:val="21"/>
                <w:szCs w:val="21"/>
                <w:lang w:val="en-US" w:eastAsia="zh-CN" w:bidi="ar"/>
              </w:rPr>
            </w:pPr>
            <w:r>
              <w:rPr>
                <w:rFonts w:hint="eastAsia" w:ascii="宋体" w:hAnsi="宋体" w:cs="宋体"/>
                <w:color w:val="auto"/>
                <w:kern w:val="0"/>
                <w:sz w:val="21"/>
                <w:szCs w:val="21"/>
                <w:lang w:val="en-US" w:eastAsia="zh-CN" w:bidi="ar"/>
              </w:rPr>
              <w:t>0</w:t>
            </w:r>
          </w:p>
        </w:tc>
        <w:tc>
          <w:tcPr>
            <w:tcW w:w="112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329F7B">
            <w:pPr>
              <w:keepNext w:val="0"/>
              <w:keepLines w:val="0"/>
              <w:pageBreakBefore w:val="0"/>
              <w:widowControl/>
              <w:kinsoku/>
              <w:wordWrap/>
              <w:topLinePunct w:val="0"/>
              <w:bidi w:val="0"/>
              <w:snapToGrid/>
              <w:spacing w:line="460" w:lineRule="exact"/>
              <w:jc w:val="center"/>
              <w:textAlignment w:val="center"/>
              <w:rPr>
                <w:rFonts w:hint="default" w:ascii="宋体" w:hAnsi="宋体" w:eastAsia="宋体" w:cs="宋体"/>
                <w:color w:val="auto"/>
                <w:kern w:val="2"/>
                <w:sz w:val="21"/>
                <w:szCs w:val="21"/>
                <w:lang w:val="en-US" w:eastAsia="zh-CN" w:bidi="ar-SA"/>
              </w:rPr>
            </w:pPr>
            <w:r>
              <w:rPr>
                <w:rFonts w:hint="eastAsia" w:ascii="宋体" w:hAnsi="宋体" w:cs="宋体"/>
                <w:color w:val="auto"/>
                <w:sz w:val="21"/>
                <w:szCs w:val="21"/>
                <w:lang w:val="en-US" w:eastAsia="zh-CN"/>
              </w:rPr>
              <w:t>纳入平台统一管理</w:t>
            </w:r>
          </w:p>
        </w:tc>
      </w:tr>
      <w:tr w14:paraId="1637AB93">
        <w:tblPrEx>
          <w:tblCellMar>
            <w:top w:w="0" w:type="dxa"/>
            <w:left w:w="108" w:type="dxa"/>
            <w:bottom w:w="0" w:type="dxa"/>
            <w:right w:w="108" w:type="dxa"/>
          </w:tblCellMar>
        </w:tblPrEx>
        <w:trPr>
          <w:trHeight w:val="567" w:hRule="atLeast"/>
        </w:trPr>
        <w:tc>
          <w:tcPr>
            <w:tcW w:w="2405"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61B493">
            <w:pPr>
              <w:keepNext w:val="0"/>
              <w:keepLines w:val="0"/>
              <w:pageBreakBefore w:val="0"/>
              <w:widowControl/>
              <w:kinsoku/>
              <w:wordWrap/>
              <w:topLinePunct w:val="0"/>
              <w:bidi w:val="0"/>
              <w:snapToGrid/>
              <w:spacing w:line="460" w:lineRule="exact"/>
              <w:jc w:val="center"/>
              <w:textAlignment w:val="center"/>
              <w:rPr>
                <w:rFonts w:ascii="宋体" w:hAnsi="宋体" w:cs="宋体"/>
                <w:b/>
                <w:bCs/>
                <w:color w:val="auto"/>
                <w:sz w:val="21"/>
                <w:szCs w:val="21"/>
              </w:rPr>
            </w:pPr>
            <w:r>
              <w:rPr>
                <w:rFonts w:hint="eastAsia" w:ascii="宋体" w:hAnsi="宋体" w:cs="宋体"/>
                <w:b/>
                <w:bCs/>
                <w:color w:val="auto"/>
                <w:kern w:val="0"/>
                <w:sz w:val="21"/>
                <w:szCs w:val="21"/>
                <w:lang w:bidi="ar"/>
              </w:rPr>
              <w:t>合计</w:t>
            </w:r>
          </w:p>
        </w:tc>
        <w:tc>
          <w:tcPr>
            <w:tcW w:w="7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469B9B">
            <w:pPr>
              <w:keepNext w:val="0"/>
              <w:keepLines w:val="0"/>
              <w:pageBreakBefore w:val="0"/>
              <w:widowControl/>
              <w:kinsoku/>
              <w:wordWrap/>
              <w:topLinePunct w:val="0"/>
              <w:bidi w:val="0"/>
              <w:snapToGrid/>
              <w:spacing w:line="460" w:lineRule="exact"/>
              <w:jc w:val="center"/>
              <w:textAlignment w:val="center"/>
              <w:rPr>
                <w:rFonts w:ascii="宋体" w:hAnsi="宋体" w:cs="宋体"/>
                <w:b/>
                <w:bCs/>
                <w:color w:val="auto"/>
                <w:sz w:val="21"/>
                <w:szCs w:val="21"/>
              </w:rPr>
            </w:pPr>
            <w:r>
              <w:rPr>
                <w:rFonts w:hint="eastAsia" w:ascii="宋体" w:hAnsi="宋体" w:cs="宋体"/>
                <w:b/>
                <w:bCs/>
                <w:color w:val="auto"/>
                <w:kern w:val="0"/>
                <w:sz w:val="21"/>
                <w:szCs w:val="21"/>
                <w:lang w:bidi="ar"/>
              </w:rPr>
              <w:t>1093</w:t>
            </w:r>
          </w:p>
        </w:tc>
        <w:tc>
          <w:tcPr>
            <w:tcW w:w="73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901E02">
            <w:pPr>
              <w:keepNext w:val="0"/>
              <w:keepLines w:val="0"/>
              <w:pageBreakBefore w:val="0"/>
              <w:widowControl/>
              <w:kinsoku/>
              <w:wordWrap/>
              <w:topLinePunct w:val="0"/>
              <w:bidi w:val="0"/>
              <w:snapToGrid/>
              <w:spacing w:line="460" w:lineRule="exact"/>
              <w:jc w:val="center"/>
              <w:textAlignment w:val="center"/>
              <w:rPr>
                <w:rFonts w:ascii="宋体" w:hAnsi="宋体" w:cs="宋体"/>
                <w:b/>
                <w:bCs/>
                <w:color w:val="auto"/>
                <w:sz w:val="21"/>
                <w:szCs w:val="21"/>
              </w:rPr>
            </w:pPr>
            <w:r>
              <w:rPr>
                <w:rFonts w:hint="eastAsia" w:ascii="宋体" w:hAnsi="宋体" w:cs="宋体"/>
                <w:b/>
                <w:bCs/>
                <w:color w:val="auto"/>
                <w:kern w:val="0"/>
                <w:sz w:val="21"/>
                <w:szCs w:val="21"/>
                <w:lang w:bidi="ar"/>
              </w:rPr>
              <w:t>1169</w:t>
            </w:r>
          </w:p>
        </w:tc>
        <w:tc>
          <w:tcPr>
            <w:tcW w:w="112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BAF669">
            <w:pPr>
              <w:keepNext w:val="0"/>
              <w:keepLines w:val="0"/>
              <w:pageBreakBefore w:val="0"/>
              <w:widowControl/>
              <w:kinsoku/>
              <w:wordWrap/>
              <w:topLinePunct w:val="0"/>
              <w:bidi w:val="0"/>
              <w:snapToGrid/>
              <w:spacing w:line="460" w:lineRule="exact"/>
              <w:jc w:val="center"/>
              <w:rPr>
                <w:rFonts w:ascii="宋体" w:hAnsi="宋体" w:cs="宋体"/>
                <w:b/>
                <w:bCs/>
                <w:color w:val="auto"/>
                <w:sz w:val="21"/>
                <w:szCs w:val="21"/>
              </w:rPr>
            </w:pPr>
            <w:r>
              <w:rPr>
                <w:rFonts w:hint="eastAsia" w:ascii="宋体" w:hAnsi="宋体" w:cs="宋体"/>
                <w:b/>
                <w:bCs/>
                <w:color w:val="auto"/>
                <w:sz w:val="21"/>
                <w:szCs w:val="21"/>
                <w:lang w:val="en-US" w:eastAsia="zh-CN"/>
              </w:rPr>
              <w:t>2530</w:t>
            </w:r>
          </w:p>
        </w:tc>
      </w:tr>
    </w:tbl>
    <w:p w14:paraId="4DB95E20">
      <w:pPr>
        <w:keepNext w:val="0"/>
        <w:keepLines w:val="0"/>
        <w:pageBreakBefore w:val="0"/>
        <w:kinsoku/>
        <w:wordWrap/>
        <w:topLinePunct w:val="0"/>
        <w:bidi w:val="0"/>
        <w:snapToGrid/>
        <w:spacing w:line="460" w:lineRule="exact"/>
        <w:ind w:firstLine="480"/>
        <w:jc w:val="center"/>
        <w:rPr>
          <w:color w:val="auto"/>
        </w:rPr>
      </w:pPr>
      <w:r>
        <w:rPr>
          <w:rFonts w:hint="eastAsia" w:ascii="宋体" w:hAnsi="宋体" w:eastAsia="宋体" w:cs="宋体"/>
          <w:color w:val="auto"/>
          <w:sz w:val="21"/>
          <w:szCs w:val="21"/>
          <w:lang w:val="en-US" w:eastAsia="zh-CN"/>
        </w:rPr>
        <w:t>表2：</w:t>
      </w:r>
      <w:r>
        <w:rPr>
          <w:rFonts w:hint="eastAsia"/>
          <w:color w:val="auto"/>
        </w:rPr>
        <w:t>一中心四平台，具体如下：</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9"/>
        <w:gridCol w:w="1575"/>
        <w:gridCol w:w="5822"/>
      </w:tblGrid>
      <w:tr w14:paraId="43000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trPr>
        <w:tc>
          <w:tcPr>
            <w:tcW w:w="899" w:type="dxa"/>
            <w:shd w:val="clear" w:color="auto" w:fill="D9E2F3" w:themeFill="accent5" w:themeFillTint="33"/>
            <w:noWrap/>
            <w:vAlign w:val="center"/>
          </w:tcPr>
          <w:p w14:paraId="0A1B2F8B">
            <w:pPr>
              <w:keepNext w:val="0"/>
              <w:keepLines w:val="0"/>
              <w:pageBreakBefore w:val="0"/>
              <w:kinsoku/>
              <w:wordWrap/>
              <w:topLinePunct w:val="0"/>
              <w:bidi w:val="0"/>
              <w:snapToGrid/>
              <w:spacing w:line="460" w:lineRule="exact"/>
              <w:jc w:val="center"/>
              <w:rPr>
                <w:b/>
                <w:bCs/>
                <w:color w:val="auto"/>
              </w:rPr>
            </w:pPr>
            <w:r>
              <w:rPr>
                <w:rFonts w:hint="eastAsia"/>
                <w:b/>
                <w:bCs/>
                <w:color w:val="auto"/>
              </w:rPr>
              <w:t>分类</w:t>
            </w:r>
          </w:p>
        </w:tc>
        <w:tc>
          <w:tcPr>
            <w:tcW w:w="1575" w:type="dxa"/>
            <w:shd w:val="clear" w:color="auto" w:fill="D9E2F3" w:themeFill="accent5" w:themeFillTint="33"/>
            <w:noWrap/>
            <w:vAlign w:val="center"/>
          </w:tcPr>
          <w:p w14:paraId="01BF4D1D">
            <w:pPr>
              <w:keepNext w:val="0"/>
              <w:keepLines w:val="0"/>
              <w:pageBreakBefore w:val="0"/>
              <w:kinsoku/>
              <w:wordWrap/>
              <w:topLinePunct w:val="0"/>
              <w:bidi w:val="0"/>
              <w:snapToGrid/>
              <w:spacing w:line="460" w:lineRule="exact"/>
              <w:jc w:val="center"/>
              <w:rPr>
                <w:b/>
                <w:bCs/>
                <w:color w:val="auto"/>
              </w:rPr>
            </w:pPr>
            <w:r>
              <w:rPr>
                <w:rFonts w:hint="eastAsia"/>
                <w:b/>
                <w:bCs/>
                <w:color w:val="auto"/>
              </w:rPr>
              <w:t>建设内容</w:t>
            </w:r>
          </w:p>
        </w:tc>
        <w:tc>
          <w:tcPr>
            <w:tcW w:w="5822" w:type="dxa"/>
            <w:shd w:val="clear" w:color="auto" w:fill="D9E2F3" w:themeFill="accent5" w:themeFillTint="33"/>
            <w:vAlign w:val="center"/>
          </w:tcPr>
          <w:p w14:paraId="466904DD">
            <w:pPr>
              <w:keepNext w:val="0"/>
              <w:keepLines w:val="0"/>
              <w:pageBreakBefore w:val="0"/>
              <w:kinsoku/>
              <w:wordWrap/>
              <w:topLinePunct w:val="0"/>
              <w:bidi w:val="0"/>
              <w:snapToGrid/>
              <w:spacing w:line="460" w:lineRule="exact"/>
              <w:jc w:val="center"/>
              <w:rPr>
                <w:b/>
                <w:bCs/>
                <w:color w:val="auto"/>
              </w:rPr>
            </w:pPr>
            <w:r>
              <w:rPr>
                <w:rFonts w:hint="eastAsia"/>
                <w:b/>
                <w:bCs/>
                <w:color w:val="auto"/>
              </w:rPr>
              <w:t>功能说明</w:t>
            </w:r>
          </w:p>
        </w:tc>
      </w:tr>
      <w:tr w14:paraId="47067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trPr>
        <w:tc>
          <w:tcPr>
            <w:tcW w:w="899" w:type="dxa"/>
            <w:noWrap/>
            <w:vAlign w:val="center"/>
          </w:tcPr>
          <w:p w14:paraId="1368CEA1">
            <w:pPr>
              <w:keepNext w:val="0"/>
              <w:keepLines w:val="0"/>
              <w:pageBreakBefore w:val="0"/>
              <w:kinsoku/>
              <w:wordWrap/>
              <w:topLinePunct w:val="0"/>
              <w:bidi w:val="0"/>
              <w:snapToGrid/>
              <w:spacing w:line="460" w:lineRule="exact"/>
              <w:jc w:val="center"/>
              <w:rPr>
                <w:color w:val="auto"/>
              </w:rPr>
            </w:pPr>
            <w:r>
              <w:rPr>
                <w:rFonts w:hint="eastAsia"/>
                <w:color w:val="auto"/>
              </w:rPr>
              <w:t>一中心</w:t>
            </w:r>
          </w:p>
        </w:tc>
        <w:tc>
          <w:tcPr>
            <w:tcW w:w="1575" w:type="dxa"/>
            <w:noWrap/>
            <w:vAlign w:val="center"/>
          </w:tcPr>
          <w:p w14:paraId="5E54EF8F">
            <w:pPr>
              <w:keepNext w:val="0"/>
              <w:keepLines w:val="0"/>
              <w:pageBreakBefore w:val="0"/>
              <w:kinsoku/>
              <w:wordWrap/>
              <w:topLinePunct w:val="0"/>
              <w:bidi w:val="0"/>
              <w:snapToGrid/>
              <w:spacing w:line="460" w:lineRule="exact"/>
              <w:jc w:val="center"/>
              <w:rPr>
                <w:color w:val="auto"/>
              </w:rPr>
            </w:pPr>
            <w:r>
              <w:rPr>
                <w:rFonts w:hint="eastAsia"/>
                <w:color w:val="auto"/>
              </w:rPr>
              <w:t>智慧停车监控中心</w:t>
            </w:r>
          </w:p>
        </w:tc>
        <w:tc>
          <w:tcPr>
            <w:tcW w:w="5822" w:type="dxa"/>
            <w:vAlign w:val="center"/>
          </w:tcPr>
          <w:p w14:paraId="26427352">
            <w:pPr>
              <w:keepNext w:val="0"/>
              <w:keepLines w:val="0"/>
              <w:pageBreakBefore w:val="0"/>
              <w:kinsoku/>
              <w:wordWrap/>
              <w:topLinePunct w:val="0"/>
              <w:bidi w:val="0"/>
              <w:snapToGrid/>
              <w:spacing w:line="460" w:lineRule="exact"/>
              <w:rPr>
                <w:color w:val="auto"/>
              </w:rPr>
            </w:pPr>
            <w:r>
              <w:rPr>
                <w:rFonts w:hint="eastAsia"/>
                <w:color w:val="auto"/>
              </w:rPr>
              <w:t>将数据和功能聚合后可实现在一个大屏下统一监控所有停车资源，如停车视频工作应用展示、停车业务数据应用展示、停车数据分析结果展示、运营监测数据展示、停车热力地图展示、停车异常行为展示等。</w:t>
            </w:r>
          </w:p>
        </w:tc>
      </w:tr>
      <w:tr w14:paraId="4A3C8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trPr>
        <w:tc>
          <w:tcPr>
            <w:tcW w:w="899" w:type="dxa"/>
            <w:vMerge w:val="restart"/>
            <w:noWrap/>
            <w:vAlign w:val="center"/>
          </w:tcPr>
          <w:p w14:paraId="663F045A">
            <w:pPr>
              <w:keepNext w:val="0"/>
              <w:keepLines w:val="0"/>
              <w:pageBreakBefore w:val="0"/>
              <w:kinsoku/>
              <w:wordWrap/>
              <w:topLinePunct w:val="0"/>
              <w:bidi w:val="0"/>
              <w:snapToGrid/>
              <w:spacing w:line="460" w:lineRule="exact"/>
              <w:jc w:val="center"/>
              <w:rPr>
                <w:color w:val="auto"/>
              </w:rPr>
            </w:pPr>
            <w:r>
              <w:rPr>
                <w:rFonts w:hint="eastAsia"/>
                <w:color w:val="auto"/>
              </w:rPr>
              <w:t>四平台</w:t>
            </w:r>
          </w:p>
        </w:tc>
        <w:tc>
          <w:tcPr>
            <w:tcW w:w="1575" w:type="dxa"/>
            <w:noWrap/>
            <w:vAlign w:val="center"/>
          </w:tcPr>
          <w:p w14:paraId="52B51630">
            <w:pPr>
              <w:keepNext w:val="0"/>
              <w:keepLines w:val="0"/>
              <w:pageBreakBefore w:val="0"/>
              <w:kinsoku/>
              <w:wordWrap/>
              <w:topLinePunct w:val="0"/>
              <w:bidi w:val="0"/>
              <w:snapToGrid/>
              <w:spacing w:line="460" w:lineRule="exact"/>
              <w:jc w:val="center"/>
              <w:rPr>
                <w:color w:val="auto"/>
              </w:rPr>
            </w:pPr>
            <w:r>
              <w:rPr>
                <w:rFonts w:hint="eastAsia"/>
                <w:color w:val="auto"/>
              </w:rPr>
              <w:t>智慧路内停车平台</w:t>
            </w:r>
          </w:p>
        </w:tc>
        <w:tc>
          <w:tcPr>
            <w:tcW w:w="5822" w:type="dxa"/>
            <w:vAlign w:val="center"/>
          </w:tcPr>
          <w:p w14:paraId="7F58A965">
            <w:pPr>
              <w:keepNext w:val="0"/>
              <w:keepLines w:val="0"/>
              <w:pageBreakBefore w:val="0"/>
              <w:kinsoku/>
              <w:wordWrap/>
              <w:topLinePunct w:val="0"/>
              <w:bidi w:val="0"/>
              <w:snapToGrid/>
              <w:spacing w:line="460" w:lineRule="exact"/>
              <w:rPr>
                <w:color w:val="auto"/>
              </w:rPr>
            </w:pPr>
            <w:r>
              <w:rPr>
                <w:rFonts w:hint="eastAsia"/>
                <w:color w:val="auto"/>
              </w:rPr>
              <w:t>实现路内停车管理及运营，如停车实时地图、停车订单、交易记录、用户管理、路段管理、费率管理、黑白名单、系统管理、统计分析、巡检管理、用户投诉工单、停车生态管理系统、巡检管理等。</w:t>
            </w:r>
          </w:p>
        </w:tc>
      </w:tr>
      <w:tr w14:paraId="4FF38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trPr>
        <w:tc>
          <w:tcPr>
            <w:tcW w:w="899" w:type="dxa"/>
            <w:vMerge w:val="continue"/>
            <w:noWrap/>
            <w:vAlign w:val="center"/>
          </w:tcPr>
          <w:p w14:paraId="738BBD24">
            <w:pPr>
              <w:keepNext w:val="0"/>
              <w:keepLines w:val="0"/>
              <w:pageBreakBefore w:val="0"/>
              <w:kinsoku/>
              <w:wordWrap/>
              <w:topLinePunct w:val="0"/>
              <w:bidi w:val="0"/>
              <w:snapToGrid/>
              <w:spacing w:line="460" w:lineRule="exact"/>
              <w:jc w:val="center"/>
              <w:rPr>
                <w:color w:val="auto"/>
              </w:rPr>
            </w:pPr>
          </w:p>
        </w:tc>
        <w:tc>
          <w:tcPr>
            <w:tcW w:w="1575" w:type="dxa"/>
            <w:noWrap/>
            <w:vAlign w:val="center"/>
          </w:tcPr>
          <w:p w14:paraId="5C180762">
            <w:pPr>
              <w:keepNext w:val="0"/>
              <w:keepLines w:val="0"/>
              <w:pageBreakBefore w:val="0"/>
              <w:kinsoku/>
              <w:wordWrap/>
              <w:topLinePunct w:val="0"/>
              <w:bidi w:val="0"/>
              <w:snapToGrid/>
              <w:spacing w:line="460" w:lineRule="exact"/>
              <w:jc w:val="center"/>
              <w:rPr>
                <w:color w:val="auto"/>
              </w:rPr>
            </w:pPr>
            <w:r>
              <w:rPr>
                <w:rFonts w:hint="eastAsia"/>
                <w:color w:val="auto"/>
              </w:rPr>
              <w:t>停车场管理平台</w:t>
            </w:r>
          </w:p>
        </w:tc>
        <w:tc>
          <w:tcPr>
            <w:tcW w:w="5822" w:type="dxa"/>
            <w:vAlign w:val="center"/>
          </w:tcPr>
          <w:p w14:paraId="1E14645D">
            <w:pPr>
              <w:keepNext w:val="0"/>
              <w:keepLines w:val="0"/>
              <w:pageBreakBefore w:val="0"/>
              <w:kinsoku/>
              <w:wordWrap/>
              <w:topLinePunct w:val="0"/>
              <w:bidi w:val="0"/>
              <w:snapToGrid/>
              <w:spacing w:line="460" w:lineRule="exact"/>
              <w:rPr>
                <w:color w:val="auto"/>
              </w:rPr>
            </w:pPr>
            <w:r>
              <w:rPr>
                <w:rFonts w:hint="eastAsia"/>
                <w:color w:val="auto"/>
              </w:rPr>
              <w:t>实现停车场无人值守管理及运营。需要的软硬件设备包含：出入口车牌识别管理系统</w:t>
            </w:r>
            <w:r>
              <w:rPr>
                <w:color w:val="auto"/>
              </w:rPr>
              <w:t>/出入口微信二维码管理系统、在线电子缴费系统、对讲系统等。</w:t>
            </w:r>
          </w:p>
        </w:tc>
      </w:tr>
      <w:tr w14:paraId="489E7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899" w:type="dxa"/>
            <w:vMerge w:val="continue"/>
            <w:vAlign w:val="center"/>
          </w:tcPr>
          <w:p w14:paraId="3E730A68">
            <w:pPr>
              <w:keepNext w:val="0"/>
              <w:keepLines w:val="0"/>
              <w:pageBreakBefore w:val="0"/>
              <w:kinsoku/>
              <w:wordWrap/>
              <w:topLinePunct w:val="0"/>
              <w:bidi w:val="0"/>
              <w:snapToGrid/>
              <w:spacing w:line="460" w:lineRule="exact"/>
              <w:ind w:firstLine="480"/>
              <w:jc w:val="center"/>
              <w:rPr>
                <w:color w:val="auto"/>
              </w:rPr>
            </w:pPr>
          </w:p>
        </w:tc>
        <w:tc>
          <w:tcPr>
            <w:tcW w:w="1575" w:type="dxa"/>
            <w:noWrap/>
            <w:vAlign w:val="center"/>
          </w:tcPr>
          <w:p w14:paraId="5CB01798">
            <w:pPr>
              <w:keepNext w:val="0"/>
              <w:keepLines w:val="0"/>
              <w:pageBreakBefore w:val="0"/>
              <w:kinsoku/>
              <w:wordWrap/>
              <w:topLinePunct w:val="0"/>
              <w:bidi w:val="0"/>
              <w:snapToGrid/>
              <w:spacing w:line="460" w:lineRule="exact"/>
              <w:jc w:val="center"/>
              <w:rPr>
                <w:color w:val="auto"/>
              </w:rPr>
            </w:pPr>
            <w:r>
              <w:rPr>
                <w:rFonts w:hint="eastAsia"/>
                <w:color w:val="auto"/>
              </w:rPr>
              <w:t>用户公共服务平台</w:t>
            </w:r>
          </w:p>
        </w:tc>
        <w:tc>
          <w:tcPr>
            <w:tcW w:w="5822" w:type="dxa"/>
            <w:vAlign w:val="center"/>
          </w:tcPr>
          <w:p w14:paraId="0FAFB55B">
            <w:pPr>
              <w:keepNext w:val="0"/>
              <w:keepLines w:val="0"/>
              <w:pageBreakBefore w:val="0"/>
              <w:kinsoku/>
              <w:wordWrap/>
              <w:topLinePunct w:val="0"/>
              <w:bidi w:val="0"/>
              <w:snapToGrid/>
              <w:spacing w:line="460" w:lineRule="exact"/>
              <w:rPr>
                <w:color w:val="auto"/>
              </w:rPr>
            </w:pPr>
            <w:r>
              <w:rPr>
                <w:rFonts w:hint="eastAsia"/>
                <w:color w:val="auto"/>
              </w:rPr>
              <w:t>将平台能力汇聚，为用户提供入口服务（APP/微信公众号/小程序），包括找车位、停车、充值消费、欠费补缴、停车记录、建议反馈等。</w:t>
            </w:r>
          </w:p>
        </w:tc>
      </w:tr>
      <w:tr w14:paraId="415EF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899" w:type="dxa"/>
            <w:vMerge w:val="continue"/>
            <w:vAlign w:val="center"/>
          </w:tcPr>
          <w:p w14:paraId="673CD845">
            <w:pPr>
              <w:keepNext w:val="0"/>
              <w:keepLines w:val="0"/>
              <w:pageBreakBefore w:val="0"/>
              <w:kinsoku/>
              <w:wordWrap/>
              <w:topLinePunct w:val="0"/>
              <w:bidi w:val="0"/>
              <w:snapToGrid/>
              <w:spacing w:line="460" w:lineRule="exact"/>
              <w:ind w:firstLine="480"/>
              <w:jc w:val="center"/>
              <w:rPr>
                <w:color w:val="auto"/>
              </w:rPr>
            </w:pPr>
          </w:p>
        </w:tc>
        <w:tc>
          <w:tcPr>
            <w:tcW w:w="1575" w:type="dxa"/>
            <w:noWrap/>
            <w:vAlign w:val="center"/>
          </w:tcPr>
          <w:p w14:paraId="76F1FDF0">
            <w:pPr>
              <w:keepNext w:val="0"/>
              <w:keepLines w:val="0"/>
              <w:pageBreakBefore w:val="0"/>
              <w:kinsoku/>
              <w:wordWrap/>
              <w:topLinePunct w:val="0"/>
              <w:bidi w:val="0"/>
              <w:snapToGrid/>
              <w:spacing w:line="460" w:lineRule="exact"/>
              <w:jc w:val="center"/>
              <w:rPr>
                <w:color w:val="auto"/>
              </w:rPr>
            </w:pPr>
            <w:r>
              <w:rPr>
                <w:rFonts w:hint="eastAsia"/>
                <w:color w:val="auto"/>
              </w:rPr>
              <w:t>运维管理平台</w:t>
            </w:r>
          </w:p>
        </w:tc>
        <w:tc>
          <w:tcPr>
            <w:tcW w:w="5822" w:type="dxa"/>
            <w:vAlign w:val="center"/>
          </w:tcPr>
          <w:p w14:paraId="0653DBC2">
            <w:pPr>
              <w:keepNext w:val="0"/>
              <w:keepLines w:val="0"/>
              <w:pageBreakBefore w:val="0"/>
              <w:kinsoku/>
              <w:wordWrap/>
              <w:topLinePunct w:val="0"/>
              <w:bidi w:val="0"/>
              <w:snapToGrid/>
              <w:spacing w:line="460" w:lineRule="exact"/>
              <w:rPr>
                <w:color w:val="auto"/>
              </w:rPr>
            </w:pPr>
            <w:r>
              <w:rPr>
                <w:rFonts w:hint="eastAsia"/>
                <w:color w:val="auto"/>
              </w:rPr>
              <w:t>将停车数据统一接入，实现统一管理、统一运维、精准考勤、统一部署和安排处理。</w:t>
            </w:r>
          </w:p>
        </w:tc>
      </w:tr>
      <w:tr w14:paraId="29E05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99" w:type="dxa"/>
            <w:vMerge w:val="restart"/>
            <w:noWrap/>
            <w:vAlign w:val="center"/>
          </w:tcPr>
          <w:p w14:paraId="5953FE0F">
            <w:pPr>
              <w:keepNext w:val="0"/>
              <w:keepLines w:val="0"/>
              <w:pageBreakBefore w:val="0"/>
              <w:kinsoku/>
              <w:wordWrap/>
              <w:topLinePunct w:val="0"/>
              <w:bidi w:val="0"/>
              <w:snapToGrid/>
              <w:spacing w:line="460" w:lineRule="exact"/>
              <w:jc w:val="center"/>
              <w:rPr>
                <w:color w:val="auto"/>
              </w:rPr>
            </w:pPr>
            <w:r>
              <w:rPr>
                <w:rFonts w:hint="eastAsia"/>
                <w:color w:val="auto"/>
              </w:rPr>
              <w:t>其他</w:t>
            </w:r>
          </w:p>
        </w:tc>
        <w:tc>
          <w:tcPr>
            <w:tcW w:w="1575" w:type="dxa"/>
            <w:noWrap/>
            <w:vAlign w:val="center"/>
          </w:tcPr>
          <w:p w14:paraId="30951228">
            <w:pPr>
              <w:keepNext w:val="0"/>
              <w:keepLines w:val="0"/>
              <w:pageBreakBefore w:val="0"/>
              <w:kinsoku/>
              <w:wordWrap/>
              <w:topLinePunct w:val="0"/>
              <w:bidi w:val="0"/>
              <w:snapToGrid/>
              <w:spacing w:line="460" w:lineRule="exact"/>
              <w:jc w:val="center"/>
              <w:rPr>
                <w:color w:val="auto"/>
              </w:rPr>
            </w:pPr>
            <w:r>
              <w:rPr>
                <w:rFonts w:hint="eastAsia"/>
                <w:color w:val="auto"/>
              </w:rPr>
              <w:t>ETC智能终端</w:t>
            </w:r>
          </w:p>
        </w:tc>
        <w:tc>
          <w:tcPr>
            <w:tcW w:w="5822" w:type="dxa"/>
            <w:vAlign w:val="center"/>
          </w:tcPr>
          <w:p w14:paraId="47F0991D">
            <w:pPr>
              <w:keepNext w:val="0"/>
              <w:keepLines w:val="0"/>
              <w:pageBreakBefore w:val="0"/>
              <w:kinsoku/>
              <w:wordWrap/>
              <w:topLinePunct w:val="0"/>
              <w:bidi w:val="0"/>
              <w:snapToGrid/>
              <w:spacing w:line="460" w:lineRule="exact"/>
              <w:rPr>
                <w:color w:val="auto"/>
              </w:rPr>
            </w:pPr>
            <w:r>
              <w:rPr>
                <w:rFonts w:hint="eastAsia"/>
                <w:color w:val="auto"/>
              </w:rPr>
              <w:t>巡检PDA设备，通过巡检APP，实现停车巡检，补缴结算，巡检管理，巡检统计分析等。</w:t>
            </w:r>
          </w:p>
        </w:tc>
      </w:tr>
      <w:tr w14:paraId="44240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899" w:type="dxa"/>
            <w:vMerge w:val="continue"/>
            <w:vAlign w:val="center"/>
          </w:tcPr>
          <w:p w14:paraId="10883A76">
            <w:pPr>
              <w:keepNext w:val="0"/>
              <w:keepLines w:val="0"/>
              <w:pageBreakBefore w:val="0"/>
              <w:kinsoku/>
              <w:wordWrap/>
              <w:topLinePunct w:val="0"/>
              <w:bidi w:val="0"/>
              <w:snapToGrid/>
              <w:spacing w:line="460" w:lineRule="exact"/>
              <w:ind w:firstLine="480"/>
              <w:jc w:val="center"/>
              <w:rPr>
                <w:color w:val="auto"/>
              </w:rPr>
            </w:pPr>
          </w:p>
        </w:tc>
        <w:tc>
          <w:tcPr>
            <w:tcW w:w="1575" w:type="dxa"/>
            <w:noWrap/>
            <w:vAlign w:val="center"/>
          </w:tcPr>
          <w:p w14:paraId="5A89FC31">
            <w:pPr>
              <w:keepNext w:val="0"/>
              <w:keepLines w:val="0"/>
              <w:pageBreakBefore w:val="0"/>
              <w:kinsoku/>
              <w:wordWrap/>
              <w:topLinePunct w:val="0"/>
              <w:bidi w:val="0"/>
              <w:snapToGrid/>
              <w:spacing w:line="460" w:lineRule="exact"/>
              <w:jc w:val="center"/>
              <w:rPr>
                <w:color w:val="auto"/>
              </w:rPr>
            </w:pPr>
            <w:r>
              <w:rPr>
                <w:rFonts w:hint="eastAsia"/>
                <w:color w:val="auto"/>
              </w:rPr>
              <w:t>云资源</w:t>
            </w:r>
          </w:p>
        </w:tc>
        <w:tc>
          <w:tcPr>
            <w:tcW w:w="5822" w:type="dxa"/>
            <w:vAlign w:val="center"/>
          </w:tcPr>
          <w:p w14:paraId="2A592274">
            <w:pPr>
              <w:keepNext w:val="0"/>
              <w:keepLines w:val="0"/>
              <w:pageBreakBefore w:val="0"/>
              <w:kinsoku/>
              <w:wordWrap/>
              <w:topLinePunct w:val="0"/>
              <w:bidi w:val="0"/>
              <w:snapToGrid/>
              <w:spacing w:line="460" w:lineRule="exact"/>
              <w:rPr>
                <w:color w:val="auto"/>
              </w:rPr>
            </w:pPr>
            <w:r>
              <w:rPr>
                <w:rFonts w:hint="eastAsia"/>
                <w:color w:val="auto"/>
              </w:rPr>
              <w:t>建设内容相关的软件部署在租赁云资源上，云资源按年付费。</w:t>
            </w:r>
          </w:p>
        </w:tc>
      </w:tr>
    </w:tbl>
    <w:p w14:paraId="3777A857">
      <w:pPr>
        <w:keepNext w:val="0"/>
        <w:keepLines w:val="0"/>
        <w:pageBreakBefore w:val="0"/>
        <w:numPr>
          <w:ilvl w:val="0"/>
          <w:numId w:val="4"/>
        </w:numPr>
        <w:kinsoku/>
        <w:wordWrap/>
        <w:topLinePunct w:val="0"/>
        <w:bidi w:val="0"/>
        <w:snapToGrid/>
        <w:spacing w:line="460" w:lineRule="exact"/>
        <w:outlineLvl w:val="2"/>
        <w:rPr>
          <w:rFonts w:hint="eastAsia" w:ascii="宋体" w:hAnsi="宋体" w:eastAsia="宋体" w:cs="宋体"/>
          <w:b/>
          <w:bCs/>
          <w:color w:val="auto"/>
          <w:sz w:val="21"/>
          <w:szCs w:val="21"/>
        </w:rPr>
      </w:pPr>
      <w:r>
        <w:rPr>
          <w:rFonts w:hint="eastAsia" w:ascii="宋体" w:hAnsi="宋体" w:eastAsia="宋体" w:cs="宋体"/>
          <w:b/>
          <w:bCs/>
          <w:color w:val="auto"/>
          <w:sz w:val="21"/>
          <w:szCs w:val="21"/>
        </w:rPr>
        <w:t>本项目建设需求分析</w:t>
      </w:r>
    </w:p>
    <w:p w14:paraId="55A46164">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本项目为一次建设，对2262个泊位开展智能化升级建设，并将2530个停车泊位接入智能停车信息管理平台，实现辖区停车资源统一管理，需求如下：</w:t>
      </w:r>
    </w:p>
    <w:p w14:paraId="5E5CF8E7">
      <w:pPr>
        <w:keepNext w:val="0"/>
        <w:keepLines w:val="0"/>
        <w:pageBreakBefore w:val="0"/>
        <w:widowControl w:val="0"/>
        <w:numPr>
          <w:ilvl w:val="0"/>
          <w:numId w:val="6"/>
        </w:numPr>
        <w:kinsoku/>
        <w:wordWrap/>
        <w:overflowPunct/>
        <w:topLinePunct w:val="0"/>
        <w:autoSpaceDE/>
        <w:autoSpaceDN/>
        <w:bidi w:val="0"/>
        <w:adjustRightInd/>
        <w:snapToGrid/>
        <w:spacing w:line="460" w:lineRule="exact"/>
        <w:ind w:left="0" w:leftChars="0" w:firstLine="42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智慧停车监控中心建设需求</w:t>
      </w:r>
    </w:p>
    <w:p w14:paraId="6020C155">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将数据和功能聚合后可实现在一个大屏下统一监控所有停车资源，如停车视频工作应用展示、停车业务数据应用展示、停车数据分析结果展示、运营监测数据展示、停车热力地图展示、停车异常行为展示等。</w:t>
      </w:r>
    </w:p>
    <w:p w14:paraId="1227C066">
      <w:pPr>
        <w:keepNext w:val="0"/>
        <w:keepLines w:val="0"/>
        <w:pageBreakBefore w:val="0"/>
        <w:widowControl w:val="0"/>
        <w:numPr>
          <w:ilvl w:val="0"/>
          <w:numId w:val="6"/>
        </w:numPr>
        <w:kinsoku/>
        <w:wordWrap/>
        <w:overflowPunct/>
        <w:topLinePunct w:val="0"/>
        <w:autoSpaceDE/>
        <w:autoSpaceDN/>
        <w:bidi w:val="0"/>
        <w:adjustRightInd/>
        <w:snapToGrid/>
        <w:spacing w:line="460" w:lineRule="exact"/>
        <w:ind w:left="0" w:leftChars="0" w:firstLine="42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智慧停车平台建设需求</w:t>
      </w:r>
    </w:p>
    <w:p w14:paraId="02F22E12">
      <w:pPr>
        <w:pStyle w:val="23"/>
        <w:keepNext w:val="0"/>
        <w:keepLines w:val="0"/>
        <w:pageBreakBefore w:val="0"/>
        <w:numPr>
          <w:ilvl w:val="0"/>
          <w:numId w:val="7"/>
        </w:numPr>
        <w:kinsoku/>
        <w:wordWrap/>
        <w:topLinePunct w:val="0"/>
        <w:bidi w:val="0"/>
        <w:snapToGrid/>
        <w:spacing w:line="46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智慧停车平台建设</w:t>
      </w:r>
    </w:p>
    <w:p w14:paraId="576A607C">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实现各种资源实时监控，并提供多个维度的大数据分析挖掘功能，以便增强用户体验、提高资源利用效率、降低管理成本、提高运营收入。功能包括停车实时地图、停车订单、交易记录、用户管理、路段管理、费率管理、黑白名单、系统管理、统计分析、巡检管理、用户投诉工单、停车生态管理系统、巡检管理等。</w:t>
      </w:r>
    </w:p>
    <w:p w14:paraId="164D465C">
      <w:pPr>
        <w:pStyle w:val="23"/>
        <w:keepNext w:val="0"/>
        <w:keepLines w:val="0"/>
        <w:pageBreakBefore w:val="0"/>
        <w:numPr>
          <w:ilvl w:val="0"/>
          <w:numId w:val="7"/>
        </w:numPr>
        <w:kinsoku/>
        <w:wordWrap/>
        <w:topLinePunct w:val="0"/>
        <w:bidi w:val="0"/>
        <w:snapToGrid/>
        <w:spacing w:line="46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停车泊位智能化改造</w:t>
      </w:r>
    </w:p>
    <w:p w14:paraId="54CAAFD8">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道路边安装低位智慧车位感应器实时监控停车，自动识别停车行为和车牌号码，自动计费并拍照上传到云端服务器。设备安装在马路牙上或车位定位器上安装。对停车场停车泊位实现智能化升级改造，安装智能道闸、车牌识别一体机、无人值守系统等，实现无人值守管理。</w:t>
      </w:r>
    </w:p>
    <w:p w14:paraId="01F01B72">
      <w:pPr>
        <w:keepNext w:val="0"/>
        <w:keepLines w:val="0"/>
        <w:pageBreakBefore w:val="0"/>
        <w:numPr>
          <w:ilvl w:val="0"/>
          <w:numId w:val="4"/>
        </w:numPr>
        <w:kinsoku/>
        <w:wordWrap/>
        <w:topLinePunct w:val="0"/>
        <w:bidi w:val="0"/>
        <w:snapToGrid/>
        <w:spacing w:line="460" w:lineRule="exact"/>
        <w:outlineLvl w:val="2"/>
        <w:rPr>
          <w:rFonts w:hint="eastAsia" w:ascii="宋体" w:hAnsi="宋体" w:eastAsia="宋体" w:cs="宋体"/>
          <w:b/>
          <w:bCs/>
          <w:color w:val="auto"/>
          <w:sz w:val="21"/>
          <w:szCs w:val="21"/>
        </w:rPr>
      </w:pPr>
      <w:r>
        <w:rPr>
          <w:rFonts w:hint="eastAsia" w:ascii="宋体" w:hAnsi="宋体" w:eastAsia="宋体" w:cs="宋体"/>
          <w:b/>
          <w:bCs/>
          <w:color w:val="auto"/>
          <w:sz w:val="21"/>
          <w:szCs w:val="21"/>
        </w:rPr>
        <w:t>项目建设规模及合作期限</w:t>
      </w:r>
    </w:p>
    <w:p w14:paraId="1A1CFEC7">
      <w:pPr>
        <w:pStyle w:val="23"/>
        <w:keepNext w:val="0"/>
        <w:keepLines w:val="0"/>
        <w:pageBreakBefore w:val="0"/>
        <w:kinsoku/>
        <w:wordWrap/>
        <w:topLinePunct w:val="0"/>
        <w:bidi w:val="0"/>
        <w:snapToGrid/>
        <w:spacing w:line="46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本项目的建设本着质量、安全第一的原则，按时、按质完成，投入运行，及早创造社会效益和经济效益。</w:t>
      </w:r>
    </w:p>
    <w:p w14:paraId="08B7150C">
      <w:pPr>
        <w:pStyle w:val="23"/>
        <w:keepNext w:val="0"/>
        <w:keepLines w:val="0"/>
        <w:pageBreakBefore w:val="0"/>
        <w:numPr>
          <w:ilvl w:val="0"/>
          <w:numId w:val="0"/>
        </w:numPr>
        <w:kinsoku/>
        <w:wordWrap/>
        <w:topLinePunct w:val="0"/>
        <w:bidi w:val="0"/>
        <w:snapToGrid/>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一</w:t>
      </w:r>
      <w:r>
        <w:rPr>
          <w:rFonts w:hint="eastAsia" w:ascii="宋体" w:hAnsi="宋体" w:cs="宋体"/>
          <w:color w:val="auto"/>
          <w:szCs w:val="21"/>
          <w:highlight w:val="none"/>
          <w:lang w:eastAsia="zh-CN"/>
        </w:rPr>
        <w:t>）</w:t>
      </w:r>
      <w:r>
        <w:rPr>
          <w:rFonts w:hint="eastAsia" w:ascii="宋体" w:hAnsi="宋体" w:cs="宋体"/>
          <w:color w:val="auto"/>
          <w:szCs w:val="21"/>
          <w:highlight w:val="none"/>
        </w:rPr>
        <w:t>本项目规划建设2530个停车泊位，其中对2262个停车泊位开展智能化升级建设，估算项目总投资6,269.25（万元）</w:t>
      </w:r>
      <w:r>
        <w:rPr>
          <w:rFonts w:hint="eastAsia" w:ascii="宋体" w:hAnsi="宋体" w:cs="宋体"/>
          <w:color w:val="auto"/>
          <w:szCs w:val="21"/>
          <w:highlight w:val="none"/>
          <w:lang w:eastAsia="zh-CN"/>
        </w:rPr>
        <w:t>，</w:t>
      </w:r>
      <w:r>
        <w:rPr>
          <w:rFonts w:hint="eastAsia" w:ascii="宋体" w:hAnsi="宋体" w:cs="宋体"/>
          <w:color w:val="auto"/>
          <w:szCs w:val="21"/>
          <w:highlight w:val="none"/>
        </w:rPr>
        <w:t>其中</w:t>
      </w:r>
      <w:r>
        <w:rPr>
          <w:rFonts w:hint="eastAsia" w:ascii="宋体" w:hAnsi="宋体" w:cs="宋体"/>
          <w:color w:val="auto"/>
          <w:szCs w:val="21"/>
          <w:highlight w:val="none"/>
          <w:lang w:val="en-US" w:eastAsia="zh-CN"/>
        </w:rPr>
        <w:t>建设期</w:t>
      </w:r>
      <w:r>
        <w:rPr>
          <w:rFonts w:hint="eastAsia" w:ascii="宋体" w:hAnsi="宋体" w:cs="宋体"/>
          <w:color w:val="auto"/>
          <w:szCs w:val="21"/>
          <w:highlight w:val="none"/>
        </w:rPr>
        <w:t>投资838.27（万元），第六年更新设备819.67</w:t>
      </w:r>
      <w:r>
        <w:rPr>
          <w:rFonts w:hint="eastAsia" w:ascii="宋体" w:hAnsi="宋体" w:cs="宋体"/>
          <w:color w:val="auto"/>
          <w:szCs w:val="21"/>
          <w:highlight w:val="none"/>
          <w:lang w:eastAsia="zh-CN"/>
        </w:rPr>
        <w:t>（</w:t>
      </w:r>
      <w:r>
        <w:rPr>
          <w:rFonts w:hint="eastAsia" w:ascii="宋体" w:hAnsi="宋体" w:cs="宋体"/>
          <w:color w:val="auto"/>
          <w:szCs w:val="21"/>
          <w:highlight w:val="none"/>
        </w:rPr>
        <w:t>万元</w:t>
      </w:r>
      <w:r>
        <w:rPr>
          <w:rFonts w:hint="eastAsia" w:ascii="宋体" w:hAnsi="宋体" w:cs="宋体"/>
          <w:color w:val="auto"/>
          <w:szCs w:val="21"/>
          <w:highlight w:val="none"/>
          <w:lang w:eastAsia="zh-CN"/>
        </w:rPr>
        <w:t>）</w:t>
      </w:r>
      <w:r>
        <w:rPr>
          <w:rFonts w:hint="eastAsia" w:ascii="宋体" w:hAnsi="宋体" w:cs="宋体"/>
          <w:color w:val="auto"/>
          <w:szCs w:val="21"/>
          <w:highlight w:val="none"/>
        </w:rPr>
        <w:t>，可研报告编制费1（万元），项目预备金按建设投资3%计提49.74（万元）</w:t>
      </w:r>
      <w:r>
        <w:rPr>
          <w:rFonts w:hint="eastAsia" w:ascii="宋体" w:hAnsi="宋体" w:cs="宋体"/>
          <w:color w:val="auto"/>
          <w:szCs w:val="21"/>
          <w:highlight w:val="none"/>
          <w:lang w:eastAsia="zh-CN"/>
        </w:rPr>
        <w:t>，</w:t>
      </w:r>
      <w:r>
        <w:rPr>
          <w:rFonts w:hint="eastAsia" w:ascii="宋体" w:hAnsi="宋体" w:cs="宋体"/>
          <w:color w:val="auto"/>
          <w:szCs w:val="21"/>
          <w:highlight w:val="none"/>
        </w:rPr>
        <w:t>12年运营成本4500.63（万元）。</w:t>
      </w:r>
    </w:p>
    <w:p w14:paraId="24339E1F">
      <w:pPr>
        <w:pStyle w:val="23"/>
        <w:keepNext w:val="0"/>
        <w:keepLines w:val="0"/>
        <w:pageBreakBefore w:val="0"/>
        <w:numPr>
          <w:ilvl w:val="0"/>
          <w:numId w:val="0"/>
        </w:numPr>
        <w:kinsoku/>
        <w:wordWrap/>
        <w:topLinePunct w:val="0"/>
        <w:bidi w:val="0"/>
        <w:snapToGrid/>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二</w:t>
      </w:r>
      <w:r>
        <w:rPr>
          <w:rFonts w:hint="eastAsia" w:ascii="宋体" w:hAnsi="宋体" w:cs="宋体"/>
          <w:color w:val="auto"/>
          <w:szCs w:val="21"/>
          <w:highlight w:val="none"/>
          <w:lang w:eastAsia="zh-CN"/>
        </w:rPr>
        <w:t>）</w:t>
      </w:r>
      <w:r>
        <w:rPr>
          <w:rFonts w:hint="eastAsia" w:ascii="宋体" w:hAnsi="宋体" w:cs="宋体"/>
          <w:color w:val="auto"/>
          <w:szCs w:val="21"/>
          <w:highlight w:val="none"/>
        </w:rPr>
        <w:t>本项目估算总投资额为6,269.25万元，无银行贷款，全部由中标公司自筹。</w:t>
      </w:r>
    </w:p>
    <w:p w14:paraId="2D476CD8">
      <w:pPr>
        <w:pStyle w:val="23"/>
        <w:keepNext w:val="0"/>
        <w:keepLines w:val="0"/>
        <w:pageBreakBefore w:val="0"/>
        <w:numPr>
          <w:ilvl w:val="0"/>
          <w:numId w:val="0"/>
        </w:numPr>
        <w:kinsoku/>
        <w:wordWrap/>
        <w:topLinePunct w:val="0"/>
        <w:bidi w:val="0"/>
        <w:snapToGrid/>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三</w:t>
      </w:r>
      <w:r>
        <w:rPr>
          <w:rFonts w:hint="eastAsia" w:ascii="宋体" w:hAnsi="宋体" w:cs="宋体"/>
          <w:color w:val="auto"/>
          <w:szCs w:val="21"/>
          <w:highlight w:val="none"/>
          <w:lang w:eastAsia="zh-CN"/>
        </w:rPr>
        <w:t>）</w:t>
      </w:r>
      <w:r>
        <w:rPr>
          <w:rFonts w:hint="eastAsia" w:ascii="宋体" w:hAnsi="宋体" w:cs="宋体"/>
          <w:color w:val="auto"/>
          <w:szCs w:val="21"/>
          <w:highlight w:val="none"/>
        </w:rPr>
        <w:t>共</w:t>
      </w:r>
      <w:r>
        <w:rPr>
          <w:rFonts w:hint="eastAsia" w:ascii="宋体" w:hAnsi="宋体" w:cs="宋体"/>
          <w:color w:val="auto"/>
          <w:szCs w:val="21"/>
          <w:highlight w:val="none"/>
          <w:u w:val="single"/>
        </w:rPr>
        <w:t xml:space="preserve"> 十二 </w:t>
      </w:r>
      <w:r>
        <w:rPr>
          <w:rFonts w:hint="eastAsia" w:ascii="宋体" w:hAnsi="宋体" w:cs="宋体"/>
          <w:color w:val="auto"/>
          <w:szCs w:val="21"/>
          <w:highlight w:val="none"/>
        </w:rPr>
        <w:t>年，其中建设期</w:t>
      </w:r>
      <w:r>
        <w:rPr>
          <w:rFonts w:hint="eastAsia" w:ascii="宋体" w:hAnsi="宋体" w:cs="宋体"/>
          <w:color w:val="auto"/>
          <w:szCs w:val="21"/>
          <w:highlight w:val="none"/>
          <w:u w:val="single"/>
        </w:rPr>
        <w:t xml:space="preserve"> 二 </w:t>
      </w:r>
      <w:r>
        <w:rPr>
          <w:rFonts w:hint="eastAsia" w:ascii="宋体" w:hAnsi="宋体" w:cs="宋体"/>
          <w:color w:val="auto"/>
          <w:szCs w:val="21"/>
          <w:highlight w:val="none"/>
        </w:rPr>
        <w:t>年，运营期</w:t>
      </w:r>
      <w:r>
        <w:rPr>
          <w:rFonts w:hint="eastAsia" w:ascii="宋体" w:hAnsi="宋体" w:cs="宋体"/>
          <w:color w:val="auto"/>
          <w:szCs w:val="21"/>
          <w:highlight w:val="none"/>
          <w:u w:val="single"/>
        </w:rPr>
        <w:t xml:space="preserve"> 十 </w:t>
      </w:r>
      <w:r>
        <w:rPr>
          <w:rFonts w:hint="eastAsia" w:ascii="宋体" w:hAnsi="宋体" w:cs="宋体"/>
          <w:color w:val="auto"/>
          <w:szCs w:val="21"/>
          <w:highlight w:val="none"/>
        </w:rPr>
        <w:t>年。</w:t>
      </w:r>
    </w:p>
    <w:p w14:paraId="22BAB3C9">
      <w:pPr>
        <w:pStyle w:val="23"/>
        <w:keepNext w:val="0"/>
        <w:keepLines w:val="0"/>
        <w:pageBreakBefore w:val="0"/>
        <w:kinsoku/>
        <w:wordWrap/>
        <w:topLinePunct w:val="0"/>
        <w:bidi w:val="0"/>
        <w:snapToGrid/>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建设期第一年，建设不少于1200个车位；</w:t>
      </w:r>
    </w:p>
    <w:p w14:paraId="1B72CD9C">
      <w:pPr>
        <w:pStyle w:val="23"/>
        <w:keepNext w:val="0"/>
        <w:keepLines w:val="0"/>
        <w:pageBreakBefore w:val="0"/>
        <w:kinsoku/>
        <w:wordWrap/>
        <w:topLinePunct w:val="0"/>
        <w:bidi w:val="0"/>
        <w:snapToGrid/>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建设期第二年，完成所有</w:t>
      </w:r>
      <w:r>
        <w:rPr>
          <w:rFonts w:hint="eastAsia" w:ascii="宋体" w:hAnsi="宋体" w:cs="宋体"/>
          <w:color w:val="auto"/>
          <w:szCs w:val="21"/>
          <w:highlight w:val="none"/>
          <w:lang w:val="en-US" w:eastAsia="zh-CN"/>
        </w:rPr>
        <w:t>车位</w:t>
      </w:r>
      <w:r>
        <w:rPr>
          <w:rFonts w:hint="eastAsia" w:ascii="宋体" w:hAnsi="宋体" w:cs="宋体"/>
          <w:color w:val="auto"/>
          <w:szCs w:val="21"/>
          <w:highlight w:val="none"/>
        </w:rPr>
        <w:t>建设；</w:t>
      </w:r>
    </w:p>
    <w:p w14:paraId="4B8284E6">
      <w:pPr>
        <w:pStyle w:val="23"/>
        <w:keepNext w:val="0"/>
        <w:keepLines w:val="0"/>
        <w:pageBreakBefore w:val="0"/>
        <w:kinsoku/>
        <w:wordWrap/>
        <w:topLinePunct w:val="0"/>
        <w:bidi w:val="0"/>
        <w:snapToGrid/>
        <w:spacing w:line="460" w:lineRule="exact"/>
        <w:ind w:firstLine="420" w:firstLineChars="200"/>
        <w:rPr>
          <w:rFonts w:hint="eastAsia" w:ascii="宋体" w:hAnsi="宋体" w:eastAsia="宋体" w:cs="宋体"/>
          <w:color w:val="auto"/>
          <w:sz w:val="21"/>
          <w:szCs w:val="21"/>
        </w:rPr>
      </w:pPr>
      <w:r>
        <w:rPr>
          <w:rFonts w:hint="eastAsia" w:ascii="宋体" w:hAnsi="宋体" w:cs="宋体"/>
          <w:color w:val="auto"/>
          <w:szCs w:val="21"/>
        </w:rPr>
        <w:t>最终以特许经营协议为准。</w:t>
      </w:r>
    </w:p>
    <w:p w14:paraId="1D19D14D">
      <w:pPr>
        <w:keepNext w:val="0"/>
        <w:keepLines w:val="0"/>
        <w:pageBreakBefore w:val="0"/>
        <w:numPr>
          <w:ilvl w:val="0"/>
          <w:numId w:val="4"/>
        </w:numPr>
        <w:kinsoku/>
        <w:wordWrap/>
        <w:topLinePunct w:val="0"/>
        <w:bidi w:val="0"/>
        <w:snapToGrid/>
        <w:spacing w:line="460" w:lineRule="exact"/>
        <w:outlineLvl w:val="2"/>
        <w:rPr>
          <w:rFonts w:hint="eastAsia" w:ascii="宋体" w:hAnsi="宋体" w:eastAsia="宋体" w:cs="宋体"/>
          <w:b/>
          <w:bCs/>
          <w:color w:val="auto"/>
          <w:sz w:val="21"/>
          <w:szCs w:val="21"/>
        </w:rPr>
      </w:pPr>
      <w:r>
        <w:rPr>
          <w:rFonts w:hint="eastAsia" w:ascii="宋体" w:hAnsi="宋体" w:eastAsia="宋体" w:cs="宋体"/>
          <w:b/>
          <w:bCs/>
          <w:color w:val="auto"/>
          <w:sz w:val="21"/>
          <w:szCs w:val="21"/>
        </w:rPr>
        <w:t>项目总投资构成</w:t>
      </w:r>
    </w:p>
    <w:p w14:paraId="7B32D200">
      <w:pPr>
        <w:pStyle w:val="5"/>
        <w:keepNext w:val="0"/>
        <w:keepLines w:val="0"/>
        <w:pageBreakBefore w:val="0"/>
        <w:kinsoku/>
        <w:wordWrap/>
        <w:topLinePunct w:val="0"/>
        <w:bidi w:val="0"/>
        <w:snapToGrid/>
        <w:spacing w:line="460" w:lineRule="exact"/>
        <w:rPr>
          <w:rFonts w:hint="eastAsia"/>
          <w:color w:val="auto"/>
        </w:rPr>
      </w:pPr>
    </w:p>
    <w:p w14:paraId="3A24CFB8">
      <w:pPr>
        <w:pStyle w:val="8"/>
        <w:rPr>
          <w:rFonts w:hint="eastAsia"/>
          <w:color w:val="auto"/>
        </w:rPr>
      </w:pPr>
      <w:r>
        <w:rPr>
          <w:rFonts w:hint="eastAsia"/>
          <w:color w:val="auto"/>
        </w:rPr>
        <w:drawing>
          <wp:inline distT="0" distB="0" distL="0" distR="0">
            <wp:extent cx="5024755" cy="1800225"/>
            <wp:effectExtent l="0" t="6350" r="0" b="37465"/>
            <wp:docPr id="1" name="图示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14:paraId="56C80050">
      <w:pPr>
        <w:keepNext w:val="0"/>
        <w:keepLines w:val="0"/>
        <w:pageBreakBefore w:val="0"/>
        <w:numPr>
          <w:ilvl w:val="0"/>
          <w:numId w:val="4"/>
        </w:numPr>
        <w:kinsoku/>
        <w:wordWrap/>
        <w:topLinePunct w:val="0"/>
        <w:bidi w:val="0"/>
        <w:snapToGrid/>
        <w:spacing w:line="460" w:lineRule="exact"/>
        <w:outlineLvl w:val="2"/>
        <w:rPr>
          <w:rFonts w:hint="eastAsia" w:ascii="宋体" w:hAnsi="宋体" w:eastAsia="宋体" w:cs="宋体"/>
          <w:b/>
          <w:bCs/>
          <w:color w:val="auto"/>
          <w:sz w:val="21"/>
          <w:szCs w:val="21"/>
        </w:rPr>
      </w:pPr>
      <w:r>
        <w:rPr>
          <w:rFonts w:hint="eastAsia" w:ascii="宋体" w:hAnsi="宋体" w:eastAsia="宋体" w:cs="宋体"/>
          <w:b/>
          <w:bCs/>
          <w:color w:val="auto"/>
          <w:sz w:val="21"/>
          <w:szCs w:val="21"/>
        </w:rPr>
        <w:t>投资建设要求</w:t>
      </w:r>
    </w:p>
    <w:p w14:paraId="4032E9BD">
      <w:pPr>
        <w:pStyle w:val="23"/>
        <w:keepNext w:val="0"/>
        <w:keepLines w:val="0"/>
        <w:pageBreakBefore w:val="0"/>
        <w:numPr>
          <w:ilvl w:val="0"/>
          <w:numId w:val="0"/>
        </w:numPr>
        <w:kinsoku/>
        <w:wordWrap/>
        <w:topLinePunct w:val="0"/>
        <w:bidi w:val="0"/>
        <w:snapToGrid/>
        <w:spacing w:line="460" w:lineRule="exact"/>
        <w:ind w:firstLine="420" w:firstLineChars="200"/>
        <w:rPr>
          <w:rFonts w:hint="eastAsia" w:ascii="宋体" w:hAnsi="宋体" w:eastAsia="宋体" w:cs="宋体"/>
          <w:color w:val="auto"/>
          <w:sz w:val="21"/>
          <w:szCs w:val="21"/>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一</w:t>
      </w:r>
      <w:r>
        <w:rPr>
          <w:rFonts w:hint="eastAsia" w:ascii="宋体" w:hAnsi="宋体" w:cs="宋体"/>
          <w:color w:val="auto"/>
          <w:sz w:val="21"/>
          <w:szCs w:val="21"/>
          <w:lang w:eastAsia="zh-CN"/>
        </w:rPr>
        <w:t>）</w:t>
      </w:r>
      <w:r>
        <w:rPr>
          <w:rFonts w:hint="eastAsia" w:ascii="宋体" w:hAnsi="宋体" w:eastAsia="宋体" w:cs="宋体"/>
          <w:color w:val="auto"/>
          <w:sz w:val="21"/>
          <w:szCs w:val="21"/>
        </w:rPr>
        <w:t>项目中标后</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由中标公司自有资金进行投资，负责智慧城市停车平台及项目的基础建设和运营</w:t>
      </w:r>
      <w:r>
        <w:rPr>
          <w:rFonts w:hint="eastAsia" w:ascii="宋体" w:hAnsi="宋体" w:eastAsia="宋体" w:cs="宋体"/>
          <w:color w:val="auto"/>
          <w:sz w:val="21"/>
          <w:szCs w:val="21"/>
          <w:lang w:eastAsia="zh-CN"/>
        </w:rPr>
        <w:t>。</w:t>
      </w:r>
    </w:p>
    <w:p w14:paraId="4EE3C5E5">
      <w:pPr>
        <w:pStyle w:val="23"/>
        <w:keepNext w:val="0"/>
        <w:keepLines w:val="0"/>
        <w:pageBreakBefore w:val="0"/>
        <w:numPr>
          <w:ilvl w:val="0"/>
          <w:numId w:val="0"/>
        </w:numPr>
        <w:kinsoku/>
        <w:wordWrap/>
        <w:topLinePunct w:val="0"/>
        <w:bidi w:val="0"/>
        <w:snapToGrid/>
        <w:spacing w:line="460" w:lineRule="exact"/>
        <w:ind w:firstLine="420" w:firstLineChars="200"/>
        <w:rPr>
          <w:rFonts w:hint="eastAsia" w:ascii="宋体" w:hAnsi="宋体" w:eastAsia="宋体" w:cs="宋体"/>
          <w:color w:val="auto"/>
          <w:sz w:val="21"/>
          <w:szCs w:val="21"/>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二</w:t>
      </w:r>
      <w:r>
        <w:rPr>
          <w:rFonts w:hint="eastAsia" w:ascii="宋体" w:hAnsi="宋体" w:cs="宋体"/>
          <w:color w:val="auto"/>
          <w:sz w:val="21"/>
          <w:szCs w:val="21"/>
          <w:lang w:eastAsia="zh-CN"/>
        </w:rPr>
        <w:t>）</w:t>
      </w:r>
      <w:r>
        <w:rPr>
          <w:rFonts w:hint="eastAsia" w:ascii="宋体" w:hAnsi="宋体" w:eastAsia="宋体" w:cs="宋体"/>
          <w:color w:val="auto"/>
          <w:sz w:val="21"/>
          <w:szCs w:val="21"/>
        </w:rPr>
        <w:t>本项目中标后项目运营公司应制定详细的建设方案。</w:t>
      </w:r>
    </w:p>
    <w:p w14:paraId="5ABBB47E">
      <w:pPr>
        <w:pStyle w:val="23"/>
        <w:keepNext w:val="0"/>
        <w:keepLines w:val="0"/>
        <w:pageBreakBefore w:val="0"/>
        <w:numPr>
          <w:ilvl w:val="0"/>
          <w:numId w:val="0"/>
        </w:numPr>
        <w:kinsoku/>
        <w:wordWrap/>
        <w:topLinePunct w:val="0"/>
        <w:bidi w:val="0"/>
        <w:snapToGrid/>
        <w:spacing w:line="460" w:lineRule="exact"/>
        <w:ind w:firstLine="420" w:firstLineChars="200"/>
        <w:rPr>
          <w:rFonts w:hint="eastAsia" w:ascii="宋体" w:hAnsi="宋体" w:eastAsia="宋体" w:cs="宋体"/>
          <w:color w:val="auto"/>
          <w:sz w:val="21"/>
          <w:szCs w:val="21"/>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三</w:t>
      </w:r>
      <w:r>
        <w:rPr>
          <w:rFonts w:hint="eastAsia" w:ascii="宋体" w:hAnsi="宋体" w:cs="宋体"/>
          <w:color w:val="auto"/>
          <w:sz w:val="21"/>
          <w:szCs w:val="21"/>
          <w:lang w:eastAsia="zh-CN"/>
        </w:rPr>
        <w:t>）</w:t>
      </w:r>
      <w:r>
        <w:rPr>
          <w:rFonts w:hint="eastAsia" w:ascii="宋体" w:hAnsi="宋体" w:eastAsia="宋体" w:cs="宋体"/>
          <w:color w:val="auto"/>
          <w:sz w:val="21"/>
          <w:szCs w:val="21"/>
        </w:rPr>
        <w:t>项目建设的实施标准：符合我国国家有关技术规范要求和技术标准，必须保证同时安装到位。</w:t>
      </w:r>
    </w:p>
    <w:p w14:paraId="62C7C993">
      <w:pPr>
        <w:pStyle w:val="23"/>
        <w:keepNext w:val="0"/>
        <w:keepLines w:val="0"/>
        <w:pageBreakBefore w:val="0"/>
        <w:numPr>
          <w:ilvl w:val="0"/>
          <w:numId w:val="0"/>
        </w:numPr>
        <w:kinsoku/>
        <w:wordWrap/>
        <w:topLinePunct w:val="0"/>
        <w:bidi w:val="0"/>
        <w:snapToGrid/>
        <w:spacing w:line="460" w:lineRule="exact"/>
        <w:ind w:firstLine="420" w:firstLineChars="200"/>
        <w:rPr>
          <w:rFonts w:hint="eastAsia" w:ascii="宋体" w:hAnsi="宋体" w:eastAsia="宋体" w:cs="宋体"/>
          <w:color w:val="auto"/>
          <w:sz w:val="21"/>
          <w:szCs w:val="21"/>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四</w:t>
      </w:r>
      <w:r>
        <w:rPr>
          <w:rFonts w:hint="eastAsia" w:ascii="宋体" w:hAnsi="宋体" w:cs="宋体"/>
          <w:color w:val="auto"/>
          <w:sz w:val="21"/>
          <w:szCs w:val="21"/>
          <w:lang w:eastAsia="zh-CN"/>
        </w:rPr>
        <w:t>）</w:t>
      </w:r>
      <w:r>
        <w:rPr>
          <w:rFonts w:hint="eastAsia" w:ascii="宋体" w:hAnsi="宋体" w:eastAsia="宋体" w:cs="宋体"/>
          <w:color w:val="auto"/>
          <w:sz w:val="21"/>
          <w:szCs w:val="21"/>
        </w:rPr>
        <w:t>项目建设过程中，如涉及市政、电力、绿化等部门的，必需按相关法律、法规依法办理审批。</w:t>
      </w:r>
    </w:p>
    <w:p w14:paraId="0D08176C">
      <w:pPr>
        <w:pStyle w:val="23"/>
        <w:keepNext w:val="0"/>
        <w:keepLines w:val="0"/>
        <w:pageBreakBefore w:val="0"/>
        <w:numPr>
          <w:ilvl w:val="0"/>
          <w:numId w:val="0"/>
        </w:numPr>
        <w:kinsoku/>
        <w:wordWrap/>
        <w:topLinePunct w:val="0"/>
        <w:bidi w:val="0"/>
        <w:snapToGrid/>
        <w:spacing w:line="460" w:lineRule="exact"/>
        <w:ind w:firstLine="420" w:firstLineChars="200"/>
        <w:rPr>
          <w:rFonts w:hint="eastAsia" w:ascii="宋体" w:hAnsi="宋体" w:eastAsia="宋体" w:cs="宋体"/>
          <w:color w:val="auto"/>
          <w:sz w:val="21"/>
          <w:szCs w:val="21"/>
        </w:rPr>
      </w:pPr>
      <w:r>
        <w:rPr>
          <w:rFonts w:hint="eastAsia" w:ascii="宋体" w:hAnsi="宋体" w:cs="宋体"/>
          <w:color w:val="auto"/>
          <w:kern w:val="28"/>
          <w:sz w:val="21"/>
          <w:szCs w:val="21"/>
          <w:lang w:eastAsia="zh-CN"/>
        </w:rPr>
        <w:t>（</w:t>
      </w:r>
      <w:r>
        <w:rPr>
          <w:rFonts w:hint="eastAsia" w:ascii="宋体" w:hAnsi="宋体" w:cs="宋体"/>
          <w:color w:val="auto"/>
          <w:kern w:val="28"/>
          <w:sz w:val="21"/>
          <w:szCs w:val="21"/>
          <w:lang w:val="en-US" w:eastAsia="zh-CN"/>
        </w:rPr>
        <w:t>五</w:t>
      </w:r>
      <w:r>
        <w:rPr>
          <w:rFonts w:hint="eastAsia" w:ascii="宋体" w:hAnsi="宋体" w:cs="宋体"/>
          <w:color w:val="auto"/>
          <w:kern w:val="28"/>
          <w:sz w:val="21"/>
          <w:szCs w:val="21"/>
          <w:lang w:eastAsia="zh-CN"/>
        </w:rPr>
        <w:t>）</w:t>
      </w:r>
      <w:r>
        <w:rPr>
          <w:rFonts w:hint="eastAsia" w:ascii="宋体" w:hAnsi="宋体" w:eastAsia="宋体" w:cs="宋体"/>
          <w:color w:val="auto"/>
          <w:kern w:val="28"/>
          <w:sz w:val="21"/>
          <w:szCs w:val="21"/>
        </w:rPr>
        <w:t>相关要求：</w:t>
      </w:r>
      <w:r>
        <w:rPr>
          <w:rFonts w:hint="eastAsia" w:ascii="宋体" w:hAnsi="宋体" w:eastAsia="宋体" w:cs="宋体"/>
          <w:color w:val="auto"/>
          <w:kern w:val="0"/>
          <w:sz w:val="21"/>
          <w:szCs w:val="21"/>
        </w:rPr>
        <w:t>停车位收费标准严格按照</w:t>
      </w:r>
      <w:r>
        <w:rPr>
          <w:rFonts w:hint="eastAsia" w:ascii="宋体" w:hAnsi="宋体" w:eastAsia="宋体" w:cs="宋体"/>
          <w:color w:val="auto"/>
          <w:sz w:val="21"/>
          <w:szCs w:val="21"/>
        </w:rPr>
        <w:t>报区经发局批准</w:t>
      </w:r>
      <w:r>
        <w:rPr>
          <w:rFonts w:hint="eastAsia" w:ascii="宋体" w:hAnsi="宋体" w:eastAsia="宋体" w:cs="宋体"/>
          <w:color w:val="auto"/>
          <w:sz w:val="21"/>
          <w:szCs w:val="21"/>
          <w:lang w:eastAsia="zh-CN"/>
        </w:rPr>
        <w:t>的</w:t>
      </w:r>
      <w:r>
        <w:rPr>
          <w:rFonts w:hint="eastAsia" w:ascii="宋体" w:hAnsi="宋体" w:eastAsia="宋体" w:cs="宋体"/>
          <w:color w:val="auto"/>
          <w:sz w:val="21"/>
          <w:szCs w:val="21"/>
          <w:lang w:val="en-US" w:eastAsia="zh-CN"/>
        </w:rPr>
        <w:t>相关文件执行</w:t>
      </w:r>
      <w:r>
        <w:rPr>
          <w:rFonts w:hint="eastAsia" w:ascii="宋体" w:hAnsi="宋体" w:eastAsia="宋体" w:cs="宋体"/>
          <w:color w:val="auto"/>
          <w:kern w:val="0"/>
          <w:sz w:val="21"/>
          <w:szCs w:val="21"/>
        </w:rPr>
        <w:t>。</w:t>
      </w:r>
    </w:p>
    <w:p w14:paraId="4B5AC96C">
      <w:pPr>
        <w:keepNext w:val="0"/>
        <w:keepLines w:val="0"/>
        <w:pageBreakBefore w:val="0"/>
        <w:numPr>
          <w:ilvl w:val="0"/>
          <w:numId w:val="4"/>
        </w:numPr>
        <w:kinsoku/>
        <w:wordWrap/>
        <w:topLinePunct w:val="0"/>
        <w:bidi w:val="0"/>
        <w:snapToGrid/>
        <w:spacing w:line="460" w:lineRule="exact"/>
        <w:outlineLvl w:val="2"/>
        <w:rPr>
          <w:color w:val="auto"/>
        </w:rPr>
      </w:pPr>
      <w:r>
        <w:rPr>
          <w:rFonts w:hint="eastAsia"/>
          <w:b/>
          <w:bCs/>
          <w:color w:val="auto"/>
        </w:rPr>
        <w:t>建设</w:t>
      </w:r>
      <w:r>
        <w:rPr>
          <w:rFonts w:hint="eastAsia" w:ascii="宋体" w:hAnsi="宋体" w:eastAsia="宋体" w:cs="宋体"/>
          <w:b/>
          <w:bCs/>
          <w:color w:val="auto"/>
          <w:kern w:val="0"/>
          <w:sz w:val="21"/>
          <w:szCs w:val="21"/>
        </w:rPr>
        <w:t>内容</w:t>
      </w:r>
    </w:p>
    <w:p w14:paraId="1CA31FF4">
      <w:pPr>
        <w:keepNext w:val="0"/>
        <w:keepLines w:val="0"/>
        <w:pageBreakBefore w:val="0"/>
        <w:kinsoku/>
        <w:wordWrap/>
        <w:topLinePunct w:val="0"/>
        <w:bidi w:val="0"/>
        <w:snapToGrid/>
        <w:spacing w:line="460" w:lineRule="exact"/>
        <w:ind w:firstLine="420" w:firstLineChars="200"/>
        <w:rPr>
          <w:color w:val="auto"/>
        </w:rPr>
      </w:pPr>
      <w:r>
        <w:rPr>
          <w:rFonts w:hint="eastAsia"/>
          <w:color w:val="auto"/>
        </w:rPr>
        <w:t>智慧停车项目总体建设内容可概括为一个中心、四个平台：</w:t>
      </w:r>
    </w:p>
    <w:p w14:paraId="3F6EAA64">
      <w:pPr>
        <w:pStyle w:val="25"/>
        <w:keepNext w:val="0"/>
        <w:keepLines w:val="0"/>
        <w:pageBreakBefore w:val="0"/>
        <w:numPr>
          <w:ilvl w:val="0"/>
          <w:numId w:val="8"/>
        </w:numPr>
        <w:kinsoku/>
        <w:wordWrap/>
        <w:topLinePunct w:val="0"/>
        <w:bidi w:val="0"/>
        <w:snapToGrid/>
        <w:spacing w:line="460" w:lineRule="exact"/>
        <w:rPr>
          <w:color w:val="auto"/>
        </w:rPr>
      </w:pPr>
      <w:r>
        <w:rPr>
          <w:rFonts w:hint="eastAsia"/>
          <w:color w:val="auto"/>
        </w:rPr>
        <w:t>一个中心</w:t>
      </w:r>
    </w:p>
    <w:p w14:paraId="65339E4A">
      <w:pPr>
        <w:keepNext w:val="0"/>
        <w:keepLines w:val="0"/>
        <w:pageBreakBefore w:val="0"/>
        <w:kinsoku/>
        <w:wordWrap/>
        <w:topLinePunct w:val="0"/>
        <w:bidi w:val="0"/>
        <w:snapToGrid/>
        <w:spacing w:line="460" w:lineRule="exact"/>
        <w:ind w:firstLine="420" w:firstLineChars="200"/>
        <w:rPr>
          <w:color w:val="auto"/>
        </w:rPr>
      </w:pPr>
      <w:r>
        <w:rPr>
          <w:rFonts w:hint="eastAsia"/>
          <w:color w:val="auto"/>
        </w:rPr>
        <w:t>智慧停车监控中心：将数据和功能聚合后可实现在一个大屏下统一监控所有停车资源，如停车场监控、车位监控、设备监控、停车实况监控、违章监控、财务收入、运营分析等。</w:t>
      </w:r>
    </w:p>
    <w:p w14:paraId="66DDF240">
      <w:pPr>
        <w:pStyle w:val="25"/>
        <w:keepNext w:val="0"/>
        <w:keepLines w:val="0"/>
        <w:pageBreakBefore w:val="0"/>
        <w:numPr>
          <w:ilvl w:val="0"/>
          <w:numId w:val="8"/>
        </w:numPr>
        <w:kinsoku/>
        <w:wordWrap/>
        <w:topLinePunct w:val="0"/>
        <w:bidi w:val="0"/>
        <w:snapToGrid/>
        <w:spacing w:line="460" w:lineRule="exact"/>
        <w:rPr>
          <w:color w:val="auto"/>
        </w:rPr>
      </w:pPr>
      <w:r>
        <w:rPr>
          <w:rFonts w:hint="eastAsia"/>
          <w:color w:val="auto"/>
        </w:rPr>
        <w:t>四个平台</w:t>
      </w:r>
    </w:p>
    <w:p w14:paraId="5EAD053C">
      <w:pPr>
        <w:pStyle w:val="23"/>
        <w:keepNext w:val="0"/>
        <w:keepLines w:val="0"/>
        <w:pageBreakBefore w:val="0"/>
        <w:numPr>
          <w:ilvl w:val="0"/>
          <w:numId w:val="0"/>
        </w:numPr>
        <w:kinsoku/>
        <w:wordWrap/>
        <w:topLinePunct w:val="0"/>
        <w:bidi w:val="0"/>
        <w:snapToGrid/>
        <w:spacing w:line="460" w:lineRule="exact"/>
        <w:ind w:firstLine="420" w:firstLineChars="200"/>
        <w:rPr>
          <w:color w:val="auto"/>
        </w:rPr>
      </w:pPr>
      <w:r>
        <w:rPr>
          <w:rFonts w:hint="eastAsia"/>
          <w:color w:val="auto"/>
          <w:lang w:val="en-US" w:eastAsia="zh-CN"/>
        </w:rPr>
        <w:t>1、</w:t>
      </w:r>
      <w:r>
        <w:rPr>
          <w:rFonts w:hint="eastAsia"/>
          <w:color w:val="auto"/>
        </w:rPr>
        <w:t>智慧路内停车平台：实现路内停车管理及运营。</w:t>
      </w:r>
    </w:p>
    <w:p w14:paraId="7C0F9672">
      <w:pPr>
        <w:pStyle w:val="23"/>
        <w:keepNext w:val="0"/>
        <w:keepLines w:val="0"/>
        <w:pageBreakBefore w:val="0"/>
        <w:numPr>
          <w:ilvl w:val="0"/>
          <w:numId w:val="0"/>
        </w:numPr>
        <w:kinsoku/>
        <w:wordWrap/>
        <w:topLinePunct w:val="0"/>
        <w:bidi w:val="0"/>
        <w:snapToGrid/>
        <w:spacing w:line="460" w:lineRule="exact"/>
        <w:ind w:firstLine="420" w:firstLineChars="200"/>
        <w:rPr>
          <w:color w:val="auto"/>
        </w:rPr>
      </w:pPr>
      <w:r>
        <w:rPr>
          <w:rFonts w:hint="eastAsia"/>
          <w:color w:val="auto"/>
          <w:lang w:val="en-US" w:eastAsia="zh-CN"/>
        </w:rPr>
        <w:t>2、</w:t>
      </w:r>
      <w:r>
        <w:rPr>
          <w:rFonts w:hint="eastAsia"/>
          <w:color w:val="auto"/>
        </w:rPr>
        <w:t>用户公共服务平台：将平台能力汇聚，为用户提供入口服务，包括自助停车、自助缴费、车位查询导航等服务。</w:t>
      </w:r>
    </w:p>
    <w:p w14:paraId="6774C213">
      <w:pPr>
        <w:pStyle w:val="23"/>
        <w:keepNext w:val="0"/>
        <w:keepLines w:val="0"/>
        <w:pageBreakBefore w:val="0"/>
        <w:numPr>
          <w:ilvl w:val="0"/>
          <w:numId w:val="0"/>
        </w:numPr>
        <w:kinsoku/>
        <w:wordWrap/>
        <w:topLinePunct w:val="0"/>
        <w:bidi w:val="0"/>
        <w:snapToGrid/>
        <w:spacing w:line="460" w:lineRule="exact"/>
        <w:ind w:firstLine="420" w:firstLineChars="200"/>
        <w:rPr>
          <w:rFonts w:hint="eastAsia"/>
          <w:color w:val="auto"/>
        </w:rPr>
      </w:pPr>
      <w:r>
        <w:rPr>
          <w:rFonts w:hint="eastAsia"/>
          <w:color w:val="auto"/>
          <w:lang w:val="en-US" w:eastAsia="zh-CN"/>
        </w:rPr>
        <w:t>3、</w:t>
      </w:r>
      <w:r>
        <w:rPr>
          <w:rFonts w:hint="eastAsia"/>
          <w:color w:val="auto"/>
        </w:rPr>
        <w:t>停车场管理平台：实现停车场无人值守运营及管；</w:t>
      </w:r>
    </w:p>
    <w:p w14:paraId="2737390F">
      <w:pPr>
        <w:pStyle w:val="23"/>
        <w:keepNext w:val="0"/>
        <w:keepLines w:val="0"/>
        <w:pageBreakBefore w:val="0"/>
        <w:numPr>
          <w:ilvl w:val="0"/>
          <w:numId w:val="0"/>
        </w:numPr>
        <w:kinsoku/>
        <w:wordWrap/>
        <w:topLinePunct w:val="0"/>
        <w:bidi w:val="0"/>
        <w:snapToGrid/>
        <w:spacing w:line="460" w:lineRule="exact"/>
        <w:ind w:firstLine="420" w:firstLineChars="200"/>
        <w:rPr>
          <w:rFonts w:hint="eastAsia"/>
          <w:color w:val="auto"/>
        </w:rPr>
      </w:pPr>
      <w:r>
        <w:rPr>
          <w:rFonts w:hint="eastAsia"/>
          <w:color w:val="auto"/>
          <w:lang w:val="en-US" w:eastAsia="zh-CN"/>
        </w:rPr>
        <w:t>4、</w:t>
      </w:r>
      <w:r>
        <w:rPr>
          <w:rFonts w:hint="eastAsia"/>
          <w:color w:val="auto"/>
        </w:rPr>
        <w:t>运维管理平台：将停车数据统一接入，实现统一管理、统一考勤、精准识别和处理。</w:t>
      </w:r>
    </w:p>
    <w:p w14:paraId="15B2CDF8">
      <w:pPr>
        <w:keepNext w:val="0"/>
        <w:keepLines w:val="0"/>
        <w:pageBreakBefore w:val="0"/>
        <w:numPr>
          <w:ilvl w:val="0"/>
          <w:numId w:val="9"/>
        </w:numPr>
        <w:kinsoku/>
        <w:wordWrap/>
        <w:topLinePunct w:val="0"/>
        <w:bidi w:val="0"/>
        <w:snapToGrid/>
        <w:spacing w:line="460" w:lineRule="exact"/>
        <w:ind w:left="0" w:leftChars="0" w:firstLine="420" w:firstLineChars="0"/>
        <w:outlineLvl w:val="9"/>
        <w:rPr>
          <w:rFonts w:hint="eastAsia"/>
          <w:b/>
          <w:bCs/>
          <w:color w:val="auto"/>
        </w:rPr>
      </w:pPr>
      <w:r>
        <w:rPr>
          <w:rFonts w:hint="eastAsia"/>
          <w:b/>
          <w:bCs/>
          <w:color w:val="auto"/>
        </w:rPr>
        <w:t>智慧停车监控中心</w:t>
      </w:r>
    </w:p>
    <w:p w14:paraId="4F15F286">
      <w:pPr>
        <w:keepNext w:val="0"/>
        <w:keepLines w:val="0"/>
        <w:pageBreakBefore w:val="0"/>
        <w:kinsoku/>
        <w:wordWrap/>
        <w:topLinePunct w:val="0"/>
        <w:bidi w:val="0"/>
        <w:snapToGrid/>
        <w:spacing w:line="460" w:lineRule="exact"/>
        <w:ind w:firstLine="420" w:firstLineChars="200"/>
        <w:outlineLvl w:val="9"/>
        <w:rPr>
          <w:rFonts w:hint="eastAsia"/>
          <w:color w:val="auto"/>
        </w:rPr>
      </w:pPr>
      <w:r>
        <w:rPr>
          <w:rFonts w:hint="eastAsia"/>
          <w:color w:val="auto"/>
        </w:rPr>
        <w:t>实现数据和功能聚合，可以建立大屏监控中心，停车平台将数据流同步到大屏设备。</w:t>
      </w:r>
    </w:p>
    <w:p w14:paraId="77104A7C">
      <w:pPr>
        <w:keepNext w:val="0"/>
        <w:keepLines w:val="0"/>
        <w:pageBreakBefore w:val="0"/>
        <w:numPr>
          <w:ilvl w:val="0"/>
          <w:numId w:val="0"/>
        </w:numPr>
        <w:kinsoku/>
        <w:wordWrap/>
        <w:topLinePunct w:val="0"/>
        <w:bidi w:val="0"/>
        <w:snapToGrid/>
        <w:spacing w:line="460" w:lineRule="exact"/>
        <w:ind w:leftChars="0" w:firstLine="420" w:firstLineChars="200"/>
        <w:rPr>
          <w:rFonts w:hint="eastAsia"/>
          <w:color w:val="auto"/>
        </w:rPr>
      </w:pPr>
      <w:r>
        <w:rPr>
          <w:rFonts w:hint="eastAsia"/>
          <w:color w:val="auto"/>
          <w:lang w:val="en-US" w:eastAsia="zh-CN"/>
        </w:rPr>
        <w:t>1、</w:t>
      </w:r>
      <w:r>
        <w:rPr>
          <w:rFonts w:hint="eastAsia"/>
          <w:color w:val="auto"/>
        </w:rPr>
        <w:t>大数据可视化看板应用展示</w:t>
      </w:r>
    </w:p>
    <w:p w14:paraId="4BCB1CEA">
      <w:pPr>
        <w:keepNext w:val="0"/>
        <w:keepLines w:val="0"/>
        <w:pageBreakBefore w:val="0"/>
        <w:kinsoku/>
        <w:wordWrap/>
        <w:topLinePunct w:val="0"/>
        <w:bidi w:val="0"/>
        <w:snapToGrid/>
        <w:spacing w:line="460" w:lineRule="exact"/>
        <w:ind w:firstLine="420" w:firstLineChars="200"/>
        <w:rPr>
          <w:rFonts w:hint="eastAsia"/>
          <w:color w:val="auto"/>
        </w:rPr>
      </w:pPr>
      <w:r>
        <w:rPr>
          <w:rFonts w:hint="eastAsia"/>
          <w:color w:val="auto"/>
        </w:rPr>
        <w:t>大屏首页可视化看板展示首选车位分布显示、车位使用率显示、车位动态显示、车辆入库记录显示、当天财务收入和累计财务收入显示、区域切换。</w:t>
      </w:r>
    </w:p>
    <w:p w14:paraId="74B40FE0">
      <w:pPr>
        <w:keepNext w:val="0"/>
        <w:keepLines w:val="0"/>
        <w:pageBreakBefore w:val="0"/>
        <w:numPr>
          <w:ilvl w:val="0"/>
          <w:numId w:val="0"/>
        </w:numPr>
        <w:kinsoku/>
        <w:wordWrap/>
        <w:topLinePunct w:val="0"/>
        <w:bidi w:val="0"/>
        <w:snapToGrid/>
        <w:spacing w:line="460" w:lineRule="exact"/>
        <w:ind w:leftChars="0" w:firstLine="420" w:firstLineChars="200"/>
        <w:rPr>
          <w:rFonts w:hint="eastAsia"/>
          <w:color w:val="auto"/>
        </w:rPr>
      </w:pPr>
      <w:r>
        <w:rPr>
          <w:rFonts w:hint="eastAsia"/>
          <w:color w:val="auto"/>
          <w:lang w:val="en-US" w:eastAsia="zh-CN"/>
        </w:rPr>
        <w:t>2、</w:t>
      </w:r>
      <w:r>
        <w:rPr>
          <w:rFonts w:hint="eastAsia"/>
          <w:color w:val="auto"/>
        </w:rPr>
        <w:t>停车业务数据应用展示</w:t>
      </w:r>
    </w:p>
    <w:p w14:paraId="7C7B2183">
      <w:pPr>
        <w:keepNext w:val="0"/>
        <w:keepLines w:val="0"/>
        <w:pageBreakBefore w:val="0"/>
        <w:kinsoku/>
        <w:wordWrap/>
        <w:topLinePunct w:val="0"/>
        <w:bidi w:val="0"/>
        <w:snapToGrid/>
        <w:spacing w:line="460" w:lineRule="exact"/>
        <w:ind w:firstLine="420" w:firstLineChars="200"/>
        <w:rPr>
          <w:rFonts w:hint="eastAsia"/>
          <w:color w:val="auto"/>
        </w:rPr>
      </w:pPr>
      <w:r>
        <w:rPr>
          <w:rFonts w:hint="eastAsia"/>
          <w:color w:val="auto"/>
        </w:rPr>
        <w:t>在地图中展示路内泊位、停车场泊位、充电桩等的分布，使用城市停车一张图，展示各类停车业务热点使用分布状态，实时展示空闲泊位数，以颜色区分繁忙程度，展示各类停车维度的停车次数统计、消费金额统计。</w:t>
      </w:r>
    </w:p>
    <w:p w14:paraId="48C35A0D">
      <w:pPr>
        <w:keepNext w:val="0"/>
        <w:keepLines w:val="0"/>
        <w:pageBreakBefore w:val="0"/>
        <w:numPr>
          <w:ilvl w:val="0"/>
          <w:numId w:val="0"/>
        </w:numPr>
        <w:kinsoku/>
        <w:wordWrap/>
        <w:topLinePunct w:val="0"/>
        <w:bidi w:val="0"/>
        <w:snapToGrid/>
        <w:spacing w:line="460" w:lineRule="exact"/>
        <w:ind w:leftChars="0" w:firstLine="420" w:firstLineChars="200"/>
        <w:rPr>
          <w:rFonts w:hint="eastAsia"/>
          <w:color w:val="auto"/>
        </w:rPr>
      </w:pPr>
      <w:r>
        <w:rPr>
          <w:rFonts w:hint="eastAsia"/>
          <w:color w:val="auto"/>
          <w:lang w:val="en-US" w:eastAsia="zh-CN"/>
        </w:rPr>
        <w:t>3、</w:t>
      </w:r>
      <w:r>
        <w:rPr>
          <w:rFonts w:hint="eastAsia"/>
          <w:color w:val="auto"/>
        </w:rPr>
        <w:t>停车数据分析结果展示</w:t>
      </w:r>
    </w:p>
    <w:p w14:paraId="1495E61B">
      <w:pPr>
        <w:keepNext w:val="0"/>
        <w:keepLines w:val="0"/>
        <w:pageBreakBefore w:val="0"/>
        <w:kinsoku/>
        <w:wordWrap/>
        <w:topLinePunct w:val="0"/>
        <w:bidi w:val="0"/>
        <w:snapToGrid/>
        <w:spacing w:line="460" w:lineRule="exact"/>
        <w:ind w:firstLine="420" w:firstLineChars="200"/>
        <w:rPr>
          <w:rFonts w:hint="eastAsia"/>
          <w:color w:val="auto"/>
        </w:rPr>
      </w:pPr>
      <w:r>
        <w:rPr>
          <w:rFonts w:hint="eastAsia"/>
          <w:color w:val="auto"/>
        </w:rPr>
        <w:t>展示泊位饱和度饼图，泊位繁忙数展示。</w:t>
      </w:r>
    </w:p>
    <w:p w14:paraId="26E54B65">
      <w:pPr>
        <w:keepNext w:val="0"/>
        <w:keepLines w:val="0"/>
        <w:pageBreakBefore w:val="0"/>
        <w:kinsoku/>
        <w:wordWrap/>
        <w:topLinePunct w:val="0"/>
        <w:bidi w:val="0"/>
        <w:snapToGrid/>
        <w:spacing w:line="460" w:lineRule="exact"/>
        <w:ind w:firstLine="420" w:firstLineChars="200"/>
        <w:rPr>
          <w:rFonts w:hint="eastAsia"/>
          <w:color w:val="auto"/>
        </w:rPr>
      </w:pPr>
      <w:r>
        <w:rPr>
          <w:rFonts w:hint="eastAsia"/>
          <w:color w:val="auto"/>
        </w:rPr>
        <w:t>展示用户今日活跃数，昨日活跃数，累计用户数，活跃用户分时统计、日统计、月统计。</w:t>
      </w:r>
    </w:p>
    <w:p w14:paraId="21FE7D0F">
      <w:pPr>
        <w:keepNext w:val="0"/>
        <w:keepLines w:val="0"/>
        <w:pageBreakBefore w:val="0"/>
        <w:kinsoku/>
        <w:wordWrap/>
        <w:topLinePunct w:val="0"/>
        <w:bidi w:val="0"/>
        <w:snapToGrid/>
        <w:spacing w:line="460" w:lineRule="exact"/>
        <w:ind w:firstLine="420" w:firstLineChars="200"/>
        <w:rPr>
          <w:rFonts w:hint="eastAsia"/>
          <w:color w:val="auto"/>
        </w:rPr>
      </w:pPr>
      <w:r>
        <w:rPr>
          <w:rFonts w:hint="eastAsia"/>
          <w:color w:val="auto"/>
        </w:rPr>
        <w:t>展示今日停车数，昨日停车数，累计停车数，停车次数分时统计、日统计、月统计图。</w:t>
      </w:r>
    </w:p>
    <w:p w14:paraId="5D5E340E">
      <w:pPr>
        <w:keepNext w:val="0"/>
        <w:keepLines w:val="0"/>
        <w:pageBreakBefore w:val="0"/>
        <w:kinsoku/>
        <w:wordWrap/>
        <w:topLinePunct w:val="0"/>
        <w:bidi w:val="0"/>
        <w:snapToGrid/>
        <w:spacing w:line="460" w:lineRule="exact"/>
        <w:ind w:firstLine="420" w:firstLineChars="200"/>
        <w:rPr>
          <w:rFonts w:hint="eastAsia"/>
          <w:color w:val="auto"/>
        </w:rPr>
      </w:pPr>
      <w:r>
        <w:rPr>
          <w:rFonts w:hint="eastAsia"/>
          <w:color w:val="auto"/>
        </w:rPr>
        <w:t>展示今日消费金额，昨日消费金额，累计消费金额，消费金额分时统计、日统计、月统计图。</w:t>
      </w:r>
    </w:p>
    <w:p w14:paraId="6CA19B82">
      <w:pPr>
        <w:keepNext w:val="0"/>
        <w:keepLines w:val="0"/>
        <w:pageBreakBefore w:val="0"/>
        <w:numPr>
          <w:ilvl w:val="0"/>
          <w:numId w:val="0"/>
        </w:numPr>
        <w:kinsoku/>
        <w:wordWrap/>
        <w:topLinePunct w:val="0"/>
        <w:bidi w:val="0"/>
        <w:snapToGrid/>
        <w:spacing w:line="460" w:lineRule="exact"/>
        <w:ind w:leftChars="0" w:firstLine="420" w:firstLineChars="200"/>
        <w:rPr>
          <w:rFonts w:hint="eastAsia"/>
          <w:color w:val="auto"/>
        </w:rPr>
      </w:pPr>
      <w:r>
        <w:rPr>
          <w:rFonts w:hint="eastAsia"/>
          <w:color w:val="auto"/>
          <w:lang w:val="en-US" w:eastAsia="zh-CN"/>
        </w:rPr>
        <w:t>4、</w:t>
      </w:r>
      <w:r>
        <w:rPr>
          <w:rFonts w:hint="eastAsia"/>
          <w:color w:val="auto"/>
        </w:rPr>
        <w:t>运营监测数据展示</w:t>
      </w:r>
    </w:p>
    <w:p w14:paraId="180F20DC">
      <w:pPr>
        <w:keepNext w:val="0"/>
        <w:keepLines w:val="0"/>
        <w:pageBreakBefore w:val="0"/>
        <w:kinsoku/>
        <w:wordWrap/>
        <w:topLinePunct w:val="0"/>
        <w:bidi w:val="0"/>
        <w:snapToGrid/>
        <w:spacing w:line="460" w:lineRule="exact"/>
        <w:ind w:firstLine="420" w:firstLineChars="200"/>
        <w:rPr>
          <w:rFonts w:hint="eastAsia"/>
          <w:color w:val="auto"/>
        </w:rPr>
      </w:pPr>
      <w:r>
        <w:rPr>
          <w:rFonts w:hint="eastAsia"/>
          <w:color w:val="auto"/>
        </w:rPr>
        <w:t>动态监测数据展示，动态预警数据展示。</w:t>
      </w:r>
    </w:p>
    <w:p w14:paraId="0C250AF9">
      <w:pPr>
        <w:keepNext w:val="0"/>
        <w:keepLines w:val="0"/>
        <w:pageBreakBefore w:val="0"/>
        <w:numPr>
          <w:ilvl w:val="0"/>
          <w:numId w:val="0"/>
        </w:numPr>
        <w:kinsoku/>
        <w:wordWrap/>
        <w:topLinePunct w:val="0"/>
        <w:bidi w:val="0"/>
        <w:snapToGrid/>
        <w:spacing w:line="460" w:lineRule="exact"/>
        <w:ind w:leftChars="0" w:firstLine="420" w:firstLineChars="200"/>
        <w:rPr>
          <w:rFonts w:hint="eastAsia"/>
          <w:color w:val="auto"/>
        </w:rPr>
      </w:pPr>
      <w:r>
        <w:rPr>
          <w:rFonts w:hint="eastAsia"/>
          <w:color w:val="auto"/>
          <w:lang w:val="en-US" w:eastAsia="zh-CN"/>
        </w:rPr>
        <w:t>5、</w:t>
      </w:r>
      <w:r>
        <w:rPr>
          <w:rFonts w:hint="eastAsia"/>
          <w:color w:val="auto"/>
        </w:rPr>
        <w:t>停车热力地图展示</w:t>
      </w:r>
    </w:p>
    <w:p w14:paraId="24C62839">
      <w:pPr>
        <w:keepNext w:val="0"/>
        <w:keepLines w:val="0"/>
        <w:pageBreakBefore w:val="0"/>
        <w:kinsoku/>
        <w:wordWrap/>
        <w:topLinePunct w:val="0"/>
        <w:bidi w:val="0"/>
        <w:snapToGrid/>
        <w:spacing w:line="460" w:lineRule="exact"/>
        <w:ind w:firstLine="420" w:firstLineChars="200"/>
        <w:rPr>
          <w:rFonts w:hint="eastAsia"/>
          <w:color w:val="auto"/>
        </w:rPr>
      </w:pPr>
      <w:r>
        <w:rPr>
          <w:rFonts w:hint="eastAsia"/>
          <w:color w:val="auto"/>
        </w:rPr>
        <w:t>停车实时热力图，泊位实时热力图，缴费情况热力分布。</w:t>
      </w:r>
    </w:p>
    <w:p w14:paraId="1B329967">
      <w:pPr>
        <w:keepNext w:val="0"/>
        <w:keepLines w:val="0"/>
        <w:pageBreakBefore w:val="0"/>
        <w:numPr>
          <w:ilvl w:val="0"/>
          <w:numId w:val="0"/>
        </w:numPr>
        <w:kinsoku/>
        <w:wordWrap/>
        <w:topLinePunct w:val="0"/>
        <w:bidi w:val="0"/>
        <w:snapToGrid/>
        <w:spacing w:line="460" w:lineRule="exact"/>
        <w:ind w:leftChars="0" w:firstLine="420" w:firstLineChars="200"/>
        <w:rPr>
          <w:rFonts w:hint="eastAsia"/>
          <w:color w:val="auto"/>
        </w:rPr>
      </w:pPr>
      <w:r>
        <w:rPr>
          <w:rFonts w:hint="eastAsia"/>
          <w:color w:val="auto"/>
          <w:lang w:val="en-US" w:eastAsia="zh-CN"/>
        </w:rPr>
        <w:t>6、</w:t>
      </w:r>
      <w:r>
        <w:rPr>
          <w:rFonts w:hint="eastAsia"/>
          <w:color w:val="auto"/>
        </w:rPr>
        <w:t>停车异常行为展示</w:t>
      </w:r>
    </w:p>
    <w:p w14:paraId="54F8704E">
      <w:pPr>
        <w:keepNext w:val="0"/>
        <w:keepLines w:val="0"/>
        <w:pageBreakBefore w:val="0"/>
        <w:kinsoku/>
        <w:wordWrap/>
        <w:topLinePunct w:val="0"/>
        <w:bidi w:val="0"/>
        <w:snapToGrid/>
        <w:spacing w:line="460" w:lineRule="exact"/>
        <w:ind w:firstLine="420" w:firstLineChars="200"/>
        <w:rPr>
          <w:rFonts w:hint="eastAsia"/>
          <w:color w:val="auto"/>
        </w:rPr>
      </w:pPr>
      <w:r>
        <w:rPr>
          <w:rFonts w:hint="eastAsia"/>
          <w:color w:val="auto"/>
        </w:rPr>
        <w:t>异常订单道路统计，停车异常车辆统计，异常数据展示。</w:t>
      </w:r>
    </w:p>
    <w:p w14:paraId="0BF6BE09">
      <w:pPr>
        <w:keepNext w:val="0"/>
        <w:keepLines w:val="0"/>
        <w:pageBreakBefore w:val="0"/>
        <w:numPr>
          <w:ilvl w:val="0"/>
          <w:numId w:val="0"/>
        </w:numPr>
        <w:kinsoku/>
        <w:wordWrap/>
        <w:topLinePunct w:val="0"/>
        <w:bidi w:val="0"/>
        <w:snapToGrid/>
        <w:spacing w:line="460" w:lineRule="exact"/>
        <w:ind w:leftChars="0" w:firstLine="420" w:firstLineChars="200"/>
        <w:rPr>
          <w:rFonts w:hint="eastAsia"/>
          <w:color w:val="auto"/>
        </w:rPr>
      </w:pPr>
      <w:r>
        <w:rPr>
          <w:rFonts w:hint="eastAsia"/>
          <w:color w:val="auto"/>
          <w:lang w:val="en-US" w:eastAsia="zh-CN"/>
        </w:rPr>
        <w:t>7、</w:t>
      </w:r>
      <w:r>
        <w:rPr>
          <w:rFonts w:hint="eastAsia"/>
          <w:color w:val="auto"/>
        </w:rPr>
        <w:t>车辆布控</w:t>
      </w:r>
    </w:p>
    <w:p w14:paraId="551191EF">
      <w:pPr>
        <w:keepNext w:val="0"/>
        <w:keepLines w:val="0"/>
        <w:pageBreakBefore w:val="0"/>
        <w:kinsoku/>
        <w:wordWrap/>
        <w:topLinePunct w:val="0"/>
        <w:bidi w:val="0"/>
        <w:snapToGrid/>
        <w:spacing w:line="460" w:lineRule="exact"/>
        <w:ind w:firstLine="420" w:firstLineChars="200"/>
        <w:rPr>
          <w:rFonts w:hint="eastAsia"/>
          <w:color w:val="auto"/>
        </w:rPr>
      </w:pPr>
      <w:r>
        <w:rPr>
          <w:rFonts w:hint="eastAsia"/>
          <w:color w:val="auto"/>
        </w:rPr>
        <w:t>支持发布布控信息，展示布控记录，查看布控车辆档案。</w:t>
      </w:r>
    </w:p>
    <w:p w14:paraId="45B43D93">
      <w:pPr>
        <w:keepNext w:val="0"/>
        <w:keepLines w:val="0"/>
        <w:pageBreakBefore w:val="0"/>
        <w:kinsoku/>
        <w:wordWrap/>
        <w:topLinePunct w:val="0"/>
        <w:bidi w:val="0"/>
        <w:snapToGrid/>
        <w:spacing w:line="460" w:lineRule="exact"/>
        <w:ind w:firstLine="420" w:firstLineChars="200"/>
        <w:rPr>
          <w:rFonts w:hint="eastAsia"/>
          <w:color w:val="auto"/>
        </w:rPr>
      </w:pPr>
      <w:r>
        <w:rPr>
          <w:rFonts w:hint="eastAsia"/>
          <w:color w:val="auto"/>
        </w:rPr>
        <w:t>展示套牌预警记录，查看预警详细信息，查看车辆档案。</w:t>
      </w:r>
    </w:p>
    <w:p w14:paraId="650B683A">
      <w:pPr>
        <w:keepNext w:val="0"/>
        <w:keepLines w:val="0"/>
        <w:pageBreakBefore w:val="0"/>
        <w:kinsoku/>
        <w:wordWrap/>
        <w:topLinePunct w:val="0"/>
        <w:bidi w:val="0"/>
        <w:snapToGrid/>
        <w:spacing w:line="460" w:lineRule="exact"/>
        <w:ind w:firstLine="420" w:firstLineChars="200"/>
        <w:rPr>
          <w:rFonts w:hint="eastAsia"/>
          <w:color w:val="auto"/>
        </w:rPr>
      </w:pPr>
      <w:r>
        <w:rPr>
          <w:rFonts w:hint="eastAsia"/>
          <w:color w:val="auto"/>
        </w:rPr>
        <w:t>展示布控预警记录，查看预警详细信息，查看车辆档案。</w:t>
      </w:r>
    </w:p>
    <w:p w14:paraId="2A72D336">
      <w:pPr>
        <w:keepNext w:val="0"/>
        <w:keepLines w:val="0"/>
        <w:pageBreakBefore w:val="0"/>
        <w:numPr>
          <w:ilvl w:val="0"/>
          <w:numId w:val="9"/>
        </w:numPr>
        <w:kinsoku/>
        <w:wordWrap/>
        <w:topLinePunct w:val="0"/>
        <w:bidi w:val="0"/>
        <w:snapToGrid/>
        <w:spacing w:line="460" w:lineRule="exact"/>
        <w:ind w:left="0" w:leftChars="0" w:firstLine="420" w:firstLineChars="0"/>
        <w:outlineLvl w:val="9"/>
        <w:rPr>
          <w:rFonts w:hint="eastAsia"/>
          <w:b/>
          <w:bCs/>
          <w:color w:val="auto"/>
        </w:rPr>
      </w:pPr>
      <w:r>
        <w:rPr>
          <w:rFonts w:hint="eastAsia"/>
          <w:b/>
          <w:bCs/>
          <w:color w:val="auto"/>
        </w:rPr>
        <w:t>智慧停车大数据平台</w:t>
      </w:r>
    </w:p>
    <w:p w14:paraId="677E3335">
      <w:pPr>
        <w:keepNext w:val="0"/>
        <w:keepLines w:val="0"/>
        <w:pageBreakBefore w:val="0"/>
        <w:numPr>
          <w:ilvl w:val="0"/>
          <w:numId w:val="0"/>
        </w:numPr>
        <w:kinsoku/>
        <w:wordWrap/>
        <w:topLinePunct w:val="0"/>
        <w:bidi w:val="0"/>
        <w:snapToGrid/>
        <w:spacing w:line="460" w:lineRule="exact"/>
        <w:ind w:leftChars="0" w:firstLine="422" w:firstLineChars="200"/>
        <w:rPr>
          <w:rFonts w:hint="eastAsia"/>
          <w:b/>
          <w:bCs/>
          <w:color w:val="auto"/>
        </w:rPr>
      </w:pPr>
      <w:r>
        <w:rPr>
          <w:rFonts w:hint="eastAsia"/>
          <w:b/>
          <w:bCs/>
          <w:color w:val="auto"/>
          <w:lang w:val="en-US" w:eastAsia="zh-CN"/>
        </w:rPr>
        <w:t>1、</w:t>
      </w:r>
      <w:r>
        <w:rPr>
          <w:rFonts w:hint="eastAsia"/>
          <w:b/>
          <w:bCs/>
          <w:color w:val="auto"/>
        </w:rPr>
        <w:t>停车数据接入系统</w:t>
      </w:r>
    </w:p>
    <w:p w14:paraId="3E0CC271">
      <w:pPr>
        <w:keepNext w:val="0"/>
        <w:keepLines w:val="0"/>
        <w:pageBreakBefore w:val="0"/>
        <w:kinsoku/>
        <w:wordWrap/>
        <w:topLinePunct w:val="0"/>
        <w:bidi w:val="0"/>
        <w:snapToGrid/>
        <w:spacing w:line="460" w:lineRule="exact"/>
        <w:ind w:firstLine="420" w:firstLineChars="200"/>
        <w:rPr>
          <w:rFonts w:hint="eastAsia"/>
          <w:color w:val="auto"/>
        </w:rPr>
      </w:pPr>
      <w:r>
        <w:rPr>
          <w:rFonts w:hint="eastAsia"/>
          <w:color w:val="auto"/>
        </w:rPr>
        <w:t>路内泊位的停车记录及剩余车位信息直接通过路内停车系统获取，需要对接的数据主要是路外停车场和前期已建设的原始设备，如前期路内建设信息采集终端设备、商业停车场、立体车库、事业单位停车场、住宅小区停车场等。经过智慧化改造的停车场，可以通过接口的方式将数据同步到共享平台，平台收到数据后统一汇总、存储、分析。</w:t>
      </w:r>
    </w:p>
    <w:p w14:paraId="7B13688D">
      <w:pPr>
        <w:keepNext w:val="0"/>
        <w:keepLines w:val="0"/>
        <w:pageBreakBefore w:val="0"/>
        <w:numPr>
          <w:ilvl w:val="0"/>
          <w:numId w:val="0"/>
        </w:numPr>
        <w:kinsoku/>
        <w:wordWrap/>
        <w:topLinePunct w:val="0"/>
        <w:bidi w:val="0"/>
        <w:snapToGrid/>
        <w:spacing w:line="460" w:lineRule="exact"/>
        <w:ind w:leftChars="0" w:firstLine="422" w:firstLineChars="200"/>
        <w:rPr>
          <w:rFonts w:hint="eastAsia"/>
          <w:b/>
          <w:bCs/>
          <w:color w:val="auto"/>
        </w:rPr>
      </w:pPr>
      <w:r>
        <w:rPr>
          <w:rFonts w:hint="eastAsia"/>
          <w:b/>
          <w:bCs/>
          <w:color w:val="auto"/>
          <w:lang w:val="en-US" w:eastAsia="zh-CN"/>
        </w:rPr>
        <w:t>2、</w:t>
      </w:r>
      <w:r>
        <w:rPr>
          <w:rFonts w:hint="eastAsia"/>
          <w:b/>
          <w:bCs/>
          <w:color w:val="auto"/>
        </w:rPr>
        <w:t>统一支付系统</w:t>
      </w:r>
    </w:p>
    <w:p w14:paraId="1E7E74F4">
      <w:pPr>
        <w:keepNext w:val="0"/>
        <w:keepLines w:val="0"/>
        <w:pageBreakBefore w:val="0"/>
        <w:kinsoku/>
        <w:wordWrap/>
        <w:topLinePunct w:val="0"/>
        <w:bidi w:val="0"/>
        <w:snapToGrid/>
        <w:spacing w:line="460" w:lineRule="exact"/>
        <w:ind w:firstLine="420" w:firstLineChars="200"/>
        <w:rPr>
          <w:rFonts w:hint="eastAsia"/>
          <w:color w:val="auto"/>
        </w:rPr>
      </w:pPr>
      <w:r>
        <w:rPr>
          <w:rFonts w:hint="eastAsia"/>
          <w:color w:val="auto"/>
        </w:rPr>
        <w:t>多渠道便捷支付，系统支持预付费或后付费，注册用户支持无感支付、ETC支付、App支付，未注册用户支持微信、支付宝或银联等方式。</w:t>
      </w:r>
    </w:p>
    <w:p w14:paraId="5BAA6E5D">
      <w:pPr>
        <w:keepNext w:val="0"/>
        <w:keepLines w:val="0"/>
        <w:pageBreakBefore w:val="0"/>
        <w:kinsoku/>
        <w:wordWrap/>
        <w:topLinePunct w:val="0"/>
        <w:bidi w:val="0"/>
        <w:snapToGrid/>
        <w:spacing w:line="460" w:lineRule="exact"/>
        <w:ind w:firstLine="420" w:firstLineChars="200"/>
        <w:rPr>
          <w:rFonts w:hint="eastAsia"/>
          <w:color w:val="auto"/>
          <w:lang w:eastAsia="zh-CN"/>
        </w:rPr>
      </w:pPr>
      <w:r>
        <w:rPr>
          <w:rFonts w:hint="eastAsia"/>
          <w:color w:val="auto"/>
        </w:rPr>
        <w:t>聚合支付作为一种支付、营销、管理等一体化的支付解决方案，在市场上悄然兴起，在发展到一定的程度，不仅仅满足了大部分的商户的需求，还拓展到更多的应用场景，所以聚合支付是一种趋势，是移动支付市场经过长期的发展和演变而成，成为当今主流的、具有发展潜力的支付方式。以微信免密支付为例，可以看到统一支付接入后，用户体验得到很好的提升</w:t>
      </w:r>
      <w:r>
        <w:rPr>
          <w:rFonts w:hint="eastAsia"/>
          <w:color w:val="auto"/>
          <w:lang w:eastAsia="zh-CN"/>
        </w:rPr>
        <w:t>。</w:t>
      </w:r>
    </w:p>
    <w:p w14:paraId="69547853">
      <w:pPr>
        <w:keepNext w:val="0"/>
        <w:keepLines w:val="0"/>
        <w:pageBreakBefore w:val="0"/>
        <w:numPr>
          <w:ilvl w:val="0"/>
          <w:numId w:val="0"/>
        </w:numPr>
        <w:kinsoku/>
        <w:wordWrap/>
        <w:topLinePunct w:val="0"/>
        <w:bidi w:val="0"/>
        <w:snapToGrid/>
        <w:spacing w:line="460" w:lineRule="exact"/>
        <w:ind w:leftChars="0" w:firstLine="422" w:firstLineChars="200"/>
        <w:rPr>
          <w:b/>
          <w:bCs/>
          <w:color w:val="auto"/>
        </w:rPr>
      </w:pPr>
      <w:r>
        <w:rPr>
          <w:rFonts w:hint="eastAsia"/>
          <w:b/>
          <w:bCs/>
          <w:color w:val="auto"/>
          <w:lang w:val="en-US" w:eastAsia="zh-CN"/>
        </w:rPr>
        <w:t>3、</w:t>
      </w:r>
      <w:r>
        <w:rPr>
          <w:rFonts w:hint="eastAsia"/>
          <w:b/>
          <w:bCs/>
          <w:color w:val="auto"/>
        </w:rPr>
        <w:t>智慧停车运营管理系统</w:t>
      </w:r>
    </w:p>
    <w:p w14:paraId="5B6A5CA2">
      <w:pPr>
        <w:pStyle w:val="25"/>
        <w:keepNext w:val="0"/>
        <w:keepLines w:val="0"/>
        <w:pageBreakBefore w:val="0"/>
        <w:numPr>
          <w:ilvl w:val="0"/>
          <w:numId w:val="8"/>
        </w:numPr>
        <w:kinsoku/>
        <w:wordWrap/>
        <w:topLinePunct w:val="0"/>
        <w:bidi w:val="0"/>
        <w:snapToGrid/>
        <w:spacing w:line="460" w:lineRule="exact"/>
        <w:rPr>
          <w:rFonts w:ascii="黑体" w:hAnsi="黑体" w:eastAsia="黑体"/>
          <w:b/>
          <w:bCs/>
          <w:color w:val="auto"/>
        </w:rPr>
      </w:pPr>
      <w:r>
        <w:rPr>
          <w:rFonts w:hint="eastAsia" w:ascii="黑体" w:hAnsi="黑体" w:eastAsia="黑体" w:cs="黑体"/>
          <w:b/>
          <w:bCs/>
          <w:color w:val="auto"/>
          <w:kern w:val="0"/>
          <w:szCs w:val="24"/>
        </w:rPr>
        <w:t>停车实时地图</w:t>
      </w:r>
    </w:p>
    <w:p w14:paraId="5E91A250">
      <w:pPr>
        <w:keepNext w:val="0"/>
        <w:keepLines w:val="0"/>
        <w:pageBreakBefore w:val="0"/>
        <w:kinsoku/>
        <w:wordWrap/>
        <w:topLinePunct w:val="0"/>
        <w:bidi w:val="0"/>
        <w:snapToGrid/>
        <w:spacing w:line="460" w:lineRule="exact"/>
        <w:ind w:firstLine="420" w:firstLineChars="200"/>
        <w:rPr>
          <w:color w:val="auto"/>
        </w:rPr>
      </w:pPr>
      <w:r>
        <w:rPr>
          <w:rFonts w:hint="eastAsia"/>
          <w:color w:val="auto"/>
        </w:rPr>
        <w:t>通过地图，全方位展示各路段实时停车情况。</w:t>
      </w:r>
    </w:p>
    <w:p w14:paraId="3A49A27B">
      <w:pPr>
        <w:keepNext w:val="0"/>
        <w:keepLines w:val="0"/>
        <w:pageBreakBefore w:val="0"/>
        <w:kinsoku/>
        <w:wordWrap/>
        <w:topLinePunct w:val="0"/>
        <w:bidi w:val="0"/>
        <w:snapToGrid/>
        <w:spacing w:line="460" w:lineRule="exact"/>
        <w:ind w:firstLine="420" w:firstLineChars="200"/>
        <w:rPr>
          <w:b w:val="0"/>
          <w:bCs w:val="0"/>
          <w:color w:val="auto"/>
        </w:rPr>
      </w:pPr>
      <w:r>
        <w:rPr>
          <w:rFonts w:hint="eastAsia"/>
          <w:b w:val="0"/>
          <w:bCs w:val="0"/>
          <w:color w:val="auto"/>
        </w:rPr>
        <w:t>数据概览：显示当前系统总泊位数、空闲泊位数、使用率、当天停车次数、收费金额等。</w:t>
      </w:r>
    </w:p>
    <w:p w14:paraId="59953BCC">
      <w:pPr>
        <w:keepNext w:val="0"/>
        <w:keepLines w:val="0"/>
        <w:pageBreakBefore w:val="0"/>
        <w:kinsoku/>
        <w:wordWrap/>
        <w:topLinePunct w:val="0"/>
        <w:bidi w:val="0"/>
        <w:snapToGrid/>
        <w:spacing w:line="460" w:lineRule="exact"/>
        <w:ind w:firstLine="420" w:firstLineChars="200"/>
        <w:rPr>
          <w:color w:val="auto"/>
        </w:rPr>
      </w:pPr>
      <w:r>
        <w:rPr>
          <w:rFonts w:hint="eastAsia"/>
          <w:b w:val="0"/>
          <w:bCs w:val="0"/>
          <w:color w:val="auto"/>
        </w:rPr>
        <w:t>停车情况：列</w:t>
      </w:r>
      <w:r>
        <w:rPr>
          <w:rFonts w:hint="eastAsia"/>
          <w:color w:val="auto"/>
        </w:rPr>
        <w:t>表展示各个停车场（路段）泊位使用情况，点击具体某个路段，可以在页面展示该路段的相关统计数据，如停车次数、收费金额、停车时长等，并在地图显示该路段具体位置。同时该路段的泊位直观展现在地图上，点击具体泊位可以查看当前泊位的详细信息，如泊位上有无车辆，如果有车可以显示泊位号、停车时长、车牌号码等信息。</w:t>
      </w:r>
    </w:p>
    <w:p w14:paraId="63A28A59">
      <w:pPr>
        <w:pStyle w:val="25"/>
        <w:keepNext w:val="0"/>
        <w:keepLines w:val="0"/>
        <w:pageBreakBefore w:val="0"/>
        <w:numPr>
          <w:ilvl w:val="0"/>
          <w:numId w:val="8"/>
        </w:numPr>
        <w:kinsoku/>
        <w:wordWrap/>
        <w:topLinePunct w:val="0"/>
        <w:bidi w:val="0"/>
        <w:snapToGrid/>
        <w:spacing w:line="460" w:lineRule="exact"/>
        <w:rPr>
          <w:rFonts w:ascii="黑体" w:hAnsi="黑体" w:eastAsia="黑体" w:cs="黑体"/>
          <w:b/>
          <w:bCs/>
          <w:color w:val="auto"/>
          <w:kern w:val="0"/>
          <w:szCs w:val="24"/>
        </w:rPr>
      </w:pPr>
      <w:r>
        <w:rPr>
          <w:rFonts w:hint="eastAsia" w:ascii="黑体" w:hAnsi="黑体" w:eastAsia="黑体" w:cs="黑体"/>
          <w:b/>
          <w:bCs/>
          <w:color w:val="auto"/>
          <w:kern w:val="0"/>
          <w:szCs w:val="24"/>
        </w:rPr>
        <w:t>停车订单管理</w:t>
      </w:r>
    </w:p>
    <w:p w14:paraId="7DBB991C">
      <w:pPr>
        <w:keepNext w:val="0"/>
        <w:keepLines w:val="0"/>
        <w:pageBreakBefore w:val="0"/>
        <w:kinsoku/>
        <w:wordWrap/>
        <w:topLinePunct w:val="0"/>
        <w:bidi w:val="0"/>
        <w:snapToGrid/>
        <w:spacing w:line="460" w:lineRule="exact"/>
        <w:ind w:firstLine="420" w:firstLineChars="200"/>
        <w:rPr>
          <w:rFonts w:hint="eastAsia"/>
          <w:b w:val="0"/>
          <w:bCs w:val="0"/>
          <w:color w:val="auto"/>
        </w:rPr>
      </w:pPr>
      <w:r>
        <w:rPr>
          <w:rFonts w:hint="eastAsia"/>
          <w:b w:val="0"/>
          <w:bCs w:val="0"/>
          <w:color w:val="auto"/>
        </w:rPr>
        <w:t>每次停车都会产生停车订单记录，系统支持按泊位号、用户手机号、停车时间等进行订单搜索。订单详细信息包含几个维度的信息。</w:t>
      </w:r>
    </w:p>
    <w:p w14:paraId="49B071AD">
      <w:pPr>
        <w:keepNext w:val="0"/>
        <w:keepLines w:val="0"/>
        <w:pageBreakBefore w:val="0"/>
        <w:kinsoku/>
        <w:wordWrap/>
        <w:topLinePunct w:val="0"/>
        <w:bidi w:val="0"/>
        <w:snapToGrid/>
        <w:spacing w:line="460" w:lineRule="exact"/>
        <w:ind w:firstLine="420" w:firstLineChars="200"/>
        <w:rPr>
          <w:rFonts w:hint="eastAsia"/>
          <w:b w:val="0"/>
          <w:bCs w:val="0"/>
          <w:color w:val="auto"/>
        </w:rPr>
      </w:pPr>
      <w:r>
        <w:rPr>
          <w:rFonts w:hint="eastAsia"/>
          <w:b w:val="0"/>
          <w:bCs w:val="0"/>
          <w:color w:val="auto"/>
        </w:rPr>
        <w:t>泊位维度：泊位号、所属路段、收费情况。</w:t>
      </w:r>
    </w:p>
    <w:p w14:paraId="6C7E95C4">
      <w:pPr>
        <w:keepNext w:val="0"/>
        <w:keepLines w:val="0"/>
        <w:pageBreakBefore w:val="0"/>
        <w:kinsoku/>
        <w:wordWrap/>
        <w:topLinePunct w:val="0"/>
        <w:bidi w:val="0"/>
        <w:snapToGrid/>
        <w:spacing w:line="460" w:lineRule="exact"/>
        <w:ind w:firstLine="420" w:firstLineChars="200"/>
        <w:rPr>
          <w:rFonts w:hint="eastAsia"/>
          <w:b w:val="0"/>
          <w:bCs w:val="0"/>
          <w:color w:val="auto"/>
        </w:rPr>
      </w:pPr>
      <w:r>
        <w:rPr>
          <w:rFonts w:hint="eastAsia"/>
          <w:b w:val="0"/>
          <w:bCs w:val="0"/>
          <w:color w:val="auto"/>
        </w:rPr>
        <w:t>用户维度：车牌号、手机号、创建方式。</w:t>
      </w:r>
    </w:p>
    <w:p w14:paraId="20AE6E2E">
      <w:pPr>
        <w:keepNext w:val="0"/>
        <w:keepLines w:val="0"/>
        <w:pageBreakBefore w:val="0"/>
        <w:kinsoku/>
        <w:wordWrap/>
        <w:topLinePunct w:val="0"/>
        <w:bidi w:val="0"/>
        <w:snapToGrid/>
        <w:spacing w:line="460" w:lineRule="exact"/>
        <w:ind w:firstLine="420" w:firstLineChars="200"/>
        <w:rPr>
          <w:rFonts w:hint="eastAsia"/>
          <w:b w:val="0"/>
          <w:bCs w:val="0"/>
          <w:color w:val="auto"/>
        </w:rPr>
      </w:pPr>
      <w:r>
        <w:rPr>
          <w:rFonts w:hint="eastAsia"/>
          <w:b w:val="0"/>
          <w:bCs w:val="0"/>
          <w:color w:val="auto"/>
        </w:rPr>
        <w:t>时间维度：驶入时间、停车申请时间、开始计费时间、结算时间、驶出时间。</w:t>
      </w:r>
    </w:p>
    <w:p w14:paraId="0BD4A5DE">
      <w:pPr>
        <w:keepNext w:val="0"/>
        <w:keepLines w:val="0"/>
        <w:pageBreakBefore w:val="0"/>
        <w:kinsoku/>
        <w:wordWrap/>
        <w:topLinePunct w:val="0"/>
        <w:bidi w:val="0"/>
        <w:snapToGrid/>
        <w:spacing w:line="460" w:lineRule="exact"/>
        <w:ind w:firstLine="420" w:firstLineChars="200"/>
        <w:rPr>
          <w:rFonts w:hint="eastAsia"/>
          <w:b w:val="0"/>
          <w:bCs w:val="0"/>
          <w:color w:val="auto"/>
        </w:rPr>
      </w:pPr>
      <w:r>
        <w:rPr>
          <w:rFonts w:hint="eastAsia"/>
          <w:b w:val="0"/>
          <w:bCs w:val="0"/>
          <w:color w:val="auto"/>
        </w:rPr>
        <w:t>巡检维度：巡检员信息、录入车牌信息、结算信息、上报信息照片等。</w:t>
      </w:r>
    </w:p>
    <w:p w14:paraId="47E35BA2">
      <w:pPr>
        <w:keepNext w:val="0"/>
        <w:keepLines w:val="0"/>
        <w:pageBreakBefore w:val="0"/>
        <w:kinsoku/>
        <w:wordWrap/>
        <w:topLinePunct w:val="0"/>
        <w:bidi w:val="0"/>
        <w:snapToGrid/>
        <w:spacing w:line="460" w:lineRule="exact"/>
        <w:ind w:firstLine="420" w:firstLineChars="200"/>
        <w:rPr>
          <w:rFonts w:hint="eastAsia"/>
          <w:b w:val="0"/>
          <w:bCs w:val="0"/>
          <w:color w:val="auto"/>
        </w:rPr>
      </w:pPr>
      <w:r>
        <w:rPr>
          <w:rFonts w:hint="eastAsia"/>
          <w:b w:val="0"/>
          <w:bCs w:val="0"/>
          <w:color w:val="auto"/>
        </w:rPr>
        <w:t>用户充值记录：记录用户通过APP、微信公众号、小程序等渠道的充值记录，如充值时间、金额等信息。</w:t>
      </w:r>
    </w:p>
    <w:p w14:paraId="15CEF451">
      <w:pPr>
        <w:keepNext w:val="0"/>
        <w:keepLines w:val="0"/>
        <w:pageBreakBefore w:val="0"/>
        <w:kinsoku/>
        <w:wordWrap/>
        <w:topLinePunct w:val="0"/>
        <w:bidi w:val="0"/>
        <w:snapToGrid/>
        <w:spacing w:line="460" w:lineRule="exact"/>
        <w:ind w:firstLine="420" w:firstLineChars="200"/>
        <w:rPr>
          <w:rFonts w:hint="eastAsia"/>
          <w:b w:val="0"/>
          <w:bCs w:val="0"/>
          <w:color w:val="auto"/>
        </w:rPr>
      </w:pPr>
      <w:r>
        <w:rPr>
          <w:rFonts w:hint="eastAsia"/>
          <w:b w:val="0"/>
          <w:bCs w:val="0"/>
          <w:color w:val="auto"/>
        </w:rPr>
        <w:t>用户消费记录：记录用户的消费记录信息，如在具体路段具体泊位消费了多少金额。</w:t>
      </w:r>
    </w:p>
    <w:p w14:paraId="0D4F4CBE">
      <w:pPr>
        <w:keepNext w:val="0"/>
        <w:keepLines w:val="0"/>
        <w:pageBreakBefore w:val="0"/>
        <w:kinsoku/>
        <w:wordWrap/>
        <w:topLinePunct w:val="0"/>
        <w:bidi w:val="0"/>
        <w:snapToGrid/>
        <w:spacing w:line="460" w:lineRule="exact"/>
        <w:ind w:firstLine="420" w:firstLineChars="200"/>
        <w:rPr>
          <w:color w:val="auto"/>
        </w:rPr>
      </w:pPr>
      <w:r>
        <w:rPr>
          <w:rFonts w:hint="eastAsia"/>
          <w:b w:val="0"/>
          <w:bCs w:val="0"/>
          <w:color w:val="auto"/>
        </w:rPr>
        <w:t>追缴</w:t>
      </w:r>
      <w:r>
        <w:rPr>
          <w:rFonts w:hint="eastAsia"/>
          <w:color w:val="auto"/>
        </w:rPr>
        <w:t>记录：巡检员对停车用户的欠费追缴记录。</w:t>
      </w:r>
    </w:p>
    <w:p w14:paraId="65BBFFFC">
      <w:pPr>
        <w:pStyle w:val="25"/>
        <w:keepNext w:val="0"/>
        <w:keepLines w:val="0"/>
        <w:pageBreakBefore w:val="0"/>
        <w:numPr>
          <w:ilvl w:val="0"/>
          <w:numId w:val="8"/>
        </w:numPr>
        <w:kinsoku/>
        <w:wordWrap/>
        <w:topLinePunct w:val="0"/>
        <w:bidi w:val="0"/>
        <w:snapToGrid/>
        <w:spacing w:line="460" w:lineRule="exact"/>
        <w:rPr>
          <w:rFonts w:ascii="黑体" w:hAnsi="黑体" w:eastAsia="黑体" w:cs="黑体"/>
          <w:b/>
          <w:bCs/>
          <w:color w:val="auto"/>
          <w:kern w:val="0"/>
          <w:szCs w:val="24"/>
        </w:rPr>
      </w:pPr>
      <w:r>
        <w:rPr>
          <w:rFonts w:hint="eastAsia" w:ascii="黑体" w:hAnsi="黑体" w:eastAsia="黑体" w:cs="黑体"/>
          <w:b/>
          <w:bCs/>
          <w:color w:val="auto"/>
          <w:kern w:val="0"/>
          <w:szCs w:val="24"/>
        </w:rPr>
        <w:t>后台数据维护</w:t>
      </w:r>
    </w:p>
    <w:p w14:paraId="2DF9036F">
      <w:pPr>
        <w:keepNext w:val="0"/>
        <w:keepLines w:val="0"/>
        <w:pageBreakBefore w:val="0"/>
        <w:kinsoku/>
        <w:wordWrap/>
        <w:topLinePunct w:val="0"/>
        <w:bidi w:val="0"/>
        <w:snapToGrid/>
        <w:spacing w:line="460" w:lineRule="exact"/>
        <w:ind w:firstLine="420" w:firstLineChars="200"/>
        <w:rPr>
          <w:rFonts w:hint="eastAsia"/>
          <w:b w:val="0"/>
          <w:bCs w:val="0"/>
          <w:color w:val="auto"/>
        </w:rPr>
      </w:pPr>
      <w:r>
        <w:rPr>
          <w:rFonts w:hint="eastAsia"/>
          <w:b w:val="0"/>
          <w:bCs w:val="0"/>
          <w:color w:val="auto"/>
        </w:rPr>
        <w:t>在后台进行相关数据管理，包含：</w:t>
      </w:r>
    </w:p>
    <w:p w14:paraId="2080C3B2">
      <w:pPr>
        <w:keepNext w:val="0"/>
        <w:keepLines w:val="0"/>
        <w:pageBreakBefore w:val="0"/>
        <w:kinsoku/>
        <w:wordWrap/>
        <w:topLinePunct w:val="0"/>
        <w:bidi w:val="0"/>
        <w:snapToGrid/>
        <w:spacing w:line="460" w:lineRule="exact"/>
        <w:ind w:firstLine="420" w:firstLineChars="200"/>
        <w:rPr>
          <w:rFonts w:hint="eastAsia"/>
          <w:b w:val="0"/>
          <w:bCs w:val="0"/>
          <w:color w:val="auto"/>
        </w:rPr>
      </w:pPr>
      <w:r>
        <w:rPr>
          <w:rFonts w:hint="eastAsia"/>
          <w:b w:val="0"/>
          <w:bCs w:val="0"/>
          <w:color w:val="auto"/>
        </w:rPr>
        <w:t>用户管理：用户管理是指管理平台注册的个人停车用户，主要是对用户进行查询和查看详情操作，系统也支持对某个用户账户进行停用和恢复。</w:t>
      </w:r>
    </w:p>
    <w:p w14:paraId="0E96D342">
      <w:pPr>
        <w:keepNext w:val="0"/>
        <w:keepLines w:val="0"/>
        <w:pageBreakBefore w:val="0"/>
        <w:kinsoku/>
        <w:wordWrap/>
        <w:topLinePunct w:val="0"/>
        <w:bidi w:val="0"/>
        <w:snapToGrid/>
        <w:spacing w:line="460" w:lineRule="exact"/>
        <w:ind w:firstLine="420" w:firstLineChars="200"/>
        <w:rPr>
          <w:rFonts w:hint="eastAsia"/>
          <w:b w:val="0"/>
          <w:bCs w:val="0"/>
          <w:color w:val="auto"/>
        </w:rPr>
      </w:pPr>
      <w:r>
        <w:rPr>
          <w:rFonts w:hint="eastAsia"/>
          <w:b w:val="0"/>
          <w:bCs w:val="0"/>
          <w:color w:val="auto"/>
        </w:rPr>
        <w:t>路段管理：对停车路段进行管理。每个路段可以单独设置收费策略，路段信息包括路段名称、所属行政区、道路名等，支持在地图进行标注，标注点即为停车场地图位置。</w:t>
      </w:r>
    </w:p>
    <w:p w14:paraId="170E2420">
      <w:pPr>
        <w:keepNext w:val="0"/>
        <w:keepLines w:val="0"/>
        <w:pageBreakBefore w:val="0"/>
        <w:kinsoku/>
        <w:wordWrap/>
        <w:topLinePunct w:val="0"/>
        <w:bidi w:val="0"/>
        <w:snapToGrid/>
        <w:spacing w:line="460" w:lineRule="exact"/>
        <w:ind w:firstLine="420" w:firstLineChars="200"/>
        <w:rPr>
          <w:rFonts w:hint="eastAsia"/>
          <w:b w:val="0"/>
          <w:bCs w:val="0"/>
          <w:color w:val="auto"/>
        </w:rPr>
      </w:pPr>
      <w:r>
        <w:rPr>
          <w:rFonts w:hint="eastAsia"/>
          <w:b w:val="0"/>
          <w:bCs w:val="0"/>
          <w:color w:val="auto"/>
        </w:rPr>
        <w:t>车位管理：对路段下具体车位进行管理，包括车位的新增、变化等；车位需要与设备进行一一对应。</w:t>
      </w:r>
    </w:p>
    <w:p w14:paraId="5115A927">
      <w:pPr>
        <w:keepNext w:val="0"/>
        <w:keepLines w:val="0"/>
        <w:pageBreakBefore w:val="0"/>
        <w:kinsoku/>
        <w:wordWrap/>
        <w:topLinePunct w:val="0"/>
        <w:bidi w:val="0"/>
        <w:snapToGrid/>
        <w:spacing w:line="460" w:lineRule="exact"/>
        <w:ind w:firstLine="420" w:firstLineChars="200"/>
        <w:rPr>
          <w:rFonts w:hint="eastAsia"/>
          <w:b w:val="0"/>
          <w:bCs w:val="0"/>
          <w:color w:val="auto"/>
        </w:rPr>
      </w:pPr>
      <w:r>
        <w:rPr>
          <w:rFonts w:hint="eastAsia"/>
          <w:b w:val="0"/>
          <w:bCs w:val="0"/>
          <w:color w:val="auto"/>
        </w:rPr>
        <w:t>停车费率设置：不同路段的收费存在差异，例如根据分类，重点路段、一类路段、二类路段收费各不相同，支持通过停车费率和计费策略两个维度灵活配置收费规则。</w:t>
      </w:r>
    </w:p>
    <w:p w14:paraId="61A01F80">
      <w:pPr>
        <w:keepNext w:val="0"/>
        <w:keepLines w:val="0"/>
        <w:pageBreakBefore w:val="0"/>
        <w:numPr>
          <w:ilvl w:val="0"/>
          <w:numId w:val="10"/>
        </w:numPr>
        <w:kinsoku/>
        <w:wordWrap/>
        <w:topLinePunct w:val="0"/>
        <w:bidi w:val="0"/>
        <w:snapToGrid/>
        <w:spacing w:line="460" w:lineRule="exact"/>
        <w:ind w:left="425" w:leftChars="0" w:hanging="425" w:firstLineChars="0"/>
        <w:rPr>
          <w:b/>
          <w:bCs/>
          <w:color w:val="auto"/>
        </w:rPr>
      </w:pPr>
      <w:r>
        <w:rPr>
          <w:rFonts w:hint="eastAsia"/>
          <w:b/>
          <w:bCs/>
          <w:color w:val="auto"/>
        </w:rPr>
        <w:t>停车大数据分析系统</w:t>
      </w:r>
    </w:p>
    <w:p w14:paraId="14F336D9">
      <w:pPr>
        <w:keepNext w:val="0"/>
        <w:keepLines w:val="0"/>
        <w:pageBreakBefore w:val="0"/>
        <w:kinsoku/>
        <w:wordWrap/>
        <w:topLinePunct w:val="0"/>
        <w:bidi w:val="0"/>
        <w:snapToGrid/>
        <w:spacing w:line="460" w:lineRule="exact"/>
        <w:ind w:firstLine="420" w:firstLineChars="200"/>
        <w:rPr>
          <w:rFonts w:hint="eastAsia" w:ascii="宋体" w:cs="宋体"/>
          <w:color w:val="auto"/>
          <w:kern w:val="0"/>
          <w:szCs w:val="24"/>
        </w:rPr>
      </w:pPr>
      <w:r>
        <w:rPr>
          <w:rFonts w:hint="eastAsia"/>
          <w:color w:val="auto"/>
        </w:rPr>
        <w:t>停车数据汇总后，将按照区域、停车场、时间等维度进行整理和分析，最终在地图上形成“城市停车一张图”。在图中可以看到各个停车场的历史空闲车位数、停车次数等。一方面，通过这些量化数据，实时分析出停车难度指数，通过该指数，进而从全局了解停车难易程度；另一方面可以发现不同类型停车场的停车规律，如事业单位停车场会有停车潮汐现象，晚间空闲较多，而住宅小区刚好相反，白天由于住户外出上班，空闲车位较多，而晚间停车位非常紧张。根据这</w:t>
      </w:r>
      <w:r>
        <w:rPr>
          <w:rFonts w:hint="eastAsia" w:ascii="宋体" w:cs="宋体"/>
          <w:color w:val="auto"/>
          <w:kern w:val="0"/>
          <w:szCs w:val="24"/>
        </w:rPr>
        <w:t>些数据所反映的停车情况，引导错峰停车。</w:t>
      </w:r>
    </w:p>
    <w:p w14:paraId="5CF1F1A3">
      <w:pPr>
        <w:keepNext w:val="0"/>
        <w:keepLines w:val="0"/>
        <w:pageBreakBefore w:val="0"/>
        <w:numPr>
          <w:ilvl w:val="0"/>
          <w:numId w:val="10"/>
        </w:numPr>
        <w:kinsoku/>
        <w:wordWrap/>
        <w:topLinePunct w:val="0"/>
        <w:bidi w:val="0"/>
        <w:snapToGrid/>
        <w:spacing w:line="460" w:lineRule="exact"/>
        <w:ind w:left="425" w:leftChars="0" w:hanging="425" w:firstLineChars="0"/>
        <w:rPr>
          <w:b/>
          <w:bCs/>
          <w:color w:val="auto"/>
        </w:rPr>
      </w:pPr>
      <w:r>
        <w:rPr>
          <w:rFonts w:hint="eastAsia"/>
          <w:b/>
          <w:bCs/>
          <w:color w:val="auto"/>
        </w:rPr>
        <w:t>大数据分析流程</w:t>
      </w:r>
    </w:p>
    <w:p w14:paraId="01191966">
      <w:pPr>
        <w:keepNext w:val="0"/>
        <w:keepLines w:val="0"/>
        <w:pageBreakBefore w:val="0"/>
        <w:kinsoku/>
        <w:wordWrap/>
        <w:topLinePunct w:val="0"/>
        <w:bidi w:val="0"/>
        <w:snapToGrid/>
        <w:spacing w:line="460" w:lineRule="exact"/>
        <w:ind w:firstLine="420" w:firstLineChars="200"/>
        <w:rPr>
          <w:rFonts w:hint="eastAsia" w:ascii="宋体" w:hAnsi="宋体"/>
          <w:color w:val="auto"/>
        </w:rPr>
      </w:pPr>
      <w:r>
        <w:rPr>
          <w:rFonts w:hint="eastAsia" w:ascii="宋体" w:hAnsi="宋体"/>
          <w:color w:val="auto"/>
        </w:rPr>
        <w:t>数据分析是基于商业目的，有目的的进行收集、整理、加工和分析数据，提炼有价信息的一个过程。其过程概括起来主要包括：明确分析目的与框架、数据收集、数据处理、数据分析、数据展现等</w:t>
      </w:r>
      <w:r>
        <w:rPr>
          <w:rFonts w:ascii="宋体" w:hAnsi="宋体" w:cs="TimesNewRomanPSMT"/>
          <w:color w:val="auto"/>
        </w:rPr>
        <w:t>5</w:t>
      </w:r>
      <w:r>
        <w:rPr>
          <w:rFonts w:hint="eastAsia" w:ascii="宋体" w:hAnsi="宋体" w:cs="TimesNewRomanPSMT"/>
          <w:color w:val="auto"/>
        </w:rPr>
        <w:t>个</w:t>
      </w:r>
      <w:r>
        <w:rPr>
          <w:rFonts w:hint="eastAsia" w:ascii="宋体" w:hAnsi="宋体"/>
          <w:color w:val="auto"/>
        </w:rPr>
        <w:t>阶段。</w:t>
      </w:r>
    </w:p>
    <w:p w14:paraId="6E13B14A">
      <w:pPr>
        <w:keepNext w:val="0"/>
        <w:keepLines w:val="0"/>
        <w:pageBreakBefore w:val="0"/>
        <w:numPr>
          <w:ilvl w:val="0"/>
          <w:numId w:val="10"/>
        </w:numPr>
        <w:kinsoku/>
        <w:wordWrap/>
        <w:topLinePunct w:val="0"/>
        <w:bidi w:val="0"/>
        <w:snapToGrid/>
        <w:spacing w:line="460" w:lineRule="exact"/>
        <w:ind w:left="425" w:leftChars="0" w:hanging="425" w:firstLineChars="0"/>
        <w:rPr>
          <w:b/>
          <w:bCs/>
          <w:color w:val="auto"/>
        </w:rPr>
      </w:pPr>
      <w:r>
        <w:rPr>
          <w:rFonts w:hint="eastAsia" w:ascii="Times New Roman" w:hAnsi="Times New Roman" w:eastAsia="宋体" w:cs="Times New Roman"/>
          <w:b/>
          <w:bCs/>
          <w:color w:val="auto"/>
          <w:kern w:val="2"/>
          <w:sz w:val="21"/>
          <w:szCs w:val="21"/>
          <w:lang w:val="en-US" w:eastAsia="zh-CN" w:bidi="ar-SA"/>
        </w:rPr>
        <w:t>数</w:t>
      </w:r>
      <w:r>
        <w:rPr>
          <w:rFonts w:hint="eastAsia"/>
          <w:b/>
          <w:bCs/>
          <w:color w:val="auto"/>
        </w:rPr>
        <w:t>据分析方法</w:t>
      </w:r>
    </w:p>
    <w:p w14:paraId="4EEAD5CC">
      <w:pPr>
        <w:keepNext w:val="0"/>
        <w:keepLines w:val="0"/>
        <w:pageBreakBefore w:val="0"/>
        <w:kinsoku/>
        <w:wordWrap/>
        <w:topLinePunct w:val="0"/>
        <w:bidi w:val="0"/>
        <w:snapToGrid/>
        <w:spacing w:line="460" w:lineRule="exact"/>
        <w:ind w:firstLine="420" w:firstLineChars="200"/>
        <w:rPr>
          <w:rFonts w:hint="eastAsia"/>
          <w:color w:val="auto"/>
        </w:rPr>
      </w:pPr>
      <w:r>
        <w:rPr>
          <w:rFonts w:hint="eastAsia"/>
          <w:color w:val="auto"/>
        </w:rPr>
        <w:t>以统计分析类的业务场景为例，针对大数据的处理主要经过采集、存储、校验、审核、汇总、计算、分析挖掘等过程，在数据粒度上，既要包逐笔的标准化源数据，还要包括不同层次的总量指标数据，从而实现对统计体系业务的全覆盖、无遗漏。</w:t>
      </w:r>
    </w:p>
    <w:p w14:paraId="43B26BBF">
      <w:pPr>
        <w:keepNext w:val="0"/>
        <w:keepLines w:val="0"/>
        <w:pageBreakBefore w:val="0"/>
        <w:numPr>
          <w:ilvl w:val="0"/>
          <w:numId w:val="9"/>
        </w:numPr>
        <w:kinsoku/>
        <w:wordWrap/>
        <w:topLinePunct w:val="0"/>
        <w:bidi w:val="0"/>
        <w:snapToGrid/>
        <w:spacing w:line="460" w:lineRule="exact"/>
        <w:ind w:left="0" w:leftChars="0" w:firstLine="420" w:firstLineChars="0"/>
        <w:outlineLvl w:val="9"/>
        <w:rPr>
          <w:rFonts w:hint="eastAsia"/>
          <w:b/>
          <w:bCs/>
          <w:color w:val="auto"/>
        </w:rPr>
      </w:pPr>
      <w:r>
        <w:rPr>
          <w:rFonts w:hint="eastAsia"/>
          <w:b/>
          <w:bCs/>
          <w:color w:val="auto"/>
        </w:rPr>
        <w:t>智慧停车平台</w:t>
      </w:r>
    </w:p>
    <w:p w14:paraId="32F536BC">
      <w:pPr>
        <w:keepNext w:val="0"/>
        <w:keepLines w:val="0"/>
        <w:pageBreakBefore w:val="0"/>
        <w:numPr>
          <w:ilvl w:val="0"/>
          <w:numId w:val="0"/>
        </w:numPr>
        <w:kinsoku/>
        <w:wordWrap/>
        <w:topLinePunct w:val="0"/>
        <w:bidi w:val="0"/>
        <w:snapToGrid/>
        <w:spacing w:line="460" w:lineRule="exact"/>
        <w:ind w:leftChars="0" w:firstLine="420" w:firstLineChars="200"/>
        <w:rPr>
          <w:rFonts w:hint="eastAsia"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kern w:val="2"/>
          <w:sz w:val="21"/>
          <w:szCs w:val="21"/>
          <w:lang w:val="en-US" w:eastAsia="zh-CN" w:bidi="ar-SA"/>
        </w:rPr>
        <w:t>1、</w:t>
      </w:r>
      <w:r>
        <w:rPr>
          <w:rFonts w:hint="eastAsia" w:ascii="Times New Roman" w:hAnsi="Times New Roman" w:eastAsia="宋体" w:cs="Times New Roman"/>
          <w:b w:val="0"/>
          <w:bCs w:val="0"/>
          <w:color w:val="auto"/>
          <w:kern w:val="2"/>
          <w:sz w:val="21"/>
          <w:szCs w:val="21"/>
          <w:lang w:val="en-US" w:eastAsia="zh-CN" w:bidi="ar-SA"/>
        </w:rPr>
        <w:t>停车实时地图</w:t>
      </w:r>
      <w:r>
        <w:rPr>
          <w:rFonts w:hint="eastAsia" w:cs="Times New Roman"/>
          <w:b w:val="0"/>
          <w:bCs w:val="0"/>
          <w:color w:val="auto"/>
          <w:kern w:val="2"/>
          <w:sz w:val="21"/>
          <w:szCs w:val="21"/>
          <w:lang w:val="en-US" w:eastAsia="zh-CN" w:bidi="ar-SA"/>
        </w:rPr>
        <w:t>：通过地图，全方位展示各路段实时停车情况。</w:t>
      </w:r>
    </w:p>
    <w:p w14:paraId="415DD764">
      <w:pPr>
        <w:keepNext w:val="0"/>
        <w:keepLines w:val="0"/>
        <w:pageBreakBefore w:val="0"/>
        <w:numPr>
          <w:ilvl w:val="0"/>
          <w:numId w:val="0"/>
        </w:numPr>
        <w:kinsoku/>
        <w:wordWrap/>
        <w:topLinePunct w:val="0"/>
        <w:bidi w:val="0"/>
        <w:snapToGrid/>
        <w:spacing w:line="460" w:lineRule="exact"/>
        <w:ind w:leftChars="0" w:firstLine="420" w:firstLineChars="200"/>
        <w:rPr>
          <w:rFonts w:hint="eastAsia"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kern w:val="2"/>
          <w:sz w:val="21"/>
          <w:szCs w:val="21"/>
          <w:lang w:val="en-US" w:eastAsia="zh-CN" w:bidi="ar-SA"/>
        </w:rPr>
        <w:t>2、</w:t>
      </w:r>
      <w:r>
        <w:rPr>
          <w:rFonts w:hint="eastAsia" w:ascii="Times New Roman" w:hAnsi="Times New Roman" w:eastAsia="宋体" w:cs="Times New Roman"/>
          <w:b w:val="0"/>
          <w:bCs w:val="0"/>
          <w:color w:val="auto"/>
          <w:kern w:val="2"/>
          <w:sz w:val="21"/>
          <w:szCs w:val="21"/>
          <w:lang w:val="en-US" w:eastAsia="zh-CN" w:bidi="ar-SA"/>
        </w:rPr>
        <w:t>停车订单</w:t>
      </w:r>
      <w:r>
        <w:rPr>
          <w:rFonts w:hint="eastAsia" w:cs="Times New Roman"/>
          <w:b w:val="0"/>
          <w:bCs w:val="0"/>
          <w:color w:val="auto"/>
          <w:kern w:val="2"/>
          <w:sz w:val="21"/>
          <w:szCs w:val="21"/>
          <w:lang w:val="en-US" w:eastAsia="zh-CN" w:bidi="ar-SA"/>
        </w:rPr>
        <w:t>：每次停车都会产生停车订单记录，系统支持按泊位号、用户手机号、停车时间等进行订单搜索。</w:t>
      </w:r>
    </w:p>
    <w:p w14:paraId="64E1AAE4">
      <w:pPr>
        <w:keepNext w:val="0"/>
        <w:keepLines w:val="0"/>
        <w:pageBreakBefore w:val="0"/>
        <w:numPr>
          <w:ilvl w:val="0"/>
          <w:numId w:val="0"/>
        </w:numPr>
        <w:kinsoku/>
        <w:wordWrap/>
        <w:topLinePunct w:val="0"/>
        <w:bidi w:val="0"/>
        <w:snapToGrid/>
        <w:spacing w:line="460" w:lineRule="exact"/>
        <w:ind w:leftChars="0" w:firstLine="420" w:firstLineChars="200"/>
        <w:rPr>
          <w:rFonts w:hint="eastAsia"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kern w:val="2"/>
          <w:sz w:val="21"/>
          <w:szCs w:val="21"/>
          <w:lang w:val="en-US" w:eastAsia="zh-CN" w:bidi="ar-SA"/>
        </w:rPr>
        <w:t>3、</w:t>
      </w:r>
      <w:r>
        <w:rPr>
          <w:rFonts w:hint="eastAsia" w:ascii="Times New Roman" w:hAnsi="Times New Roman" w:eastAsia="宋体" w:cs="Times New Roman"/>
          <w:b w:val="0"/>
          <w:bCs w:val="0"/>
          <w:color w:val="auto"/>
          <w:kern w:val="2"/>
          <w:sz w:val="21"/>
          <w:szCs w:val="21"/>
          <w:lang w:val="en-US" w:eastAsia="zh-CN" w:bidi="ar-SA"/>
        </w:rPr>
        <w:t>交易记录</w:t>
      </w:r>
    </w:p>
    <w:p w14:paraId="76A728B3">
      <w:pPr>
        <w:keepNext w:val="0"/>
        <w:keepLines w:val="0"/>
        <w:pageBreakBefore w:val="0"/>
        <w:numPr>
          <w:ilvl w:val="0"/>
          <w:numId w:val="0"/>
        </w:numPr>
        <w:kinsoku/>
        <w:wordWrap/>
        <w:topLinePunct w:val="0"/>
        <w:bidi w:val="0"/>
        <w:snapToGrid/>
        <w:spacing w:line="460" w:lineRule="exact"/>
        <w:ind w:leftChars="0" w:firstLine="420" w:firstLineChars="200"/>
        <w:rPr>
          <w:rFonts w:hint="eastAsia"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kern w:val="2"/>
          <w:sz w:val="21"/>
          <w:szCs w:val="21"/>
          <w:lang w:val="en-US" w:eastAsia="zh-CN" w:bidi="ar-SA"/>
        </w:rPr>
        <w:t>4、</w:t>
      </w:r>
      <w:r>
        <w:rPr>
          <w:rFonts w:hint="eastAsia" w:ascii="Times New Roman" w:hAnsi="Times New Roman" w:eastAsia="宋体" w:cs="Times New Roman"/>
          <w:b w:val="0"/>
          <w:bCs w:val="0"/>
          <w:color w:val="auto"/>
          <w:kern w:val="2"/>
          <w:sz w:val="21"/>
          <w:szCs w:val="21"/>
          <w:lang w:val="en-US" w:eastAsia="zh-CN" w:bidi="ar-SA"/>
        </w:rPr>
        <w:t>用户管理</w:t>
      </w:r>
      <w:r>
        <w:rPr>
          <w:rFonts w:hint="eastAsia" w:cs="Times New Roman"/>
          <w:b w:val="0"/>
          <w:bCs w:val="0"/>
          <w:color w:val="auto"/>
          <w:kern w:val="2"/>
          <w:sz w:val="21"/>
          <w:szCs w:val="21"/>
          <w:lang w:val="en-US" w:eastAsia="zh-CN" w:bidi="ar-SA"/>
        </w:rPr>
        <w:t>：</w:t>
      </w:r>
      <w:r>
        <w:rPr>
          <w:rFonts w:hint="eastAsia"/>
          <w:color w:val="auto"/>
        </w:rPr>
        <w:t>用户管理是指管理平台注册的个人停车用户，主要是对用户进行查询和查看详情操作，系统也支持对某个用户账户进行停用和恢复。</w:t>
      </w:r>
    </w:p>
    <w:p w14:paraId="0244BD28">
      <w:pPr>
        <w:keepNext w:val="0"/>
        <w:keepLines w:val="0"/>
        <w:pageBreakBefore w:val="0"/>
        <w:numPr>
          <w:ilvl w:val="0"/>
          <w:numId w:val="0"/>
        </w:numPr>
        <w:kinsoku/>
        <w:wordWrap/>
        <w:topLinePunct w:val="0"/>
        <w:bidi w:val="0"/>
        <w:snapToGrid/>
        <w:spacing w:line="460" w:lineRule="exact"/>
        <w:ind w:leftChars="0" w:firstLine="420" w:firstLineChars="200"/>
        <w:rPr>
          <w:rFonts w:hint="eastAsia"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kern w:val="2"/>
          <w:sz w:val="21"/>
          <w:szCs w:val="21"/>
          <w:lang w:val="en-US" w:eastAsia="zh-CN" w:bidi="ar-SA"/>
        </w:rPr>
        <w:t>5、</w:t>
      </w:r>
      <w:r>
        <w:rPr>
          <w:rFonts w:hint="eastAsia" w:ascii="Times New Roman" w:hAnsi="Times New Roman" w:eastAsia="宋体" w:cs="Times New Roman"/>
          <w:b w:val="0"/>
          <w:bCs w:val="0"/>
          <w:color w:val="auto"/>
          <w:kern w:val="2"/>
          <w:sz w:val="21"/>
          <w:szCs w:val="21"/>
          <w:lang w:val="en-US" w:eastAsia="zh-CN" w:bidi="ar-SA"/>
        </w:rPr>
        <w:t>路段管理</w:t>
      </w:r>
    </w:p>
    <w:p w14:paraId="74AA1ABE">
      <w:pPr>
        <w:keepNext w:val="0"/>
        <w:keepLines w:val="0"/>
        <w:pageBreakBefore w:val="0"/>
        <w:kinsoku/>
        <w:wordWrap/>
        <w:topLinePunct w:val="0"/>
        <w:bidi w:val="0"/>
        <w:snapToGrid/>
        <w:spacing w:line="460" w:lineRule="exact"/>
        <w:ind w:firstLine="420" w:firstLineChars="200"/>
        <w:rPr>
          <w:rFonts w:hint="eastAsia"/>
          <w:color w:val="auto"/>
          <w:lang w:val="en-US" w:eastAsia="zh-CN"/>
        </w:rPr>
      </w:pPr>
      <w:r>
        <w:rPr>
          <w:rFonts w:hint="eastAsia"/>
          <w:color w:val="auto"/>
          <w:lang w:val="en-US" w:eastAsia="zh-CN"/>
        </w:rPr>
        <w:t>路段管理：对停车路段进行增删改查。每个路段可以单独进行设置收费策略，路段信息包含路段名称、所属行政区、道路名等，并支持在地图进行标注，标注点即为停车场地图位置。</w:t>
      </w:r>
    </w:p>
    <w:p w14:paraId="0C0B7755">
      <w:pPr>
        <w:keepNext w:val="0"/>
        <w:keepLines w:val="0"/>
        <w:pageBreakBefore w:val="0"/>
        <w:kinsoku/>
        <w:wordWrap/>
        <w:topLinePunct w:val="0"/>
        <w:bidi w:val="0"/>
        <w:snapToGrid/>
        <w:spacing w:line="460" w:lineRule="exact"/>
        <w:ind w:firstLine="420" w:firstLineChars="200"/>
        <w:rPr>
          <w:rFonts w:hint="eastAsia"/>
          <w:color w:val="auto"/>
          <w:lang w:val="en-US" w:eastAsia="zh-CN"/>
        </w:rPr>
      </w:pPr>
      <w:r>
        <w:rPr>
          <w:rFonts w:hint="eastAsia"/>
          <w:color w:val="auto"/>
          <w:lang w:val="en-US" w:eastAsia="zh-CN"/>
        </w:rPr>
        <w:t>路段分组：是指将路段进行分组，从而方便对分组设置巡检员。一个路段分组可以设置多个巡检员，一个路段只能归属到一个路段分组。</w:t>
      </w:r>
    </w:p>
    <w:p w14:paraId="18315EAF">
      <w:pPr>
        <w:keepNext w:val="0"/>
        <w:keepLines w:val="0"/>
        <w:pageBreakBefore w:val="0"/>
        <w:kinsoku/>
        <w:wordWrap/>
        <w:topLinePunct w:val="0"/>
        <w:bidi w:val="0"/>
        <w:snapToGrid/>
        <w:spacing w:line="460" w:lineRule="exact"/>
        <w:ind w:firstLine="420" w:firstLineChars="200"/>
        <w:rPr>
          <w:rFonts w:hint="eastAsia"/>
          <w:b w:val="0"/>
          <w:bCs w:val="0"/>
          <w:color w:val="auto"/>
        </w:rPr>
      </w:pPr>
      <w:r>
        <w:rPr>
          <w:rFonts w:hint="eastAsia"/>
          <w:b w:val="0"/>
          <w:bCs w:val="0"/>
          <w:color w:val="auto"/>
        </w:rPr>
        <w:t>车位管理：是对路段下面的具体车位进行管理，包含车位的增删改查。车位需要与设备进行一一对应。</w:t>
      </w:r>
    </w:p>
    <w:p w14:paraId="0DD58AEC">
      <w:pPr>
        <w:keepNext w:val="0"/>
        <w:keepLines w:val="0"/>
        <w:pageBreakBefore w:val="0"/>
        <w:kinsoku/>
        <w:wordWrap/>
        <w:topLinePunct w:val="0"/>
        <w:bidi w:val="0"/>
        <w:snapToGrid/>
        <w:spacing w:line="460" w:lineRule="exact"/>
        <w:ind w:firstLine="420" w:firstLineChars="200"/>
        <w:rPr>
          <w:rFonts w:hint="eastAsia"/>
          <w:color w:val="auto"/>
          <w:lang w:val="en-US" w:eastAsia="zh-CN"/>
        </w:rPr>
      </w:pPr>
      <w:r>
        <w:rPr>
          <w:rFonts w:hint="eastAsia"/>
          <w:b w:val="0"/>
          <w:bCs w:val="0"/>
          <w:color w:val="auto"/>
        </w:rPr>
        <w:t>设备管理：</w:t>
      </w:r>
      <w:r>
        <w:rPr>
          <w:rFonts w:hint="eastAsia"/>
          <w:color w:val="auto"/>
        </w:rPr>
        <w:t>是对设备进行增删改查，设备和泊位为一一对应关系。</w:t>
      </w:r>
    </w:p>
    <w:p w14:paraId="0C01B5A3">
      <w:pPr>
        <w:keepNext w:val="0"/>
        <w:keepLines w:val="0"/>
        <w:pageBreakBefore w:val="0"/>
        <w:numPr>
          <w:ilvl w:val="0"/>
          <w:numId w:val="11"/>
        </w:numPr>
        <w:kinsoku/>
        <w:wordWrap/>
        <w:topLinePunct w:val="0"/>
        <w:bidi w:val="0"/>
        <w:snapToGrid/>
        <w:spacing w:line="460" w:lineRule="exact"/>
        <w:ind w:left="425" w:leftChars="0" w:hanging="425" w:firstLineChars="0"/>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收费规则管理</w:t>
      </w:r>
      <w:r>
        <w:rPr>
          <w:rFonts w:hint="eastAsia" w:cs="Times New Roman"/>
          <w:b w:val="0"/>
          <w:bCs w:val="0"/>
          <w:color w:val="auto"/>
          <w:kern w:val="2"/>
          <w:sz w:val="21"/>
          <w:szCs w:val="21"/>
          <w:lang w:val="en-US" w:eastAsia="zh-CN" w:bidi="ar-SA"/>
        </w:rPr>
        <w:t>：</w:t>
      </w:r>
      <w:r>
        <w:rPr>
          <w:rFonts w:hint="eastAsia" w:ascii="宋体" w:cs="宋体"/>
          <w:color w:val="auto"/>
        </w:rPr>
        <w:t>不同的路段，根据政府对路段分类，如重点路段，一类路段，二类路段。不同路段的收费方式会存在差异。因此停车费的设置需要能够灵活变动。通过停车费率和计费策略两个维度可以灵活的配置收费规则。</w:t>
      </w:r>
    </w:p>
    <w:p w14:paraId="601B5263">
      <w:pPr>
        <w:keepNext w:val="0"/>
        <w:keepLines w:val="0"/>
        <w:pageBreakBefore w:val="0"/>
        <w:numPr>
          <w:ilvl w:val="0"/>
          <w:numId w:val="11"/>
        </w:numPr>
        <w:kinsoku/>
        <w:wordWrap/>
        <w:topLinePunct w:val="0"/>
        <w:bidi w:val="0"/>
        <w:snapToGrid/>
        <w:spacing w:line="460" w:lineRule="exact"/>
        <w:ind w:left="425" w:leftChars="0" w:hanging="425" w:firstLineChars="0"/>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黑白名单</w:t>
      </w:r>
      <w:r>
        <w:rPr>
          <w:rFonts w:hint="eastAsia" w:cs="Times New Roman"/>
          <w:b w:val="0"/>
          <w:bCs w:val="0"/>
          <w:color w:val="auto"/>
          <w:kern w:val="2"/>
          <w:sz w:val="21"/>
          <w:szCs w:val="21"/>
          <w:lang w:val="en-US" w:eastAsia="zh-CN" w:bidi="ar-SA"/>
        </w:rPr>
        <w:t>：</w:t>
      </w:r>
      <w:r>
        <w:rPr>
          <w:rFonts w:hint="eastAsia"/>
          <w:color w:val="auto"/>
        </w:rPr>
        <w:t>黑白名单是指车牌号码的黑白名单。</w:t>
      </w:r>
    </w:p>
    <w:p w14:paraId="45C4DFFB">
      <w:pPr>
        <w:keepNext w:val="0"/>
        <w:keepLines w:val="0"/>
        <w:pageBreakBefore w:val="0"/>
        <w:numPr>
          <w:ilvl w:val="0"/>
          <w:numId w:val="11"/>
        </w:numPr>
        <w:kinsoku/>
        <w:wordWrap/>
        <w:topLinePunct w:val="0"/>
        <w:bidi w:val="0"/>
        <w:snapToGrid/>
        <w:spacing w:line="460" w:lineRule="exact"/>
        <w:ind w:left="425" w:leftChars="0" w:hanging="425" w:firstLineChars="0"/>
        <w:rPr>
          <w:rFonts w:hint="eastAsia"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系统管理</w:t>
      </w:r>
      <w:r>
        <w:rPr>
          <w:rFonts w:hint="eastAsia" w:cs="Times New Roman"/>
          <w:b w:val="0"/>
          <w:bCs w:val="0"/>
          <w:color w:val="auto"/>
          <w:kern w:val="2"/>
          <w:sz w:val="21"/>
          <w:szCs w:val="21"/>
          <w:lang w:val="en-US" w:eastAsia="zh-CN" w:bidi="ar-SA"/>
        </w:rPr>
        <w:t>：</w:t>
      </w:r>
    </w:p>
    <w:p w14:paraId="087F5E89">
      <w:pPr>
        <w:keepNext w:val="0"/>
        <w:keepLines w:val="0"/>
        <w:pageBreakBefore w:val="0"/>
        <w:kinsoku/>
        <w:wordWrap/>
        <w:topLinePunct w:val="0"/>
        <w:bidi w:val="0"/>
        <w:snapToGrid/>
        <w:spacing w:line="460" w:lineRule="exact"/>
        <w:ind w:firstLine="420" w:firstLineChars="200"/>
        <w:rPr>
          <w:rFonts w:hint="eastAsia"/>
          <w:color w:val="auto"/>
          <w:lang w:val="en-US" w:eastAsia="zh-CN"/>
        </w:rPr>
      </w:pPr>
      <w:r>
        <w:rPr>
          <w:rFonts w:hint="eastAsia"/>
          <w:color w:val="auto"/>
          <w:lang w:val="en-US" w:eastAsia="zh-CN"/>
        </w:rPr>
        <w:t>角色管理：对运营管理系统的用户角色进行管理。为了控制账号的操作权限范围，平台定义了角色概念，平台使用角色表存储角色数据，可通过角色管理菜单增加、删除、修改角色，以及增加、删除角色拥有的权限（菜单）。</w:t>
      </w:r>
    </w:p>
    <w:p w14:paraId="6643FAC8">
      <w:pPr>
        <w:keepNext w:val="0"/>
        <w:keepLines w:val="0"/>
        <w:pageBreakBefore w:val="0"/>
        <w:kinsoku/>
        <w:wordWrap/>
        <w:topLinePunct w:val="0"/>
        <w:bidi w:val="0"/>
        <w:snapToGrid/>
        <w:spacing w:line="460" w:lineRule="exact"/>
        <w:ind w:firstLine="420" w:firstLineChars="200"/>
        <w:rPr>
          <w:rFonts w:hint="eastAsia" w:ascii="Times New Roman" w:hAnsi="Times New Roman" w:eastAsia="宋体" w:cs="Times New Roman"/>
          <w:b w:val="0"/>
          <w:bCs w:val="0"/>
          <w:color w:val="auto"/>
          <w:kern w:val="2"/>
          <w:sz w:val="21"/>
          <w:szCs w:val="21"/>
          <w:lang w:val="en-US" w:eastAsia="zh-CN" w:bidi="ar-SA"/>
        </w:rPr>
      </w:pPr>
      <w:r>
        <w:rPr>
          <w:rFonts w:hint="eastAsia"/>
          <w:color w:val="auto"/>
          <w:lang w:val="en-US" w:eastAsia="zh-CN"/>
        </w:rPr>
        <w:t>角色权限管理：角色权限包括操作权限（系统菜单），通过对用户分配角色来控制用户的权限。在角色管理菜单中的角色列表中可对角色进行权限配置，每个角色均可以设定不同的操</w:t>
      </w:r>
      <w:r>
        <w:rPr>
          <w:rFonts w:hint="eastAsia" w:cs="Times New Roman"/>
          <w:b w:val="0"/>
          <w:bCs w:val="0"/>
          <w:color w:val="auto"/>
          <w:kern w:val="2"/>
          <w:sz w:val="21"/>
          <w:szCs w:val="21"/>
          <w:lang w:val="en-US" w:eastAsia="zh-CN" w:bidi="ar-SA"/>
        </w:rPr>
        <w:t>作权限（系统菜单），用于控制用户账号的操作范围。</w:t>
      </w:r>
    </w:p>
    <w:p w14:paraId="0F25C9FB">
      <w:pPr>
        <w:keepNext w:val="0"/>
        <w:keepLines w:val="0"/>
        <w:pageBreakBefore w:val="0"/>
        <w:numPr>
          <w:ilvl w:val="0"/>
          <w:numId w:val="11"/>
        </w:numPr>
        <w:kinsoku/>
        <w:wordWrap/>
        <w:topLinePunct w:val="0"/>
        <w:bidi w:val="0"/>
        <w:snapToGrid/>
        <w:spacing w:line="460" w:lineRule="exact"/>
        <w:ind w:left="425" w:leftChars="0" w:hanging="425" w:firstLineChars="0"/>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统计分析</w:t>
      </w:r>
      <w:r>
        <w:rPr>
          <w:rFonts w:hint="eastAsia" w:cs="Times New Roman"/>
          <w:b w:val="0"/>
          <w:bCs w:val="0"/>
          <w:color w:val="auto"/>
          <w:kern w:val="2"/>
          <w:sz w:val="21"/>
          <w:szCs w:val="21"/>
          <w:lang w:val="en-US" w:eastAsia="zh-CN" w:bidi="ar-SA"/>
        </w:rPr>
        <w:t>：</w:t>
      </w:r>
      <w:r>
        <w:rPr>
          <w:rFonts w:hint="eastAsia" w:ascii="宋体" w:cs="宋体"/>
          <w:color w:val="auto"/>
          <w:kern w:val="0"/>
          <w:szCs w:val="24"/>
        </w:rPr>
        <w:t>包含系统概况，用户统计、停车统计、财务统计、路段统计。</w:t>
      </w:r>
    </w:p>
    <w:p w14:paraId="1EED6C02">
      <w:pPr>
        <w:keepNext w:val="0"/>
        <w:keepLines w:val="0"/>
        <w:pageBreakBefore w:val="0"/>
        <w:numPr>
          <w:ilvl w:val="0"/>
          <w:numId w:val="11"/>
        </w:numPr>
        <w:kinsoku/>
        <w:wordWrap/>
        <w:topLinePunct w:val="0"/>
        <w:bidi w:val="0"/>
        <w:snapToGrid/>
        <w:spacing w:line="460" w:lineRule="exact"/>
        <w:ind w:left="425" w:leftChars="0" w:hanging="425" w:firstLineChars="0"/>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巡检管理</w:t>
      </w:r>
      <w:r>
        <w:rPr>
          <w:rFonts w:hint="eastAsia" w:cs="Times New Roman"/>
          <w:b w:val="0"/>
          <w:bCs w:val="0"/>
          <w:color w:val="auto"/>
          <w:kern w:val="2"/>
          <w:sz w:val="21"/>
          <w:szCs w:val="21"/>
          <w:lang w:val="en-US" w:eastAsia="zh-CN" w:bidi="ar-SA"/>
        </w:rPr>
        <w:t>：</w:t>
      </w:r>
      <w:r>
        <w:rPr>
          <w:rFonts w:hint="eastAsia" w:ascii="宋体" w:cs="宋体"/>
          <w:color w:val="auto"/>
          <w:kern w:val="0"/>
          <w:szCs w:val="24"/>
        </w:rPr>
        <w:t>巡检管理包含巡检员管理、巡检统计、巡检员统计、巡检排班管理等功能。</w:t>
      </w:r>
    </w:p>
    <w:p w14:paraId="5DF6C32C">
      <w:pPr>
        <w:keepNext w:val="0"/>
        <w:keepLines w:val="0"/>
        <w:pageBreakBefore w:val="0"/>
        <w:numPr>
          <w:ilvl w:val="0"/>
          <w:numId w:val="11"/>
        </w:numPr>
        <w:kinsoku/>
        <w:wordWrap/>
        <w:topLinePunct w:val="0"/>
        <w:bidi w:val="0"/>
        <w:snapToGrid/>
        <w:spacing w:line="460" w:lineRule="exact"/>
        <w:ind w:left="425" w:leftChars="0" w:hanging="425" w:firstLineChars="0"/>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用户投诉工单</w:t>
      </w:r>
      <w:r>
        <w:rPr>
          <w:rFonts w:hint="eastAsia" w:cs="Times New Roman"/>
          <w:b w:val="0"/>
          <w:bCs w:val="0"/>
          <w:color w:val="auto"/>
          <w:kern w:val="2"/>
          <w:sz w:val="21"/>
          <w:szCs w:val="21"/>
          <w:lang w:val="en-US" w:eastAsia="zh-CN" w:bidi="ar-SA"/>
        </w:rPr>
        <w:t>：</w:t>
      </w:r>
      <w:r>
        <w:rPr>
          <w:rFonts w:hint="eastAsia"/>
          <w:color w:val="auto"/>
        </w:rPr>
        <w:t>记录处理用户的投诉问题</w:t>
      </w:r>
      <w:r>
        <w:rPr>
          <w:rFonts w:hint="eastAsia"/>
          <w:color w:val="auto"/>
          <w:lang w:eastAsia="zh-CN"/>
        </w:rPr>
        <w:t>。</w:t>
      </w:r>
    </w:p>
    <w:p w14:paraId="763F3B58">
      <w:pPr>
        <w:keepNext w:val="0"/>
        <w:keepLines w:val="0"/>
        <w:pageBreakBefore w:val="0"/>
        <w:numPr>
          <w:ilvl w:val="0"/>
          <w:numId w:val="11"/>
        </w:numPr>
        <w:kinsoku/>
        <w:wordWrap/>
        <w:topLinePunct w:val="0"/>
        <w:bidi w:val="0"/>
        <w:snapToGrid/>
        <w:spacing w:line="460" w:lineRule="exact"/>
        <w:ind w:left="425" w:leftChars="0" w:hanging="425" w:firstLineChars="0"/>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停车优惠券管理</w:t>
      </w:r>
    </w:p>
    <w:p w14:paraId="7DCCF7F3">
      <w:pPr>
        <w:keepNext w:val="0"/>
        <w:keepLines w:val="0"/>
        <w:pageBreakBefore w:val="0"/>
        <w:kinsoku/>
        <w:wordWrap/>
        <w:topLinePunct w:val="0"/>
        <w:bidi w:val="0"/>
        <w:snapToGrid/>
        <w:spacing w:line="460" w:lineRule="exact"/>
        <w:ind w:firstLine="420" w:firstLineChars="200"/>
        <w:rPr>
          <w:rFonts w:hint="eastAsia"/>
          <w:color w:val="auto"/>
          <w:lang w:val="en-US" w:eastAsia="zh-CN"/>
        </w:rPr>
      </w:pPr>
      <w:r>
        <w:rPr>
          <w:rFonts w:hint="eastAsia"/>
          <w:color w:val="auto"/>
          <w:lang w:val="en-US" w:eastAsia="zh-CN"/>
        </w:rPr>
        <w:t>系统可配置优惠券类型（如全免券、满减券、折扣券），商家购买优惠券后，可以对消费的车辆进行停车费优惠券核减。</w:t>
      </w:r>
    </w:p>
    <w:p w14:paraId="4B73D9FB">
      <w:pPr>
        <w:keepNext w:val="0"/>
        <w:keepLines w:val="0"/>
        <w:pageBreakBefore w:val="0"/>
        <w:kinsoku/>
        <w:wordWrap/>
        <w:topLinePunct w:val="0"/>
        <w:bidi w:val="0"/>
        <w:snapToGrid/>
        <w:spacing w:line="460" w:lineRule="exact"/>
        <w:ind w:firstLine="420" w:firstLineChars="200"/>
        <w:rPr>
          <w:rFonts w:hint="eastAsia"/>
          <w:color w:val="auto"/>
          <w:lang w:val="en-US" w:eastAsia="zh-CN"/>
        </w:rPr>
      </w:pPr>
      <w:r>
        <w:rPr>
          <w:rFonts w:hint="eastAsia"/>
          <w:color w:val="auto"/>
          <w:lang w:val="en-US" w:eastAsia="zh-CN"/>
        </w:rPr>
        <w:t>后台支持查询所有优惠券核减记录，优惠券支持后台对账，支持与停车场进行对账操作。</w:t>
      </w:r>
    </w:p>
    <w:p w14:paraId="248A0EB1">
      <w:pPr>
        <w:keepNext w:val="0"/>
        <w:keepLines w:val="0"/>
        <w:pageBreakBefore w:val="0"/>
        <w:numPr>
          <w:ilvl w:val="0"/>
          <w:numId w:val="11"/>
        </w:numPr>
        <w:kinsoku/>
        <w:wordWrap/>
        <w:topLinePunct w:val="0"/>
        <w:bidi w:val="0"/>
        <w:snapToGrid/>
        <w:spacing w:line="460" w:lineRule="exact"/>
        <w:ind w:left="425" w:leftChars="0" w:hanging="425" w:firstLineChars="0"/>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信息推送管理</w:t>
      </w:r>
      <w:r>
        <w:rPr>
          <w:rFonts w:hint="eastAsia" w:cs="Times New Roman"/>
          <w:b w:val="0"/>
          <w:bCs w:val="0"/>
          <w:color w:val="auto"/>
          <w:kern w:val="2"/>
          <w:sz w:val="21"/>
          <w:szCs w:val="21"/>
          <w:lang w:val="en-US" w:eastAsia="zh-CN" w:bidi="ar-SA"/>
        </w:rPr>
        <w:t>：系统支持通过公众号等载体进行商家信息、活动信息、优惠信息推送。推送内容支持后台配置，推送记录可在系统后台查询。</w:t>
      </w:r>
    </w:p>
    <w:p w14:paraId="4C786F7E">
      <w:pPr>
        <w:keepNext w:val="0"/>
        <w:keepLines w:val="0"/>
        <w:pageBreakBefore w:val="0"/>
        <w:numPr>
          <w:ilvl w:val="0"/>
          <w:numId w:val="11"/>
        </w:numPr>
        <w:kinsoku/>
        <w:wordWrap/>
        <w:topLinePunct w:val="0"/>
        <w:bidi w:val="0"/>
        <w:snapToGrid/>
        <w:spacing w:line="460" w:lineRule="exact"/>
        <w:ind w:left="425" w:leftChars="0" w:hanging="425" w:firstLineChars="0"/>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月卡管理</w:t>
      </w:r>
      <w:r>
        <w:rPr>
          <w:rFonts w:hint="eastAsia" w:cs="Times New Roman"/>
          <w:b w:val="0"/>
          <w:bCs w:val="0"/>
          <w:color w:val="auto"/>
          <w:kern w:val="2"/>
          <w:sz w:val="21"/>
          <w:szCs w:val="21"/>
          <w:lang w:val="en-US" w:eastAsia="zh-CN" w:bidi="ar-SA"/>
        </w:rPr>
        <w:t>：用户可注册后，充值月卡，后台可以管理月卡信息、车辆信息。通过停车记录和消费，记录等维度数据。</w:t>
      </w:r>
    </w:p>
    <w:p w14:paraId="53591917">
      <w:pPr>
        <w:keepNext w:val="0"/>
        <w:keepLines w:val="0"/>
        <w:pageBreakBefore w:val="0"/>
        <w:numPr>
          <w:ilvl w:val="0"/>
          <w:numId w:val="11"/>
        </w:numPr>
        <w:kinsoku/>
        <w:wordWrap/>
        <w:topLinePunct w:val="0"/>
        <w:bidi w:val="0"/>
        <w:snapToGrid/>
        <w:spacing w:line="460" w:lineRule="exact"/>
        <w:ind w:left="425" w:leftChars="0" w:hanging="425" w:firstLineChars="0"/>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城市热力图</w:t>
      </w:r>
      <w:r>
        <w:rPr>
          <w:rFonts w:hint="eastAsia" w:cs="Times New Roman"/>
          <w:b w:val="0"/>
          <w:bCs w:val="0"/>
          <w:color w:val="auto"/>
          <w:kern w:val="2"/>
          <w:sz w:val="21"/>
          <w:szCs w:val="21"/>
          <w:lang w:val="en-US" w:eastAsia="zh-CN" w:bidi="ar-SA"/>
        </w:rPr>
        <w:t>：</w:t>
      </w:r>
      <w:r>
        <w:rPr>
          <w:rFonts w:hint="eastAsia"/>
          <w:color w:val="auto"/>
        </w:rPr>
        <w:t>在地图上根据停车场的繁忙情况，实时展示全城停车场热力图，为停车调度提供依据。</w:t>
      </w:r>
    </w:p>
    <w:p w14:paraId="2B686011">
      <w:pPr>
        <w:keepNext w:val="0"/>
        <w:keepLines w:val="0"/>
        <w:pageBreakBefore w:val="0"/>
        <w:numPr>
          <w:ilvl w:val="0"/>
          <w:numId w:val="11"/>
        </w:numPr>
        <w:kinsoku/>
        <w:wordWrap/>
        <w:topLinePunct w:val="0"/>
        <w:bidi w:val="0"/>
        <w:snapToGrid/>
        <w:spacing w:line="460" w:lineRule="exact"/>
        <w:ind w:left="425" w:leftChars="0" w:hanging="425" w:firstLineChars="0"/>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对账结算</w:t>
      </w:r>
      <w:r>
        <w:rPr>
          <w:rFonts w:hint="eastAsia" w:cs="Times New Roman"/>
          <w:b w:val="0"/>
          <w:bCs w:val="0"/>
          <w:color w:val="auto"/>
          <w:kern w:val="2"/>
          <w:sz w:val="21"/>
          <w:szCs w:val="21"/>
          <w:lang w:val="en-US" w:eastAsia="zh-CN" w:bidi="ar-SA"/>
        </w:rPr>
        <w:t>：提供财务对账功能，统计展示每个停车场每天的应收停车费，实收停车费，优惠金额，停车卡会员抵扣金额，现金金额，费用是否正常，辅助财务快速对账。</w:t>
      </w:r>
    </w:p>
    <w:p w14:paraId="11AF371E">
      <w:pPr>
        <w:keepNext w:val="0"/>
        <w:keepLines w:val="0"/>
        <w:pageBreakBefore w:val="0"/>
        <w:numPr>
          <w:ilvl w:val="0"/>
          <w:numId w:val="11"/>
        </w:numPr>
        <w:kinsoku/>
        <w:wordWrap/>
        <w:topLinePunct w:val="0"/>
        <w:bidi w:val="0"/>
        <w:snapToGrid/>
        <w:spacing w:line="460" w:lineRule="exact"/>
        <w:ind w:left="425" w:leftChars="0" w:hanging="425" w:firstLineChars="0"/>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统计分析报表</w:t>
      </w:r>
      <w:r>
        <w:rPr>
          <w:rFonts w:hint="eastAsia" w:cs="Times New Roman"/>
          <w:b w:val="0"/>
          <w:bCs w:val="0"/>
          <w:color w:val="auto"/>
          <w:kern w:val="2"/>
          <w:sz w:val="21"/>
          <w:szCs w:val="21"/>
          <w:lang w:val="en-US" w:eastAsia="zh-CN" w:bidi="ar-SA"/>
        </w:rPr>
        <w:t>：</w:t>
      </w:r>
      <w:r>
        <w:rPr>
          <w:rFonts w:hint="eastAsia" w:ascii="Times New Roman" w:hAnsi="Times New Roman" w:eastAsia="宋体" w:cs="Times New Roman"/>
          <w:b w:val="0"/>
          <w:bCs w:val="0"/>
          <w:color w:val="auto"/>
          <w:kern w:val="2"/>
          <w:sz w:val="21"/>
          <w:szCs w:val="21"/>
          <w:lang w:val="en-US" w:eastAsia="zh-CN" w:bidi="ar-SA"/>
        </w:rPr>
        <w:t>展示路内车位维度和整体维度的报表信息。</w:t>
      </w:r>
    </w:p>
    <w:p w14:paraId="6D18EA39">
      <w:pPr>
        <w:keepNext w:val="0"/>
        <w:keepLines w:val="0"/>
        <w:pageBreakBefore w:val="0"/>
        <w:numPr>
          <w:ilvl w:val="0"/>
          <w:numId w:val="11"/>
        </w:numPr>
        <w:kinsoku/>
        <w:wordWrap/>
        <w:topLinePunct w:val="0"/>
        <w:bidi w:val="0"/>
        <w:snapToGrid/>
        <w:spacing w:line="460" w:lineRule="exact"/>
        <w:ind w:left="425" w:leftChars="0" w:hanging="425" w:firstLineChars="0"/>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巡检APP</w:t>
      </w:r>
      <w:r>
        <w:rPr>
          <w:rFonts w:hint="eastAsia" w:cs="Times New Roman"/>
          <w:b w:val="0"/>
          <w:bCs w:val="0"/>
          <w:color w:val="auto"/>
          <w:kern w:val="2"/>
          <w:sz w:val="21"/>
          <w:szCs w:val="21"/>
          <w:lang w:val="en-US" w:eastAsia="zh-CN" w:bidi="ar-SA"/>
        </w:rPr>
        <w:t>：</w:t>
      </w:r>
      <w:r>
        <w:rPr>
          <w:rFonts w:hint="eastAsia"/>
          <w:color w:val="auto"/>
        </w:rPr>
        <w:t>巡检人员通过自己手机即可使用，无需另外配备。A</w:t>
      </w:r>
      <w:r>
        <w:rPr>
          <w:color w:val="auto"/>
        </w:rPr>
        <w:t>PP</w:t>
      </w:r>
      <w:r>
        <w:rPr>
          <w:rFonts w:hint="eastAsia"/>
          <w:color w:val="auto"/>
        </w:rPr>
        <w:t>实现设备监控、车位监控、停车信息查询、人工收费、补缴费用、下发工单、申诉反馈。</w:t>
      </w:r>
    </w:p>
    <w:p w14:paraId="1268635C">
      <w:pPr>
        <w:keepNext w:val="0"/>
        <w:keepLines w:val="0"/>
        <w:pageBreakBefore w:val="0"/>
        <w:numPr>
          <w:ilvl w:val="0"/>
          <w:numId w:val="11"/>
        </w:numPr>
        <w:kinsoku/>
        <w:wordWrap/>
        <w:topLinePunct w:val="0"/>
        <w:bidi w:val="0"/>
        <w:snapToGrid/>
        <w:spacing w:line="460" w:lineRule="exact"/>
        <w:ind w:left="425" w:leftChars="0" w:hanging="425" w:firstLineChars="0"/>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ETC智能终端</w:t>
      </w:r>
      <w:r>
        <w:rPr>
          <w:rFonts w:hint="eastAsia" w:cs="Times New Roman"/>
          <w:b w:val="0"/>
          <w:bCs w:val="0"/>
          <w:color w:val="auto"/>
          <w:kern w:val="2"/>
          <w:sz w:val="21"/>
          <w:szCs w:val="21"/>
          <w:lang w:val="en-US" w:eastAsia="zh-CN" w:bidi="ar-SA"/>
        </w:rPr>
        <w:t>：通过巡检APP，实现停车巡检，补缴结算，巡检管理，巡检统计分析等功能。</w:t>
      </w:r>
    </w:p>
    <w:p w14:paraId="3D111AC4">
      <w:pPr>
        <w:keepNext w:val="0"/>
        <w:keepLines w:val="0"/>
        <w:pageBreakBefore w:val="0"/>
        <w:numPr>
          <w:ilvl w:val="0"/>
          <w:numId w:val="9"/>
        </w:numPr>
        <w:kinsoku/>
        <w:wordWrap/>
        <w:topLinePunct w:val="0"/>
        <w:bidi w:val="0"/>
        <w:snapToGrid/>
        <w:spacing w:line="460" w:lineRule="exact"/>
        <w:ind w:left="0" w:leftChars="0" w:firstLine="420" w:firstLineChars="0"/>
        <w:outlineLvl w:val="9"/>
        <w:rPr>
          <w:rFonts w:hint="eastAsia"/>
          <w:b/>
          <w:bCs/>
          <w:color w:val="auto"/>
          <w:lang w:val="en-US" w:eastAsia="zh-CN"/>
        </w:rPr>
      </w:pPr>
      <w:r>
        <w:rPr>
          <w:rFonts w:hint="eastAsia"/>
          <w:b/>
          <w:bCs/>
          <w:color w:val="auto"/>
          <w:lang w:val="en-US" w:eastAsia="zh-CN"/>
        </w:rPr>
        <w:t>用户公共服务平台</w:t>
      </w:r>
    </w:p>
    <w:p w14:paraId="51C4BCB2">
      <w:pPr>
        <w:keepNext w:val="0"/>
        <w:keepLines w:val="0"/>
        <w:pageBreakBefore w:val="0"/>
        <w:numPr>
          <w:ilvl w:val="0"/>
          <w:numId w:val="0"/>
        </w:numPr>
        <w:kinsoku/>
        <w:wordWrap/>
        <w:topLinePunct w:val="0"/>
        <w:bidi w:val="0"/>
        <w:snapToGrid/>
        <w:spacing w:line="460" w:lineRule="exact"/>
        <w:ind w:leftChars="0" w:firstLine="420" w:firstLineChars="200"/>
        <w:rPr>
          <w:rFonts w:hint="eastAsia"/>
          <w:b w:val="0"/>
          <w:bCs w:val="0"/>
          <w:color w:val="auto"/>
          <w:lang w:val="en-US" w:eastAsia="zh-CN"/>
        </w:rPr>
      </w:pPr>
      <w:r>
        <w:rPr>
          <w:rFonts w:hint="eastAsia"/>
          <w:b w:val="0"/>
          <w:bCs w:val="0"/>
          <w:color w:val="auto"/>
          <w:lang w:val="en-US" w:eastAsia="zh-CN"/>
        </w:rPr>
        <w:t>1、用户APP/小程序/公众号：</w:t>
      </w:r>
      <w:r>
        <w:rPr>
          <w:rFonts w:hint="eastAsia"/>
          <w:color w:val="auto"/>
        </w:rPr>
        <w:t>低位智慧车位感应器/高位/视频桩车位/停车场：系统自动识别车牌，完成停车；停车成功后，系统将进入正在停车界面，界面显示当前停车时间、金额、道路或车场名称、泊位等信息</w:t>
      </w:r>
    </w:p>
    <w:p w14:paraId="0CF0E960">
      <w:pPr>
        <w:keepNext w:val="0"/>
        <w:keepLines w:val="0"/>
        <w:pageBreakBefore w:val="0"/>
        <w:numPr>
          <w:ilvl w:val="0"/>
          <w:numId w:val="0"/>
        </w:numPr>
        <w:kinsoku/>
        <w:wordWrap/>
        <w:topLinePunct w:val="0"/>
        <w:bidi w:val="0"/>
        <w:snapToGrid/>
        <w:spacing w:line="460" w:lineRule="exact"/>
        <w:ind w:leftChars="0" w:firstLine="420" w:firstLineChars="200"/>
        <w:rPr>
          <w:rFonts w:hint="eastAsia"/>
          <w:b w:val="0"/>
          <w:bCs w:val="0"/>
          <w:color w:val="auto"/>
          <w:lang w:val="en-US" w:eastAsia="zh-CN"/>
        </w:rPr>
      </w:pPr>
      <w:r>
        <w:rPr>
          <w:rFonts w:hint="eastAsia"/>
          <w:b w:val="0"/>
          <w:bCs w:val="0"/>
          <w:color w:val="auto"/>
          <w:lang w:val="en-US" w:eastAsia="zh-CN"/>
        </w:rPr>
        <w:t>2、找车位：直接在地图可以实时查看各个停车场位置及剩余车位信息，并支持导航到具体某个停车场。</w:t>
      </w:r>
    </w:p>
    <w:p w14:paraId="43032832">
      <w:pPr>
        <w:keepNext w:val="0"/>
        <w:keepLines w:val="0"/>
        <w:pageBreakBefore w:val="0"/>
        <w:numPr>
          <w:ilvl w:val="0"/>
          <w:numId w:val="0"/>
        </w:numPr>
        <w:kinsoku/>
        <w:wordWrap/>
        <w:topLinePunct w:val="0"/>
        <w:bidi w:val="0"/>
        <w:snapToGrid/>
        <w:spacing w:line="460" w:lineRule="exact"/>
        <w:ind w:leftChars="0" w:firstLine="420" w:firstLineChars="200"/>
        <w:rPr>
          <w:rFonts w:hint="eastAsia"/>
          <w:color w:val="auto"/>
          <w:lang w:val="en-US" w:eastAsia="zh-CN"/>
        </w:rPr>
      </w:pPr>
      <w:r>
        <w:rPr>
          <w:rFonts w:hint="eastAsia"/>
          <w:color w:val="auto"/>
          <w:lang w:val="en-US" w:eastAsia="zh-CN"/>
        </w:rPr>
        <w:t>3、充值消费</w:t>
      </w:r>
    </w:p>
    <w:p w14:paraId="4964C343">
      <w:pPr>
        <w:keepNext w:val="0"/>
        <w:keepLines w:val="0"/>
        <w:pageBreakBefore w:val="0"/>
        <w:numPr>
          <w:ilvl w:val="0"/>
          <w:numId w:val="0"/>
        </w:numPr>
        <w:kinsoku/>
        <w:wordWrap/>
        <w:topLinePunct w:val="0"/>
        <w:bidi w:val="0"/>
        <w:snapToGrid/>
        <w:spacing w:line="460" w:lineRule="exact"/>
        <w:ind w:leftChars="0"/>
        <w:rPr>
          <w:rFonts w:hint="eastAsia"/>
          <w:color w:val="auto"/>
          <w:lang w:val="en-US" w:eastAsia="zh-CN"/>
        </w:rPr>
      </w:pPr>
      <w:r>
        <w:rPr>
          <w:rFonts w:hint="eastAsia"/>
          <w:color w:val="auto"/>
          <w:lang w:val="en-US" w:eastAsia="zh-CN"/>
        </w:rPr>
        <w:t>充值：支持通过微信、支付宝进行充值，充值后APP钱包余额对应增加。</w:t>
      </w:r>
    </w:p>
    <w:p w14:paraId="32E82A54">
      <w:pPr>
        <w:keepNext w:val="0"/>
        <w:keepLines w:val="0"/>
        <w:pageBreakBefore w:val="0"/>
        <w:numPr>
          <w:ilvl w:val="0"/>
          <w:numId w:val="0"/>
        </w:numPr>
        <w:kinsoku/>
        <w:wordWrap/>
        <w:topLinePunct w:val="0"/>
        <w:bidi w:val="0"/>
        <w:snapToGrid/>
        <w:spacing w:line="460" w:lineRule="exact"/>
        <w:ind w:leftChars="0"/>
        <w:rPr>
          <w:rFonts w:hint="eastAsia"/>
          <w:color w:val="auto"/>
          <w:lang w:val="en-US" w:eastAsia="zh-CN"/>
        </w:rPr>
      </w:pPr>
      <w:r>
        <w:rPr>
          <w:rFonts w:hint="eastAsia"/>
          <w:color w:val="auto"/>
          <w:lang w:val="en-US" w:eastAsia="zh-CN"/>
        </w:rPr>
        <w:t>扣费：钱包余额在每次停车完成后，系统将对根据计费时长对钱包进行扣费操作。</w:t>
      </w:r>
    </w:p>
    <w:p w14:paraId="50B4731B">
      <w:pPr>
        <w:keepNext w:val="0"/>
        <w:keepLines w:val="0"/>
        <w:pageBreakBefore w:val="0"/>
        <w:numPr>
          <w:ilvl w:val="0"/>
          <w:numId w:val="0"/>
        </w:numPr>
        <w:kinsoku/>
        <w:wordWrap/>
        <w:topLinePunct w:val="0"/>
        <w:bidi w:val="0"/>
        <w:snapToGrid/>
        <w:spacing w:line="460" w:lineRule="exact"/>
        <w:ind w:leftChars="0"/>
        <w:rPr>
          <w:rFonts w:hint="eastAsia"/>
          <w:color w:val="auto"/>
          <w:lang w:val="en-US" w:eastAsia="zh-CN"/>
        </w:rPr>
      </w:pPr>
      <w:r>
        <w:rPr>
          <w:rFonts w:hint="eastAsia"/>
          <w:color w:val="auto"/>
          <w:lang w:val="en-US" w:eastAsia="zh-CN"/>
        </w:rPr>
        <w:t>记录：APP可以查看历史充值记录和消费记录。</w:t>
      </w:r>
    </w:p>
    <w:p w14:paraId="72D38970">
      <w:pPr>
        <w:keepNext w:val="0"/>
        <w:keepLines w:val="0"/>
        <w:pageBreakBefore w:val="0"/>
        <w:numPr>
          <w:ilvl w:val="0"/>
          <w:numId w:val="0"/>
        </w:numPr>
        <w:kinsoku/>
        <w:wordWrap/>
        <w:topLinePunct w:val="0"/>
        <w:bidi w:val="0"/>
        <w:snapToGrid/>
        <w:spacing w:line="460" w:lineRule="exact"/>
        <w:ind w:leftChars="0" w:firstLine="420" w:firstLineChars="200"/>
        <w:rPr>
          <w:color w:val="auto"/>
        </w:rPr>
      </w:pPr>
      <w:r>
        <w:rPr>
          <w:rFonts w:hint="eastAsia"/>
          <w:color w:val="auto"/>
          <w:lang w:val="en-US" w:eastAsia="zh-CN"/>
        </w:rPr>
        <w:t>4、</w:t>
      </w:r>
      <w:r>
        <w:rPr>
          <w:rFonts w:hint="eastAsia"/>
          <w:color w:val="auto"/>
        </w:rPr>
        <w:t>个人中心</w:t>
      </w:r>
    </w:p>
    <w:p w14:paraId="2F6BC29C">
      <w:pPr>
        <w:keepNext w:val="0"/>
        <w:keepLines w:val="0"/>
        <w:pageBreakBefore w:val="0"/>
        <w:numPr>
          <w:ilvl w:val="0"/>
          <w:numId w:val="0"/>
        </w:numPr>
        <w:kinsoku/>
        <w:wordWrap/>
        <w:topLinePunct w:val="0"/>
        <w:bidi w:val="0"/>
        <w:snapToGrid/>
        <w:spacing w:line="460" w:lineRule="exact"/>
        <w:ind w:leftChars="0"/>
        <w:rPr>
          <w:rFonts w:hint="eastAsia"/>
          <w:color w:val="auto"/>
        </w:rPr>
      </w:pPr>
      <w:r>
        <w:rPr>
          <w:rFonts w:hint="eastAsia"/>
          <w:color w:val="auto"/>
        </w:rPr>
        <w:t>个人中心显示常用功能入口，包含钱包、停车劵、车辆列表、在线充值、我的月卡、我的证件、电子发票、消费明细、购买停车劵、商户停车劵、在线客服等。</w:t>
      </w:r>
    </w:p>
    <w:p w14:paraId="61123AFD">
      <w:pPr>
        <w:keepNext w:val="0"/>
        <w:keepLines w:val="0"/>
        <w:pageBreakBefore w:val="0"/>
        <w:numPr>
          <w:ilvl w:val="0"/>
          <w:numId w:val="0"/>
        </w:numPr>
        <w:kinsoku/>
        <w:wordWrap/>
        <w:topLinePunct w:val="0"/>
        <w:bidi w:val="0"/>
        <w:snapToGrid/>
        <w:spacing w:line="460" w:lineRule="exact"/>
        <w:ind w:leftChars="0" w:firstLine="420" w:firstLineChars="200"/>
        <w:rPr>
          <w:color w:val="auto"/>
        </w:rPr>
      </w:pPr>
      <w:r>
        <w:rPr>
          <w:rFonts w:hint="eastAsia"/>
          <w:color w:val="auto"/>
          <w:lang w:val="en-US" w:eastAsia="zh-CN"/>
        </w:rPr>
        <w:t>5、</w:t>
      </w:r>
      <w:r>
        <w:rPr>
          <w:rFonts w:hint="eastAsia"/>
          <w:color w:val="auto"/>
        </w:rPr>
        <w:t>在线客服</w:t>
      </w:r>
    </w:p>
    <w:p w14:paraId="0859FE43">
      <w:pPr>
        <w:keepNext w:val="0"/>
        <w:keepLines w:val="0"/>
        <w:pageBreakBefore w:val="0"/>
        <w:numPr>
          <w:ilvl w:val="0"/>
          <w:numId w:val="0"/>
        </w:numPr>
        <w:kinsoku/>
        <w:wordWrap/>
        <w:topLinePunct w:val="0"/>
        <w:bidi w:val="0"/>
        <w:snapToGrid/>
        <w:spacing w:line="460" w:lineRule="exact"/>
        <w:ind w:leftChars="0"/>
        <w:rPr>
          <w:color w:val="auto"/>
        </w:rPr>
      </w:pPr>
      <w:r>
        <w:rPr>
          <w:rFonts w:hint="eastAsia"/>
          <w:color w:val="auto"/>
        </w:rPr>
        <w:t>投诉建议可以直接反馈对平台的建议，另外当充值出现异常或对停车计费存在异议也可以提交投诉，后台人员收到投诉后会进行相应处理。</w:t>
      </w:r>
    </w:p>
    <w:p w14:paraId="35D66AAD">
      <w:pPr>
        <w:keepNext w:val="0"/>
        <w:keepLines w:val="0"/>
        <w:pageBreakBefore w:val="0"/>
        <w:numPr>
          <w:ilvl w:val="0"/>
          <w:numId w:val="0"/>
        </w:numPr>
        <w:kinsoku/>
        <w:wordWrap/>
        <w:topLinePunct w:val="0"/>
        <w:bidi w:val="0"/>
        <w:snapToGrid/>
        <w:spacing w:line="460" w:lineRule="exact"/>
        <w:ind w:leftChars="0" w:firstLine="420" w:firstLineChars="200"/>
        <w:rPr>
          <w:color w:val="auto"/>
        </w:rPr>
      </w:pPr>
      <w:r>
        <w:rPr>
          <w:rFonts w:hint="eastAsia"/>
          <w:color w:val="auto"/>
          <w:lang w:val="en-US" w:eastAsia="zh-CN"/>
        </w:rPr>
        <w:t>6、</w:t>
      </w:r>
      <w:r>
        <w:rPr>
          <w:rFonts w:hint="eastAsia"/>
          <w:color w:val="auto"/>
        </w:rPr>
        <w:t>信息推送</w:t>
      </w:r>
    </w:p>
    <w:p w14:paraId="6A29D0BD">
      <w:pPr>
        <w:pStyle w:val="25"/>
        <w:keepNext w:val="0"/>
        <w:keepLines w:val="0"/>
        <w:pageBreakBefore w:val="0"/>
        <w:numPr>
          <w:ilvl w:val="0"/>
          <w:numId w:val="12"/>
        </w:numPr>
        <w:kinsoku/>
        <w:wordWrap/>
        <w:topLinePunct w:val="0"/>
        <w:bidi w:val="0"/>
        <w:snapToGrid/>
        <w:spacing w:line="460" w:lineRule="exact"/>
        <w:rPr>
          <w:color w:val="auto"/>
        </w:rPr>
      </w:pPr>
      <w:r>
        <w:rPr>
          <w:rFonts w:hint="eastAsia"/>
          <w:color w:val="auto"/>
        </w:rPr>
        <w:t>入场信息推送</w:t>
      </w:r>
    </w:p>
    <w:p w14:paraId="4D4525D0">
      <w:pPr>
        <w:keepNext w:val="0"/>
        <w:keepLines w:val="0"/>
        <w:pageBreakBefore w:val="0"/>
        <w:numPr>
          <w:ilvl w:val="0"/>
          <w:numId w:val="0"/>
        </w:numPr>
        <w:kinsoku/>
        <w:wordWrap/>
        <w:topLinePunct w:val="0"/>
        <w:bidi w:val="0"/>
        <w:snapToGrid/>
        <w:spacing w:line="460" w:lineRule="exact"/>
        <w:ind w:leftChars="0"/>
        <w:rPr>
          <w:color w:val="auto"/>
        </w:rPr>
      </w:pPr>
      <w:r>
        <w:rPr>
          <w:rFonts w:hint="eastAsia"/>
          <w:color w:val="auto"/>
        </w:rPr>
        <w:t>用户成功停车后，系统将下发信息到用户注册所使用的手机号码或绑定的微信，通知用户停车成功。</w:t>
      </w:r>
    </w:p>
    <w:p w14:paraId="2E953D31">
      <w:pPr>
        <w:pStyle w:val="25"/>
        <w:keepNext w:val="0"/>
        <w:keepLines w:val="0"/>
        <w:pageBreakBefore w:val="0"/>
        <w:numPr>
          <w:ilvl w:val="0"/>
          <w:numId w:val="12"/>
        </w:numPr>
        <w:kinsoku/>
        <w:wordWrap/>
        <w:topLinePunct w:val="0"/>
        <w:bidi w:val="0"/>
        <w:snapToGrid/>
        <w:spacing w:line="460" w:lineRule="exact"/>
        <w:rPr>
          <w:color w:val="auto"/>
        </w:rPr>
      </w:pPr>
      <w:r>
        <w:rPr>
          <w:rFonts w:hint="eastAsia"/>
          <w:color w:val="auto"/>
        </w:rPr>
        <w:t>离场通知</w:t>
      </w:r>
    </w:p>
    <w:p w14:paraId="403D359E">
      <w:pPr>
        <w:keepNext w:val="0"/>
        <w:keepLines w:val="0"/>
        <w:pageBreakBefore w:val="0"/>
        <w:numPr>
          <w:ilvl w:val="0"/>
          <w:numId w:val="0"/>
        </w:numPr>
        <w:kinsoku/>
        <w:wordWrap/>
        <w:topLinePunct w:val="0"/>
        <w:bidi w:val="0"/>
        <w:snapToGrid/>
        <w:spacing w:line="460" w:lineRule="exact"/>
        <w:ind w:leftChars="0"/>
        <w:rPr>
          <w:color w:val="auto"/>
        </w:rPr>
      </w:pPr>
      <w:r>
        <w:rPr>
          <w:rFonts w:hint="eastAsia"/>
          <w:color w:val="auto"/>
        </w:rPr>
        <w:t>用户将车辆驶出后，感应到车辆驶离，系统将根据用户实际停车的时长进行停车费计算，并在用户钱包扣取对应金额，或形成账单通知客户缴费。结算成功后，将下发短信各微信信息通知用户。</w:t>
      </w:r>
    </w:p>
    <w:p w14:paraId="0BD0BF5C">
      <w:pPr>
        <w:keepNext w:val="0"/>
        <w:keepLines w:val="0"/>
        <w:pageBreakBefore w:val="0"/>
        <w:numPr>
          <w:ilvl w:val="0"/>
          <w:numId w:val="9"/>
        </w:numPr>
        <w:kinsoku/>
        <w:wordWrap/>
        <w:topLinePunct w:val="0"/>
        <w:bidi w:val="0"/>
        <w:snapToGrid/>
        <w:spacing w:line="460" w:lineRule="exact"/>
        <w:ind w:left="0" w:leftChars="0" w:firstLine="420" w:firstLineChars="0"/>
        <w:outlineLvl w:val="9"/>
        <w:rPr>
          <w:b/>
          <w:bCs/>
          <w:color w:val="auto"/>
        </w:rPr>
      </w:pPr>
      <w:r>
        <w:rPr>
          <w:rFonts w:hint="eastAsia"/>
          <w:b/>
          <w:bCs/>
          <w:color w:val="auto"/>
        </w:rPr>
        <w:t>路内车位终端信息采集设备</w:t>
      </w:r>
    </w:p>
    <w:p w14:paraId="408973DB">
      <w:pPr>
        <w:keepNext w:val="0"/>
        <w:keepLines w:val="0"/>
        <w:pageBreakBefore w:val="0"/>
        <w:numPr>
          <w:ilvl w:val="0"/>
          <w:numId w:val="0"/>
        </w:numPr>
        <w:kinsoku/>
        <w:wordWrap/>
        <w:topLinePunct w:val="0"/>
        <w:bidi w:val="0"/>
        <w:snapToGrid/>
        <w:spacing w:line="460" w:lineRule="exact"/>
        <w:ind w:leftChars="0" w:firstLine="420" w:firstLineChars="200"/>
        <w:rPr>
          <w:rFonts w:hint="eastAsia"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kern w:val="2"/>
          <w:sz w:val="21"/>
          <w:szCs w:val="21"/>
          <w:lang w:val="en-US" w:eastAsia="zh-CN" w:bidi="ar-SA"/>
        </w:rPr>
        <w:t>1、</w:t>
      </w:r>
      <w:r>
        <w:rPr>
          <w:rFonts w:hint="eastAsia" w:ascii="Times New Roman" w:hAnsi="Times New Roman" w:eastAsia="宋体" w:cs="Times New Roman"/>
          <w:b w:val="0"/>
          <w:bCs w:val="0"/>
          <w:color w:val="auto"/>
          <w:kern w:val="2"/>
          <w:sz w:val="21"/>
          <w:szCs w:val="21"/>
          <w:lang w:val="en-US" w:eastAsia="zh-CN" w:bidi="ar-SA"/>
        </w:rPr>
        <w:t>低位智慧车位感应器</w:t>
      </w:r>
    </w:p>
    <w:p w14:paraId="4B1F8F31">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color w:val="auto"/>
        </w:rPr>
      </w:pPr>
      <w:r>
        <w:rPr>
          <w:rFonts w:hint="eastAsia"/>
          <w:color w:val="auto"/>
        </w:rPr>
        <w:t>低位智慧车位感应器采用4G</w:t>
      </w:r>
      <w:r>
        <w:rPr>
          <w:color w:val="auto"/>
        </w:rPr>
        <w:t>/5G</w:t>
      </w:r>
      <w:r>
        <w:rPr>
          <w:rFonts w:hint="eastAsia"/>
          <w:color w:val="auto"/>
        </w:rPr>
        <w:t>网络技术实现感知设备与智慧云平台的无缝对接，可实现图片实时抓拍和上传，快速完成车牌识别和智能比对，完整的图片记录为订单的及时生成和无人化值守提供重要支撑。</w:t>
      </w:r>
    </w:p>
    <w:p w14:paraId="0A9F9ACA">
      <w:pPr>
        <w:pStyle w:val="35"/>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color w:val="auto"/>
        </w:rPr>
      </w:pPr>
      <w:r>
        <w:rPr>
          <w:rFonts w:hint="eastAsia" w:ascii="宋体" w:hAnsi="宋体"/>
          <w:color w:val="auto"/>
        </w:rPr>
        <w:t>采用广角高清摄像机作为前端车位管理感知设备，采用视频和超声波融合技术实现泊位状态检测、车辆停车行为的检测及抓拍，以图片形式记录车辆停车的完整过程，采用4G</w:t>
      </w:r>
      <w:r>
        <w:rPr>
          <w:rFonts w:hint="eastAsia" w:ascii="宋体" w:hAnsi="宋体"/>
          <w:color w:val="auto"/>
          <w:lang w:val="en-US"/>
        </w:rPr>
        <w:t>/5G</w:t>
      </w:r>
      <w:r>
        <w:rPr>
          <w:rFonts w:hint="eastAsia" w:ascii="宋体" w:hAnsi="宋体"/>
          <w:color w:val="auto"/>
        </w:rPr>
        <w:t>无线传输与停车云平台实时对接生成订单，信息及时传输给车主APP。此外，系统包含报警处理、设备运维管理、断网续传等。报警</w:t>
      </w:r>
      <w:r>
        <w:rPr>
          <w:rFonts w:hint="eastAsia"/>
          <w:color w:val="auto"/>
        </w:rPr>
        <w:t>处理主要针对抓拍图片是否有车牌，车牌是否一致，泊位是否存在重复入车，车牌是否存在未出车记录等条件判断报警信息，中心值守人员根据报警提示进行任务的认领和人工处理。设备运维管理包含心跳检测、电量上报、工作时间配置、远程唤醒、画面预览等功能。</w:t>
      </w:r>
    </w:p>
    <w:p w14:paraId="7148E42A">
      <w:pPr>
        <w:pStyle w:val="35"/>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color w:val="auto"/>
        </w:rPr>
      </w:pPr>
      <w:r>
        <w:rPr>
          <w:rFonts w:hint="eastAsia"/>
          <w:color w:val="auto"/>
        </w:rPr>
        <w:t>前端：路内低位智慧车位感应器摄像头对应管理泊位，超声波探测车辆进出行为，触发设备，换新摄像头动态停车过程图片抓拍，自动过滤低质量图片，并上传云端。</w:t>
      </w:r>
    </w:p>
    <w:p w14:paraId="037CEAF9">
      <w:pPr>
        <w:pStyle w:val="35"/>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ascii="宋体" w:hAnsi="宋体"/>
          <w:color w:val="auto"/>
        </w:rPr>
      </w:pPr>
      <w:r>
        <w:rPr>
          <w:rFonts w:hint="eastAsia" w:ascii="宋体" w:hAnsi="宋体"/>
          <w:color w:val="auto"/>
        </w:rPr>
        <w:t>后端：智慧停车云平台及功能辅助平台。</w:t>
      </w:r>
    </w:p>
    <w:p w14:paraId="6771C188">
      <w:pPr>
        <w:pStyle w:val="35"/>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b/>
          <w:bCs/>
          <w:color w:val="auto"/>
        </w:rPr>
      </w:pPr>
      <w:r>
        <w:rPr>
          <w:rFonts w:hint="eastAsia" w:ascii="宋体" w:hAnsi="宋体"/>
          <w:color w:val="auto"/>
        </w:rPr>
        <w:t>网络：前端到通过</w:t>
      </w:r>
      <w:r>
        <w:rPr>
          <w:rFonts w:hint="eastAsia" w:ascii="宋体" w:hAnsi="宋体"/>
          <w:color w:val="auto"/>
          <w:lang w:val="en-US"/>
        </w:rPr>
        <w:t>移动</w:t>
      </w:r>
      <w:r>
        <w:rPr>
          <w:rFonts w:hint="eastAsia" w:ascii="宋体" w:hAnsi="宋体"/>
          <w:color w:val="auto"/>
        </w:rPr>
        <w:t>4G</w:t>
      </w:r>
      <w:r>
        <w:rPr>
          <w:rFonts w:ascii="宋体" w:hAnsi="宋体"/>
          <w:color w:val="auto"/>
        </w:rPr>
        <w:t>/5G</w:t>
      </w:r>
      <w:r>
        <w:rPr>
          <w:rFonts w:hint="eastAsia" w:ascii="宋体" w:hAnsi="宋体"/>
          <w:color w:val="auto"/>
        </w:rPr>
        <w:t>网络与后端系统实现通信。</w:t>
      </w:r>
    </w:p>
    <w:p w14:paraId="4360AD5D">
      <w:pPr>
        <w:keepNext w:val="0"/>
        <w:keepLines w:val="0"/>
        <w:pageBreakBefore w:val="0"/>
        <w:numPr>
          <w:ilvl w:val="0"/>
          <w:numId w:val="0"/>
        </w:numPr>
        <w:kinsoku/>
        <w:wordWrap/>
        <w:topLinePunct w:val="0"/>
        <w:bidi w:val="0"/>
        <w:snapToGrid/>
        <w:spacing w:line="460" w:lineRule="exact"/>
        <w:ind w:leftChars="0" w:firstLine="422" w:firstLineChars="200"/>
        <w:rPr>
          <w:b/>
          <w:bCs/>
          <w:color w:val="auto"/>
        </w:rPr>
      </w:pPr>
      <w:r>
        <w:rPr>
          <w:rFonts w:hint="eastAsia"/>
          <w:b/>
          <w:bCs/>
          <w:color w:val="auto"/>
          <w:lang w:val="en-US" w:eastAsia="zh-CN"/>
        </w:rPr>
        <w:t>2、</w:t>
      </w:r>
      <w:r>
        <w:rPr>
          <w:rFonts w:hint="eastAsia"/>
          <w:b/>
          <w:bCs/>
          <w:color w:val="auto"/>
        </w:rPr>
        <w:t>设备&amp;系统特点</w:t>
      </w:r>
    </w:p>
    <w:p w14:paraId="6360FBCC">
      <w:pPr>
        <w:pStyle w:val="35"/>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color w:val="auto"/>
        </w:rPr>
      </w:pPr>
      <w:r>
        <w:rPr>
          <w:rFonts w:hint="eastAsia" w:ascii="宋体" w:hAnsi="宋体"/>
          <w:color w:val="auto"/>
        </w:rPr>
        <w:t>拆装灵活</w:t>
      </w:r>
    </w:p>
    <w:p w14:paraId="7A2FA159">
      <w:pPr>
        <w:pStyle w:val="35"/>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color w:val="auto"/>
        </w:rPr>
      </w:pPr>
      <w:r>
        <w:rPr>
          <w:rFonts w:hint="eastAsia" w:ascii="宋体" w:hAnsi="宋体"/>
          <w:color w:val="auto"/>
        </w:rPr>
        <w:t>低位智慧车位感应器可根据城市建设，实现灵活拆装，随拆随装，一次投入，永久使用，无任何浪费之忧。</w:t>
      </w:r>
    </w:p>
    <w:p w14:paraId="42DBCD35">
      <w:pPr>
        <w:pStyle w:val="35"/>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color w:val="auto"/>
        </w:rPr>
      </w:pPr>
      <w:r>
        <w:rPr>
          <w:rFonts w:hint="eastAsia" w:ascii="宋体" w:hAnsi="宋体"/>
          <w:color w:val="auto"/>
        </w:rPr>
        <w:t>车位VIP专属管理</w:t>
      </w:r>
    </w:p>
    <w:p w14:paraId="29E4E0E2">
      <w:pPr>
        <w:pStyle w:val="35"/>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color w:val="auto"/>
        </w:rPr>
      </w:pPr>
      <w:r>
        <w:rPr>
          <w:rFonts w:hint="eastAsia" w:ascii="宋体" w:hAnsi="宋体"/>
          <w:color w:val="auto"/>
        </w:rPr>
        <w:t>每个泊位可由低位智慧车位感应器专属管理，提高泊位停车状态的精准感知，及时捕捉车辆进入和驶离，有效避免漏拍。</w:t>
      </w:r>
    </w:p>
    <w:p w14:paraId="52F6691C">
      <w:pPr>
        <w:pStyle w:val="35"/>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color w:val="auto"/>
        </w:rPr>
      </w:pPr>
      <w:r>
        <w:rPr>
          <w:rFonts w:hint="eastAsia" w:ascii="宋体" w:hAnsi="宋体"/>
          <w:color w:val="auto"/>
        </w:rPr>
        <w:t>车辆进出图片拍摄更全面</w:t>
      </w:r>
    </w:p>
    <w:p w14:paraId="2A65A2F5">
      <w:pPr>
        <w:pStyle w:val="35"/>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color w:val="auto"/>
        </w:rPr>
      </w:pPr>
      <w:r>
        <w:rPr>
          <w:rFonts w:hint="eastAsia" w:ascii="宋体" w:hAnsi="宋体"/>
          <w:color w:val="auto"/>
        </w:rPr>
        <w:t>低位智慧车位感应器可以拍摄当前车位的车头，为车牌算法的精准识别提供强有力的数据支撑，车辆进出泊位图片在云平台长期保存，为后续纠纷提供证明资料。</w:t>
      </w:r>
    </w:p>
    <w:p w14:paraId="4155EDCA">
      <w:pPr>
        <w:pStyle w:val="35"/>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color w:val="auto"/>
        </w:rPr>
      </w:pPr>
      <w:r>
        <w:rPr>
          <w:rFonts w:hint="eastAsia" w:ascii="宋体" w:hAnsi="宋体"/>
          <w:color w:val="auto"/>
        </w:rPr>
        <w:t>内置电池，太阳能续电更无忧</w:t>
      </w:r>
    </w:p>
    <w:p w14:paraId="004916B4">
      <w:pPr>
        <w:pStyle w:val="35"/>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color w:val="auto"/>
        </w:rPr>
      </w:pPr>
      <w:r>
        <w:rPr>
          <w:rFonts w:hint="eastAsia" w:ascii="宋体" w:hAnsi="宋体"/>
          <w:color w:val="auto"/>
        </w:rPr>
        <w:t>低位智慧车位感应器内置电池，一次性运行时间可达到6个月以上，星斑级充电，充一天用三天，减少碳排放，紧跟国策，扎实做好碳达峰、碳中和各项指标，同时实现降低建设和运维成本。</w:t>
      </w:r>
    </w:p>
    <w:p w14:paraId="3F63B982">
      <w:pPr>
        <w:pStyle w:val="35"/>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color w:val="auto"/>
        </w:rPr>
      </w:pPr>
      <w:r>
        <w:rPr>
          <w:rFonts w:hint="eastAsia" w:ascii="宋体" w:hAnsi="宋体"/>
          <w:color w:val="auto"/>
        </w:rPr>
        <w:t>全网4G/5G无线传输</w:t>
      </w:r>
    </w:p>
    <w:p w14:paraId="7B9151B7">
      <w:pPr>
        <w:pStyle w:val="35"/>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color w:val="auto"/>
        </w:rPr>
      </w:pPr>
      <w:r>
        <w:rPr>
          <w:rFonts w:hint="eastAsia" w:ascii="宋体" w:hAnsi="宋体"/>
          <w:color w:val="auto"/>
        </w:rPr>
        <w:t>低位智慧车位感应器通过安装移动4G/5G网络卡，实现数据的实时传输，无需建设任何网络中继器，减少施工，降低建设和运营成本。</w:t>
      </w:r>
    </w:p>
    <w:p w14:paraId="1E6CE6B1">
      <w:pPr>
        <w:keepNext w:val="0"/>
        <w:keepLines w:val="0"/>
        <w:pageBreakBefore w:val="0"/>
        <w:numPr>
          <w:ilvl w:val="0"/>
          <w:numId w:val="9"/>
        </w:numPr>
        <w:kinsoku/>
        <w:wordWrap/>
        <w:topLinePunct w:val="0"/>
        <w:bidi w:val="0"/>
        <w:snapToGrid/>
        <w:spacing w:line="460" w:lineRule="exact"/>
        <w:ind w:left="0" w:leftChars="0" w:firstLine="420" w:firstLineChars="0"/>
        <w:outlineLvl w:val="9"/>
        <w:rPr>
          <w:b/>
          <w:bCs/>
          <w:color w:val="auto"/>
        </w:rPr>
      </w:pPr>
      <w:bookmarkStart w:id="2" w:name="_Toc12395"/>
      <w:bookmarkStart w:id="3" w:name="_Toc3547"/>
      <w:r>
        <w:rPr>
          <w:rFonts w:hint="eastAsia"/>
          <w:b/>
          <w:bCs/>
          <w:color w:val="auto"/>
        </w:rPr>
        <w:t>路外停车场智能</w:t>
      </w:r>
      <w:bookmarkEnd w:id="2"/>
      <w:r>
        <w:rPr>
          <w:rFonts w:hint="eastAsia"/>
          <w:b/>
          <w:bCs/>
          <w:color w:val="auto"/>
        </w:rPr>
        <w:t>化设备</w:t>
      </w:r>
      <w:bookmarkEnd w:id="3"/>
    </w:p>
    <w:p w14:paraId="5E86B087">
      <w:pPr>
        <w:pStyle w:val="35"/>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ascii="宋体" w:hAnsi="宋体"/>
          <w:color w:val="auto"/>
        </w:rPr>
      </w:pPr>
      <w:r>
        <w:rPr>
          <w:rFonts w:ascii="宋体" w:hAnsi="宋体"/>
          <w:color w:val="auto"/>
        </w:rPr>
        <w:t>对停车场进行智能化建设，通过高速车牌扫描技术、网络ETC无感支付技术、移动</w:t>
      </w:r>
      <w:r>
        <w:rPr>
          <w:rFonts w:hint="eastAsia" w:ascii="宋体" w:hAnsi="宋体"/>
          <w:color w:val="auto"/>
        </w:rPr>
        <w:t>互联网</w:t>
      </w:r>
      <w:r>
        <w:rPr>
          <w:rFonts w:ascii="宋体" w:hAnsi="宋体"/>
          <w:color w:val="auto"/>
        </w:rPr>
        <w:t>等技术改造室内停车场，打造不停车出入的智慧型停车场，为用户带来方便快捷的极致停车体验，减轻停车场管理工作压力和工作强度，降低停车场运营成本，有效提高停车场运营效率和管理水平。</w:t>
      </w:r>
    </w:p>
    <w:p w14:paraId="75996165">
      <w:pPr>
        <w:keepNext w:val="0"/>
        <w:keepLines w:val="0"/>
        <w:pageBreakBefore w:val="0"/>
        <w:numPr>
          <w:ilvl w:val="0"/>
          <w:numId w:val="4"/>
        </w:numPr>
        <w:kinsoku/>
        <w:wordWrap/>
        <w:topLinePunct w:val="0"/>
        <w:bidi w:val="0"/>
        <w:snapToGrid/>
        <w:spacing w:line="460" w:lineRule="exact"/>
        <w:outlineLvl w:val="2"/>
        <w:rPr>
          <w:rFonts w:hint="eastAsia"/>
          <w:b/>
          <w:bCs/>
          <w:color w:val="auto"/>
        </w:rPr>
      </w:pPr>
      <w:r>
        <w:rPr>
          <w:rFonts w:hint="eastAsia"/>
          <w:b/>
          <w:bCs/>
          <w:color w:val="auto"/>
        </w:rPr>
        <w:t>项目实施进度</w:t>
      </w:r>
    </w:p>
    <w:p w14:paraId="3910BD03">
      <w:pPr>
        <w:keepNext w:val="0"/>
        <w:keepLines w:val="0"/>
        <w:pageBreakBefore w:val="0"/>
        <w:numPr>
          <w:ilvl w:val="0"/>
          <w:numId w:val="13"/>
        </w:numPr>
        <w:kinsoku/>
        <w:wordWrap/>
        <w:topLinePunct w:val="0"/>
        <w:bidi w:val="0"/>
        <w:snapToGrid/>
        <w:spacing w:line="460" w:lineRule="exact"/>
        <w:ind w:left="0" w:leftChars="0" w:firstLine="420" w:firstLineChars="0"/>
        <w:outlineLvl w:val="9"/>
        <w:rPr>
          <w:rFonts w:hint="eastAsia"/>
          <w:b/>
          <w:bCs/>
          <w:color w:val="auto"/>
        </w:rPr>
      </w:pPr>
      <w:r>
        <w:rPr>
          <w:rFonts w:hint="eastAsia"/>
          <w:b/>
          <w:bCs/>
          <w:color w:val="auto"/>
        </w:rPr>
        <w:t>项目施工建设周期</w:t>
      </w:r>
    </w:p>
    <w:p w14:paraId="6A713B3D">
      <w:pPr>
        <w:keepNext w:val="0"/>
        <w:keepLines w:val="0"/>
        <w:pageBreakBefore w:val="0"/>
        <w:kinsoku/>
        <w:wordWrap/>
        <w:topLinePunct w:val="0"/>
        <w:bidi w:val="0"/>
        <w:snapToGrid/>
        <w:spacing w:line="460" w:lineRule="exact"/>
        <w:ind w:firstLine="420" w:firstLineChars="200"/>
        <w:outlineLvl w:val="9"/>
        <w:rPr>
          <w:rFonts w:hint="eastAsia"/>
          <w:color w:val="auto"/>
        </w:rPr>
      </w:pPr>
      <w:r>
        <w:rPr>
          <w:rFonts w:hint="eastAsia"/>
          <w:color w:val="auto"/>
        </w:rPr>
        <w:t>本项目建设试运营期为2年，考虑项目的先行性，需要一定的宣传和试运营期，试点工期6个月。</w:t>
      </w:r>
    </w:p>
    <w:p w14:paraId="28383C3C">
      <w:pPr>
        <w:keepNext w:val="0"/>
        <w:keepLines w:val="0"/>
        <w:pageBreakBefore w:val="0"/>
        <w:numPr>
          <w:ilvl w:val="0"/>
          <w:numId w:val="13"/>
        </w:numPr>
        <w:kinsoku/>
        <w:wordWrap/>
        <w:topLinePunct w:val="0"/>
        <w:bidi w:val="0"/>
        <w:snapToGrid/>
        <w:spacing w:line="460" w:lineRule="exact"/>
        <w:ind w:left="0" w:leftChars="0" w:firstLine="420" w:firstLineChars="0"/>
        <w:outlineLvl w:val="9"/>
        <w:rPr>
          <w:rFonts w:hint="eastAsia"/>
          <w:b/>
          <w:bCs/>
          <w:color w:val="auto"/>
        </w:rPr>
      </w:pPr>
      <w:r>
        <w:rPr>
          <w:rFonts w:hint="eastAsia"/>
          <w:b/>
          <w:bCs/>
          <w:color w:val="auto"/>
        </w:rPr>
        <w:t>实施进度计划</w:t>
      </w:r>
    </w:p>
    <w:p w14:paraId="7CD21AD3">
      <w:pPr>
        <w:keepNext w:val="0"/>
        <w:keepLines w:val="0"/>
        <w:pageBreakBefore w:val="0"/>
        <w:widowControl w:val="0"/>
        <w:numPr>
          <w:ilvl w:val="0"/>
          <w:numId w:val="0"/>
        </w:numPr>
        <w:kinsoku/>
        <w:wordWrap/>
        <w:topLinePunct w:val="0"/>
        <w:bidi w:val="0"/>
        <w:snapToGrid/>
        <w:spacing w:line="500" w:lineRule="exact"/>
        <w:ind w:left="420" w:leftChars="0"/>
        <w:outlineLvl w:val="9"/>
        <w:rPr>
          <w:rFonts w:hint="eastAsia"/>
          <w:color w:val="auto"/>
        </w:rPr>
      </w:pPr>
      <w:r>
        <w:rPr>
          <w:rFonts w:hint="eastAsia"/>
          <w:color w:val="auto"/>
        </w:rPr>
        <w:t>本项目实施过程可分为以下三个阶段：</w:t>
      </w:r>
    </w:p>
    <w:p w14:paraId="2D092BA1">
      <w:pPr>
        <w:keepNext w:val="0"/>
        <w:keepLines w:val="0"/>
        <w:pageBreakBefore w:val="0"/>
        <w:widowControl w:val="0"/>
        <w:numPr>
          <w:ilvl w:val="0"/>
          <w:numId w:val="0"/>
        </w:numPr>
        <w:kinsoku/>
        <w:wordWrap/>
        <w:topLinePunct w:val="0"/>
        <w:bidi w:val="0"/>
        <w:snapToGrid/>
        <w:spacing w:line="500" w:lineRule="exact"/>
        <w:ind w:leftChars="0" w:firstLine="420" w:firstLineChars="200"/>
        <w:rPr>
          <w:rFonts w:hint="eastAsia"/>
          <w:color w:val="auto"/>
        </w:rPr>
      </w:pPr>
      <w:r>
        <w:rPr>
          <w:rFonts w:hint="eastAsia"/>
          <w:color w:val="auto"/>
          <w:lang w:val="en-US" w:eastAsia="zh-CN"/>
        </w:rPr>
        <w:t>1、</w:t>
      </w:r>
      <w:r>
        <w:rPr>
          <w:rFonts w:hint="eastAsia"/>
          <w:color w:val="auto"/>
        </w:rPr>
        <w:t>项目前期策划与决策阶段：主要工作包括投资机会研究、可研报告的编制和项目评估及决策。</w:t>
      </w:r>
    </w:p>
    <w:p w14:paraId="24A2DF7F">
      <w:pPr>
        <w:keepNext w:val="0"/>
        <w:keepLines w:val="0"/>
        <w:pageBreakBefore w:val="0"/>
        <w:widowControl w:val="0"/>
        <w:numPr>
          <w:ilvl w:val="0"/>
          <w:numId w:val="0"/>
        </w:numPr>
        <w:kinsoku/>
        <w:wordWrap/>
        <w:topLinePunct w:val="0"/>
        <w:bidi w:val="0"/>
        <w:snapToGrid/>
        <w:spacing w:line="500" w:lineRule="exact"/>
        <w:ind w:leftChars="0" w:firstLine="420" w:firstLineChars="200"/>
        <w:rPr>
          <w:rFonts w:hint="eastAsia"/>
          <w:color w:val="auto"/>
        </w:rPr>
      </w:pPr>
      <w:r>
        <w:rPr>
          <w:rFonts w:hint="eastAsia"/>
          <w:color w:val="auto"/>
          <w:lang w:val="en-US" w:eastAsia="zh-CN"/>
        </w:rPr>
        <w:t>2、</w:t>
      </w:r>
      <w:r>
        <w:rPr>
          <w:rFonts w:hint="eastAsia"/>
          <w:color w:val="auto"/>
        </w:rPr>
        <w:t>项目准备阶段：主要工作包括工程项目的初步设计和施工图设计，工程项目征地及建设条件的准备，设备、工程招标及承包商的选定、签订承包合同。</w:t>
      </w:r>
    </w:p>
    <w:p w14:paraId="49DEE1C3">
      <w:pPr>
        <w:keepNext w:val="0"/>
        <w:keepLines w:val="0"/>
        <w:pageBreakBefore w:val="0"/>
        <w:widowControl w:val="0"/>
        <w:numPr>
          <w:ilvl w:val="0"/>
          <w:numId w:val="0"/>
        </w:numPr>
        <w:kinsoku/>
        <w:wordWrap/>
        <w:topLinePunct w:val="0"/>
        <w:bidi w:val="0"/>
        <w:snapToGrid/>
        <w:spacing w:line="500" w:lineRule="exact"/>
        <w:ind w:leftChars="0" w:firstLine="420" w:firstLineChars="200"/>
        <w:rPr>
          <w:rFonts w:hint="eastAsia"/>
          <w:color w:val="auto"/>
        </w:rPr>
      </w:pPr>
      <w:r>
        <w:rPr>
          <w:rFonts w:hint="eastAsia"/>
          <w:color w:val="auto"/>
          <w:lang w:val="en-US" w:eastAsia="zh-CN"/>
        </w:rPr>
        <w:t>3、</w:t>
      </w:r>
      <w:r>
        <w:rPr>
          <w:rFonts w:hint="eastAsia"/>
          <w:color w:val="auto"/>
        </w:rPr>
        <w:t>工程实施阶段：主要工作</w:t>
      </w:r>
      <w:r>
        <w:rPr>
          <w:rFonts w:hint="eastAsia"/>
          <w:color w:val="auto"/>
          <w:lang w:val="en-US" w:eastAsia="zh-CN"/>
        </w:rPr>
        <w:t>为本项目</w:t>
      </w:r>
      <w:r>
        <w:rPr>
          <w:rFonts w:hint="eastAsia"/>
          <w:color w:val="auto"/>
        </w:rPr>
        <w:t>路内和路外停车泊位的土建施工、设备安装、竣工验收等。</w:t>
      </w:r>
    </w:p>
    <w:p w14:paraId="1FF917E2">
      <w:pPr>
        <w:keepNext w:val="0"/>
        <w:keepLines w:val="0"/>
        <w:pageBreakBefore w:val="0"/>
        <w:widowControl w:val="0"/>
        <w:numPr>
          <w:ilvl w:val="0"/>
          <w:numId w:val="13"/>
        </w:numPr>
        <w:kinsoku/>
        <w:wordWrap/>
        <w:topLinePunct w:val="0"/>
        <w:bidi w:val="0"/>
        <w:snapToGrid/>
        <w:spacing w:line="500" w:lineRule="exact"/>
        <w:ind w:left="0" w:leftChars="0" w:firstLine="420" w:firstLineChars="0"/>
        <w:outlineLvl w:val="9"/>
        <w:rPr>
          <w:b/>
          <w:bCs/>
          <w:color w:val="auto"/>
        </w:rPr>
      </w:pPr>
      <w:r>
        <w:rPr>
          <w:rFonts w:hint="eastAsia"/>
          <w:b/>
          <w:bCs/>
          <w:color w:val="auto"/>
        </w:rPr>
        <w:t>项目成功的关键因素把控</w:t>
      </w:r>
    </w:p>
    <w:p w14:paraId="4E8E8904">
      <w:pPr>
        <w:keepNext w:val="0"/>
        <w:keepLines w:val="0"/>
        <w:pageBreakBefore w:val="0"/>
        <w:widowControl w:val="0"/>
        <w:numPr>
          <w:ilvl w:val="0"/>
          <w:numId w:val="0"/>
        </w:numPr>
        <w:kinsoku/>
        <w:wordWrap/>
        <w:topLinePunct w:val="0"/>
        <w:bidi w:val="0"/>
        <w:snapToGrid/>
        <w:spacing w:line="500" w:lineRule="exact"/>
        <w:ind w:leftChars="0" w:firstLine="420" w:firstLineChars="200"/>
        <w:rPr>
          <w:color w:val="auto"/>
        </w:rPr>
      </w:pPr>
      <w:r>
        <w:rPr>
          <w:rFonts w:hint="eastAsia"/>
          <w:color w:val="auto"/>
          <w:lang w:val="en-US" w:eastAsia="zh-CN"/>
        </w:rPr>
        <w:t>1、</w:t>
      </w:r>
      <w:r>
        <w:rPr>
          <w:rFonts w:hint="eastAsia"/>
          <w:color w:val="auto"/>
        </w:rPr>
        <w:t>明确项目落地牵头单位</w:t>
      </w:r>
    </w:p>
    <w:p w14:paraId="31D8A37E">
      <w:pPr>
        <w:keepNext w:val="0"/>
        <w:keepLines w:val="0"/>
        <w:pageBreakBefore w:val="0"/>
        <w:widowControl w:val="0"/>
        <w:kinsoku/>
        <w:wordWrap/>
        <w:overflowPunct/>
        <w:topLinePunct w:val="0"/>
        <w:autoSpaceDE/>
        <w:autoSpaceDN/>
        <w:bidi w:val="0"/>
        <w:adjustRightInd w:val="0"/>
        <w:snapToGrid/>
        <w:spacing w:line="500" w:lineRule="exact"/>
        <w:ind w:firstLine="420" w:firstLineChars="200"/>
        <w:textAlignment w:val="auto"/>
        <w:rPr>
          <w:color w:val="auto"/>
        </w:rPr>
      </w:pPr>
      <w:r>
        <w:rPr>
          <w:rFonts w:hint="eastAsia"/>
          <w:color w:val="auto"/>
        </w:rPr>
        <w:t>为了更好的开展项目工作，帮助解决项目落地过程中所遇到的困难，确保落地项目细化分工以及多方单位合作共处，需明确牵头单位，落实专人负责，以组织和协调各方工作。</w:t>
      </w:r>
    </w:p>
    <w:p w14:paraId="5AFD92BA">
      <w:pPr>
        <w:keepNext w:val="0"/>
        <w:keepLines w:val="0"/>
        <w:pageBreakBefore w:val="0"/>
        <w:widowControl w:val="0"/>
        <w:numPr>
          <w:ilvl w:val="0"/>
          <w:numId w:val="0"/>
        </w:numPr>
        <w:kinsoku/>
        <w:wordWrap/>
        <w:topLinePunct w:val="0"/>
        <w:bidi w:val="0"/>
        <w:snapToGrid/>
        <w:spacing w:line="500" w:lineRule="exact"/>
        <w:ind w:leftChars="0" w:firstLine="420" w:firstLineChars="200"/>
        <w:rPr>
          <w:color w:val="auto"/>
        </w:rPr>
      </w:pPr>
      <w:r>
        <w:rPr>
          <w:rFonts w:hint="eastAsia"/>
          <w:color w:val="auto"/>
          <w:lang w:val="en-US" w:eastAsia="zh-CN"/>
        </w:rPr>
        <w:t>2、</w:t>
      </w:r>
      <w:r>
        <w:rPr>
          <w:rFonts w:hint="eastAsia"/>
          <w:color w:val="auto"/>
        </w:rPr>
        <w:t>制定出台路内停车规范、收费相关政策</w:t>
      </w:r>
    </w:p>
    <w:p w14:paraId="674A76FE">
      <w:pPr>
        <w:keepNext w:val="0"/>
        <w:keepLines w:val="0"/>
        <w:pageBreakBefore w:val="0"/>
        <w:widowControl w:val="0"/>
        <w:kinsoku/>
        <w:wordWrap/>
        <w:overflowPunct/>
        <w:topLinePunct w:val="0"/>
        <w:autoSpaceDE/>
        <w:autoSpaceDN/>
        <w:bidi w:val="0"/>
        <w:adjustRightInd w:val="0"/>
        <w:snapToGrid/>
        <w:spacing w:line="500" w:lineRule="exact"/>
        <w:ind w:firstLine="420" w:firstLineChars="200"/>
        <w:textAlignment w:val="auto"/>
        <w:rPr>
          <w:color w:val="auto"/>
        </w:rPr>
      </w:pPr>
      <w:r>
        <w:rPr>
          <w:rFonts w:hint="eastAsia"/>
          <w:color w:val="auto"/>
        </w:rPr>
        <w:t>为合理利用城市现有公共停车资源，缓解停车供需矛盾，规范车辆停放秩序，确保市民安全便捷出行，遵守道路交通有序、安全、畅通的原则，需出台海陵区路内停车规范政策和收费制度。</w:t>
      </w:r>
    </w:p>
    <w:p w14:paraId="78F0596A">
      <w:pPr>
        <w:keepNext w:val="0"/>
        <w:keepLines w:val="0"/>
        <w:pageBreakBefore w:val="0"/>
        <w:widowControl w:val="0"/>
        <w:numPr>
          <w:ilvl w:val="0"/>
          <w:numId w:val="0"/>
        </w:numPr>
        <w:kinsoku/>
        <w:wordWrap/>
        <w:topLinePunct w:val="0"/>
        <w:bidi w:val="0"/>
        <w:snapToGrid/>
        <w:spacing w:line="500" w:lineRule="exact"/>
        <w:ind w:leftChars="0" w:firstLine="420" w:firstLineChars="200"/>
        <w:rPr>
          <w:color w:val="auto"/>
        </w:rPr>
      </w:pPr>
      <w:r>
        <w:rPr>
          <w:rFonts w:hint="eastAsia"/>
          <w:color w:val="auto"/>
          <w:lang w:val="en-US" w:eastAsia="zh-CN"/>
        </w:rPr>
        <w:t>3、</w:t>
      </w:r>
      <w:r>
        <w:rPr>
          <w:rFonts w:hint="eastAsia"/>
          <w:color w:val="auto"/>
        </w:rPr>
        <w:t>完善</w:t>
      </w:r>
      <w:r>
        <w:rPr>
          <w:color w:val="auto"/>
        </w:rPr>
        <w:t>城市停车管理法规制度。</w:t>
      </w:r>
    </w:p>
    <w:p w14:paraId="654F0BE5">
      <w:pPr>
        <w:keepNext w:val="0"/>
        <w:keepLines w:val="0"/>
        <w:pageBreakBefore w:val="0"/>
        <w:widowControl w:val="0"/>
        <w:kinsoku/>
        <w:wordWrap/>
        <w:overflowPunct/>
        <w:topLinePunct w:val="0"/>
        <w:autoSpaceDE/>
        <w:autoSpaceDN/>
        <w:bidi w:val="0"/>
        <w:adjustRightInd w:val="0"/>
        <w:snapToGrid/>
        <w:spacing w:line="500" w:lineRule="exact"/>
        <w:ind w:firstLine="420" w:firstLineChars="200"/>
        <w:textAlignment w:val="auto"/>
        <w:rPr>
          <w:color w:val="auto"/>
        </w:rPr>
      </w:pPr>
      <w:r>
        <w:rPr>
          <w:color w:val="auto"/>
        </w:rPr>
        <w:t>依照</w:t>
      </w:r>
      <w:r>
        <w:rPr>
          <w:rFonts w:hint="eastAsia"/>
          <w:color w:val="auto"/>
        </w:rPr>
        <w:t>有关</w:t>
      </w:r>
      <w:r>
        <w:rPr>
          <w:color w:val="auto"/>
        </w:rPr>
        <w:t>法律法规，结合本地停车管理实际，充分运用地方立法权，推动制定地方性停车管理法规制度、建立设施建设运营机制，为依法治理停车问题提供法律支持和保障。</w:t>
      </w:r>
    </w:p>
    <w:p w14:paraId="08BD5EB8">
      <w:pPr>
        <w:keepNext w:val="0"/>
        <w:keepLines w:val="0"/>
        <w:pageBreakBefore w:val="0"/>
        <w:widowControl w:val="0"/>
        <w:numPr>
          <w:ilvl w:val="0"/>
          <w:numId w:val="0"/>
        </w:numPr>
        <w:kinsoku/>
        <w:wordWrap/>
        <w:topLinePunct w:val="0"/>
        <w:bidi w:val="0"/>
        <w:snapToGrid/>
        <w:spacing w:line="500" w:lineRule="exact"/>
        <w:ind w:leftChars="0" w:firstLine="420" w:firstLineChars="200"/>
        <w:rPr>
          <w:color w:val="auto"/>
        </w:rPr>
      </w:pPr>
      <w:r>
        <w:rPr>
          <w:rFonts w:hint="eastAsia"/>
          <w:color w:val="auto"/>
          <w:lang w:val="en-US" w:eastAsia="zh-CN"/>
        </w:rPr>
        <w:t>4、</w:t>
      </w:r>
      <w:r>
        <w:rPr>
          <w:rFonts w:hint="eastAsia"/>
          <w:color w:val="auto"/>
        </w:rPr>
        <w:t>依法</w:t>
      </w:r>
      <w:r>
        <w:rPr>
          <w:color w:val="auto"/>
        </w:rPr>
        <w:t>惩处违法停车行为。</w:t>
      </w:r>
    </w:p>
    <w:p w14:paraId="44BA6E08">
      <w:pPr>
        <w:keepNext w:val="0"/>
        <w:keepLines w:val="0"/>
        <w:pageBreakBefore w:val="0"/>
        <w:widowControl w:val="0"/>
        <w:kinsoku/>
        <w:wordWrap/>
        <w:overflowPunct/>
        <w:topLinePunct w:val="0"/>
        <w:autoSpaceDE/>
        <w:autoSpaceDN/>
        <w:bidi w:val="0"/>
        <w:adjustRightInd w:val="0"/>
        <w:snapToGrid/>
        <w:spacing w:line="500" w:lineRule="exact"/>
        <w:ind w:firstLine="420" w:firstLineChars="200"/>
        <w:textAlignment w:val="auto"/>
        <w:rPr>
          <w:color w:val="auto"/>
        </w:rPr>
      </w:pPr>
      <w:r>
        <w:rPr>
          <w:color w:val="auto"/>
        </w:rPr>
        <w:t>公开</w:t>
      </w:r>
      <w:r>
        <w:rPr>
          <w:rFonts w:hint="eastAsia"/>
          <w:color w:val="auto"/>
        </w:rPr>
        <w:t>公示</w:t>
      </w:r>
      <w:r>
        <w:rPr>
          <w:color w:val="auto"/>
        </w:rPr>
        <w:t>禁停区域、路段、时段，综合运用民警巡逻、执法车摄录、监控设备抓拍等多种手段，及时查处违法停车行为。发挥清障车辆作用，及时拖移违停车辆，提高违法停车时间成本。将驾驶人在同一地点的多次违法停车行为，记入交通出行领域信用信息数据库并依法公示，对失信行为实施联合惩戒。</w:t>
      </w:r>
    </w:p>
    <w:p w14:paraId="7D3B8A20">
      <w:pPr>
        <w:keepNext w:val="0"/>
        <w:keepLines w:val="0"/>
        <w:pageBreakBefore w:val="0"/>
        <w:widowControl w:val="0"/>
        <w:kinsoku/>
        <w:wordWrap/>
        <w:overflowPunct/>
        <w:topLinePunct w:val="0"/>
        <w:autoSpaceDE/>
        <w:autoSpaceDN/>
        <w:bidi w:val="0"/>
        <w:adjustRightInd w:val="0"/>
        <w:snapToGrid/>
        <w:spacing w:line="500" w:lineRule="exact"/>
        <w:ind w:firstLine="420" w:firstLineChars="200"/>
        <w:textAlignment w:val="auto"/>
        <w:rPr>
          <w:color w:val="auto"/>
        </w:rPr>
      </w:pPr>
      <w:r>
        <w:rPr>
          <w:rFonts w:hint="eastAsia"/>
          <w:color w:val="auto"/>
        </w:rPr>
        <w:t>主旨：出台政策，协助项目正常运营，杜绝国有资产流失。</w:t>
      </w:r>
    </w:p>
    <w:p w14:paraId="39F89497">
      <w:pPr>
        <w:keepNext w:val="0"/>
        <w:keepLines w:val="0"/>
        <w:pageBreakBefore w:val="0"/>
        <w:widowControl w:val="0"/>
        <w:numPr>
          <w:ilvl w:val="0"/>
          <w:numId w:val="13"/>
        </w:numPr>
        <w:kinsoku/>
        <w:wordWrap/>
        <w:topLinePunct w:val="0"/>
        <w:bidi w:val="0"/>
        <w:snapToGrid/>
        <w:spacing w:line="500" w:lineRule="exact"/>
        <w:ind w:left="0" w:leftChars="0" w:firstLine="420" w:firstLineChars="0"/>
        <w:outlineLvl w:val="9"/>
        <w:rPr>
          <w:b/>
          <w:bCs/>
          <w:color w:val="auto"/>
        </w:rPr>
      </w:pPr>
      <w:bookmarkStart w:id="4" w:name="_Toc4571"/>
      <w:bookmarkStart w:id="5" w:name="_Toc79175108"/>
      <w:bookmarkStart w:id="6" w:name="_Toc79170107"/>
      <w:bookmarkStart w:id="7" w:name="_Toc16079"/>
      <w:r>
        <w:rPr>
          <w:rFonts w:hint="eastAsia"/>
          <w:b/>
          <w:bCs/>
          <w:color w:val="auto"/>
        </w:rPr>
        <w:t>质量与进度保障</w:t>
      </w:r>
      <w:bookmarkEnd w:id="4"/>
      <w:bookmarkEnd w:id="5"/>
      <w:bookmarkEnd w:id="6"/>
      <w:bookmarkEnd w:id="7"/>
    </w:p>
    <w:p w14:paraId="17403777">
      <w:pPr>
        <w:keepNext w:val="0"/>
        <w:keepLines w:val="0"/>
        <w:pageBreakBefore w:val="0"/>
        <w:widowControl w:val="0"/>
        <w:kinsoku/>
        <w:wordWrap/>
        <w:overflowPunct/>
        <w:topLinePunct w:val="0"/>
        <w:autoSpaceDE/>
        <w:autoSpaceDN/>
        <w:bidi w:val="0"/>
        <w:adjustRightInd w:val="0"/>
        <w:snapToGrid/>
        <w:spacing w:line="500" w:lineRule="exact"/>
        <w:ind w:firstLine="420" w:firstLineChars="200"/>
        <w:textAlignment w:val="auto"/>
        <w:rPr>
          <w:color w:val="auto"/>
        </w:rPr>
      </w:pPr>
      <w:r>
        <w:rPr>
          <w:rFonts w:hint="eastAsia"/>
          <w:color w:val="auto"/>
        </w:rPr>
        <w:t>明确整个项目的目标和质量要求，确定出项目工作清单中各项任务结果相关的质量及测试要求。</w:t>
      </w:r>
    </w:p>
    <w:p w14:paraId="3C74F782">
      <w:pPr>
        <w:keepNext w:val="0"/>
        <w:keepLines w:val="0"/>
        <w:pageBreakBefore w:val="0"/>
        <w:widowControl w:val="0"/>
        <w:kinsoku/>
        <w:wordWrap/>
        <w:overflowPunct/>
        <w:topLinePunct w:val="0"/>
        <w:autoSpaceDE/>
        <w:autoSpaceDN/>
        <w:bidi w:val="0"/>
        <w:adjustRightInd w:val="0"/>
        <w:snapToGrid/>
        <w:spacing w:line="500" w:lineRule="exact"/>
        <w:ind w:firstLine="420" w:firstLineChars="200"/>
        <w:textAlignment w:val="auto"/>
        <w:rPr>
          <w:color w:val="auto"/>
        </w:rPr>
      </w:pPr>
      <w:r>
        <w:rPr>
          <w:rFonts w:hint="eastAsia"/>
          <w:color w:val="auto"/>
        </w:rPr>
        <w:t>制定质量保证计划，确定质量目标，确定在每个阶段为达到总目标所应达到的要求，对进度做出安排，确定所需的人力、资源和成本等等。具体来说质量保证内容通常应包含质量保证承诺、阶段性评审、全面或抽样测试、质量验收过程和问题汇总反馈过程等，以保证项目达到预计效果。</w:t>
      </w:r>
    </w:p>
    <w:p w14:paraId="3AD4EA26">
      <w:pPr>
        <w:keepNext w:val="0"/>
        <w:keepLines w:val="0"/>
        <w:pageBreakBefore w:val="0"/>
        <w:widowControl w:val="0"/>
        <w:kinsoku/>
        <w:wordWrap/>
        <w:overflowPunct/>
        <w:topLinePunct w:val="0"/>
        <w:autoSpaceDE/>
        <w:autoSpaceDN/>
        <w:bidi w:val="0"/>
        <w:adjustRightInd w:val="0"/>
        <w:snapToGrid/>
        <w:spacing w:line="500" w:lineRule="exact"/>
        <w:ind w:firstLine="420" w:firstLineChars="200"/>
        <w:textAlignment w:val="auto"/>
        <w:rPr>
          <w:color w:val="auto"/>
        </w:rPr>
      </w:pPr>
      <w:r>
        <w:rPr>
          <w:rFonts w:hint="eastAsia"/>
          <w:color w:val="auto"/>
        </w:rPr>
        <w:t>制定了严格的进度计划，建立严谨科学的项目跟踪监督机制，通过定期工作会和不定期专题协调会来解决工程实施过程中产生的问题，项目领导组及其管理部将制定严格的项目管理措施，狠抓监督与落实。</w:t>
      </w:r>
    </w:p>
    <w:p w14:paraId="184F912B">
      <w:pPr>
        <w:keepNext w:val="0"/>
        <w:keepLines w:val="0"/>
        <w:pageBreakBefore w:val="0"/>
        <w:widowControl w:val="0"/>
        <w:kinsoku/>
        <w:wordWrap/>
        <w:overflowPunct/>
        <w:topLinePunct w:val="0"/>
        <w:autoSpaceDE/>
        <w:autoSpaceDN/>
        <w:bidi w:val="0"/>
        <w:adjustRightInd w:val="0"/>
        <w:snapToGrid/>
        <w:spacing w:line="500" w:lineRule="exact"/>
        <w:ind w:firstLine="420" w:firstLineChars="200"/>
        <w:textAlignment w:val="auto"/>
        <w:rPr>
          <w:color w:val="auto"/>
        </w:rPr>
      </w:pPr>
      <w:r>
        <w:rPr>
          <w:rFonts w:hint="eastAsia"/>
          <w:color w:val="auto"/>
        </w:rPr>
        <w:t>开发机构应严格推行软件工程国家标准，并制定了符合自身特点的政府机关内部软件工程规范。主要软件工程国际标准有基础标准、开发标准、文档标准、管理标准几大类。</w:t>
      </w:r>
    </w:p>
    <w:p w14:paraId="6979292B">
      <w:pPr>
        <w:keepNext w:val="0"/>
        <w:keepLines w:val="0"/>
        <w:pageBreakBefore w:val="0"/>
        <w:widowControl w:val="0"/>
        <w:kinsoku/>
        <w:wordWrap/>
        <w:overflowPunct/>
        <w:topLinePunct w:val="0"/>
        <w:autoSpaceDE/>
        <w:autoSpaceDN/>
        <w:bidi w:val="0"/>
        <w:adjustRightInd w:val="0"/>
        <w:snapToGrid/>
        <w:spacing w:line="500" w:lineRule="exact"/>
        <w:ind w:firstLine="420" w:firstLineChars="200"/>
        <w:textAlignment w:val="auto"/>
        <w:rPr>
          <w:color w:val="auto"/>
        </w:rPr>
      </w:pPr>
      <w:r>
        <w:rPr>
          <w:rFonts w:hint="eastAsia"/>
          <w:color w:val="auto"/>
        </w:rPr>
        <w:t>变更控制是做好项目范围控制的有力措施，变更控制的主要方法是变更评审，这也是保证项目质量管理的一个重要任务。每一个变更必须记录成文档。重大的变更需由项目领导组批准，其他变更有由项目管理部决定。</w:t>
      </w:r>
    </w:p>
    <w:p w14:paraId="39B45808">
      <w:pPr>
        <w:pStyle w:val="23"/>
        <w:keepNext w:val="0"/>
        <w:keepLines w:val="0"/>
        <w:pageBreakBefore w:val="0"/>
        <w:widowControl w:val="0"/>
        <w:kinsoku/>
        <w:wordWrap/>
        <w:topLinePunct w:val="0"/>
        <w:bidi w:val="0"/>
        <w:snapToGrid/>
        <w:spacing w:line="500" w:lineRule="exact"/>
        <w:ind w:firstLine="420" w:firstLineChars="200"/>
        <w:rPr>
          <w:rFonts w:hint="eastAsia" w:ascii="宋体" w:hAnsi="宋体" w:eastAsia="宋体" w:cs="宋体"/>
          <w:color w:val="auto"/>
          <w:sz w:val="21"/>
          <w:szCs w:val="21"/>
        </w:rPr>
      </w:pPr>
      <w:r>
        <w:rPr>
          <w:rFonts w:hint="eastAsia"/>
          <w:color w:val="auto"/>
        </w:rPr>
        <w:t>软件文档起到多种桥梁的作用，它有助于管理人员程序员编制程序，有助于管理人员监督和管理软件的开发，有助于用户了解软件的工作和应做的操作，有助于维护人员进行有效的修改和扩充。所以，软件文档的质量是整个软件质量不可缺少的部分。文档的管理与维护也是整个应用软件质量保证的重要环节，将有专门的文档保管员负责，并对文档进行跟踪和控制。系统总体设计方案、项目开发计划、系统需求分析报告、系统设计报告、模块开发卷宗、用户手册、软件测试计划、软件测试分析报告、项目验收报告。</w:t>
      </w:r>
    </w:p>
    <w:p w14:paraId="6522569B">
      <w:pPr>
        <w:keepNext w:val="0"/>
        <w:keepLines w:val="0"/>
        <w:pageBreakBefore w:val="0"/>
        <w:widowControl w:val="0"/>
        <w:numPr>
          <w:ilvl w:val="0"/>
          <w:numId w:val="4"/>
        </w:numPr>
        <w:kinsoku/>
        <w:wordWrap/>
        <w:topLinePunct w:val="0"/>
        <w:bidi w:val="0"/>
        <w:snapToGrid/>
        <w:spacing w:line="500" w:lineRule="exact"/>
        <w:outlineLvl w:val="2"/>
        <w:rPr>
          <w:rFonts w:hint="eastAsia" w:ascii="宋体" w:hAnsi="宋体" w:eastAsia="宋体" w:cs="宋体"/>
          <w:color w:val="auto"/>
          <w:sz w:val="21"/>
          <w:szCs w:val="21"/>
        </w:rPr>
      </w:pPr>
      <w:r>
        <w:rPr>
          <w:rFonts w:hint="eastAsia" w:ascii="宋体" w:hAnsi="宋体" w:eastAsia="宋体" w:cs="宋体"/>
          <w:b/>
          <w:bCs/>
          <w:color w:val="auto"/>
          <w:sz w:val="21"/>
          <w:szCs w:val="21"/>
        </w:rPr>
        <w:t>质量要求：</w:t>
      </w:r>
      <w:r>
        <w:rPr>
          <w:rFonts w:hint="eastAsia" w:ascii="宋体" w:hAnsi="宋体" w:eastAsia="宋体" w:cs="宋体"/>
          <w:color w:val="auto"/>
          <w:sz w:val="21"/>
          <w:szCs w:val="21"/>
        </w:rPr>
        <w:t>符合国家地方相关规范、文件通知要求和相关质量标准要求。</w:t>
      </w:r>
    </w:p>
    <w:p w14:paraId="77276A06">
      <w:pPr>
        <w:keepNext w:val="0"/>
        <w:keepLines w:val="0"/>
        <w:pageBreakBefore w:val="0"/>
        <w:widowControl w:val="0"/>
        <w:numPr>
          <w:ilvl w:val="0"/>
          <w:numId w:val="4"/>
        </w:numPr>
        <w:kinsoku/>
        <w:wordWrap/>
        <w:topLinePunct w:val="0"/>
        <w:bidi w:val="0"/>
        <w:snapToGrid/>
        <w:spacing w:line="500" w:lineRule="exact"/>
        <w:outlineLvl w:val="2"/>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营业收入预估</w:t>
      </w:r>
    </w:p>
    <w:p w14:paraId="31B32147">
      <w:pPr>
        <w:pStyle w:val="23"/>
        <w:keepNext w:val="0"/>
        <w:keepLines w:val="0"/>
        <w:pageBreakBefore w:val="0"/>
        <w:widowControl w:val="0"/>
        <w:kinsoku/>
        <w:wordWrap/>
        <w:topLinePunct w:val="0"/>
        <w:bidi w:val="0"/>
        <w:snapToGrid/>
        <w:spacing w:line="500" w:lineRule="exact"/>
        <w:ind w:firstLine="420" w:firstLineChars="200"/>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rPr>
        <w:t>根据海陵区收费标准，全天收费时间分为计时收费和按次收费，白天计时：8：30-22：00，15分钟后第一小时收费4元，不足一小时按一小时计，第二小时后每30分钟收费3元，不足30分钟按30分钟计；最高收费上限65元/天。晚上按次：22：00-8：30</w:t>
      </w:r>
      <w:r>
        <w:rPr>
          <w:rFonts w:hint="eastAsia" w:ascii="宋体" w:hAnsi="宋体" w:cs="宋体"/>
          <w:color w:val="auto"/>
          <w:kern w:val="0"/>
          <w:sz w:val="21"/>
          <w:szCs w:val="21"/>
          <w:lang w:eastAsia="zh-CN"/>
        </w:rPr>
        <w:t>，</w:t>
      </w:r>
      <w:r>
        <w:rPr>
          <w:rFonts w:hint="eastAsia" w:ascii="宋体" w:hAnsi="宋体" w:eastAsia="宋体" w:cs="宋体"/>
          <w:color w:val="auto"/>
          <w:kern w:val="0"/>
          <w:sz w:val="21"/>
          <w:szCs w:val="21"/>
        </w:rPr>
        <w:t>12元/次，共计24小时。</w:t>
      </w:r>
      <w:r>
        <w:rPr>
          <w:rFonts w:hint="eastAsia" w:ascii="宋体" w:hAnsi="宋体" w:eastAsia="宋体" w:cs="宋体"/>
          <w:color w:val="auto"/>
          <w:sz w:val="21"/>
          <w:szCs w:val="21"/>
          <w:lang w:eastAsia="zh-CN"/>
        </w:rPr>
        <w:t>运营期间停车收费标准根据当地物价实施情况进行调整。</w:t>
      </w:r>
    </w:p>
    <w:p w14:paraId="495A4BF4">
      <w:pPr>
        <w:pStyle w:val="23"/>
        <w:keepNext w:val="0"/>
        <w:keepLines w:val="0"/>
        <w:pageBreakBefore w:val="0"/>
        <w:widowControl w:val="0"/>
        <w:kinsoku/>
        <w:wordWrap/>
        <w:topLinePunct w:val="0"/>
        <w:bidi w:val="0"/>
        <w:snapToGrid/>
        <w:spacing w:line="500" w:lineRule="exact"/>
        <w:ind w:firstLine="420" w:firstLineChars="200"/>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海陵区为旅游城市，综合考虑泊位路段淡旺季等情况，参考“潮州智慧停车平台数据显示，节日期间，牌坊街及周边街巷31个卡口实行智能化管理，市城区共31条道路采用“智慧停车”系统，停车泊位平均周转率达6.6%，平均停车泊位利用率达到56%。”</w:t>
      </w:r>
    </w:p>
    <w:p w14:paraId="34C5C1AA">
      <w:pPr>
        <w:pStyle w:val="23"/>
        <w:keepNext w:val="0"/>
        <w:keepLines w:val="0"/>
        <w:pageBreakBefore w:val="0"/>
        <w:widowControl w:val="0"/>
        <w:kinsoku/>
        <w:wordWrap/>
        <w:topLinePunct w:val="0"/>
        <w:bidi w:val="0"/>
        <w:snapToGrid/>
        <w:spacing w:line="500" w:lineRule="exact"/>
        <w:ind w:firstLine="420" w:firstLineChars="200"/>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海陵区为旅游城市，有淡旺季现象存在，通过参考上述潮州智慧停车的停车泊位利用率数据，本报告推荐项目初始利用率为50%。</w:t>
      </w:r>
    </w:p>
    <w:p w14:paraId="3DE913DB">
      <w:pPr>
        <w:pStyle w:val="23"/>
        <w:keepNext w:val="0"/>
        <w:keepLines w:val="0"/>
        <w:pageBreakBefore w:val="0"/>
        <w:widowControl w:val="0"/>
        <w:kinsoku/>
        <w:wordWrap/>
        <w:topLinePunct w:val="0"/>
        <w:bidi w:val="0"/>
        <w:snapToGrid/>
        <w:spacing w:line="500" w:lineRule="exact"/>
        <w:ind w:firstLine="420" w:firstLineChars="200"/>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预估平均单个泊位周转率为6次，其中免费停车（15分钟内）周转次数为5次，收费周转次数4次，平均单次收费金额为4元。</w:t>
      </w:r>
    </w:p>
    <w:p w14:paraId="49E0EB95">
      <w:pPr>
        <w:pStyle w:val="23"/>
        <w:keepNext w:val="0"/>
        <w:keepLines w:val="0"/>
        <w:pageBreakBefore w:val="0"/>
        <w:widowControl w:val="0"/>
        <w:kinsoku/>
        <w:wordWrap/>
        <w:topLinePunct w:val="0"/>
        <w:bidi w:val="0"/>
        <w:snapToGrid/>
        <w:spacing w:line="500" w:lineRule="exact"/>
        <w:ind w:firstLine="420" w:firstLineChars="200"/>
        <w:rPr>
          <w:rFonts w:hint="eastAsia" w:ascii="宋体" w:hAnsi="宋体" w:eastAsia="宋体" w:cs="宋体"/>
          <w:color w:val="auto"/>
          <w:kern w:val="0"/>
          <w:sz w:val="21"/>
          <w:szCs w:val="21"/>
        </w:rPr>
        <w:sectPr>
          <w:footerReference r:id="rId3" w:type="default"/>
          <w:pgSz w:w="11906" w:h="16838"/>
          <w:pgMar w:top="1440" w:right="1800" w:bottom="1440" w:left="1800" w:header="851" w:footer="992" w:gutter="0"/>
          <w:pgNumType w:fmt="decimal" w:start="1"/>
          <w:cols w:space="425" w:num="1"/>
          <w:docGrid w:type="lines" w:linePitch="312" w:charSpace="0"/>
        </w:sectPr>
      </w:pPr>
      <w:r>
        <w:rPr>
          <w:rFonts w:hint="eastAsia" w:ascii="宋体" w:hAnsi="宋体" w:eastAsia="宋体" w:cs="宋体"/>
          <w:color w:val="auto"/>
          <w:kern w:val="0"/>
          <w:sz w:val="21"/>
          <w:szCs w:val="21"/>
        </w:rPr>
        <w:t>泊位平均每天应收金额=收费周转次数（4次）*平均单次收费金额为（4元）=16元。考虑到路内开放泊位，存在一定的逃费率，参考同等城市广东省潮州湘桥区车位使用比率为50%。</w:t>
      </w:r>
    </w:p>
    <w:p w14:paraId="3B9D2156">
      <w:pPr>
        <w:keepNext w:val="0"/>
        <w:keepLines w:val="0"/>
        <w:pageBreakBefore w:val="0"/>
        <w:numPr>
          <w:ilvl w:val="0"/>
          <w:numId w:val="4"/>
        </w:numPr>
        <w:kinsoku/>
        <w:wordWrap/>
        <w:topLinePunct w:val="0"/>
        <w:bidi w:val="0"/>
        <w:snapToGrid/>
        <w:spacing w:line="460" w:lineRule="exact"/>
        <w:outlineLvl w:val="2"/>
        <w:rPr>
          <w:rFonts w:ascii="宋体" w:hAnsi="宋体" w:cs="宋体"/>
          <w:b/>
          <w:bCs/>
          <w:color w:val="auto"/>
          <w:kern w:val="0"/>
        </w:rPr>
      </w:pPr>
      <w:r>
        <w:rPr>
          <w:rFonts w:hint="eastAsia" w:ascii="宋体" w:hAnsi="宋体" w:cs="宋体"/>
          <w:b/>
          <w:bCs/>
          <w:color w:val="auto"/>
          <w:kern w:val="0"/>
        </w:rPr>
        <w:t>停车收益测算</w:t>
      </w:r>
    </w:p>
    <w:p w14:paraId="073C83CF">
      <w:pPr>
        <w:keepNext w:val="0"/>
        <w:keepLines w:val="0"/>
        <w:pageBreakBefore w:val="0"/>
        <w:kinsoku/>
        <w:wordWrap/>
        <w:topLinePunct w:val="0"/>
        <w:bidi w:val="0"/>
        <w:snapToGrid/>
        <w:spacing w:line="460" w:lineRule="exact"/>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br w:type="page"/>
      </w:r>
      <w:r>
        <w:rPr>
          <w:rFonts w:hint="eastAsia" w:eastAsia="宋体"/>
          <w:color w:val="auto"/>
          <w:lang w:eastAsia="zh-CN"/>
        </w:rPr>
        <w:drawing>
          <wp:anchor distT="0" distB="0" distL="114300" distR="114300" simplePos="0" relativeHeight="251659264" behindDoc="0" locked="0" layoutInCell="1" allowOverlap="1">
            <wp:simplePos x="0" y="0"/>
            <wp:positionH relativeFrom="column">
              <wp:posOffset>-122555</wp:posOffset>
            </wp:positionH>
            <wp:positionV relativeFrom="page">
              <wp:posOffset>1612265</wp:posOffset>
            </wp:positionV>
            <wp:extent cx="8984615" cy="4080510"/>
            <wp:effectExtent l="0" t="0" r="6985" b="3810"/>
            <wp:wrapTopAndBottom/>
            <wp:docPr id="2" name="图片 2" descr="16492181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649218136(1)"/>
                    <pic:cNvPicPr>
                      <a:picLocks noChangeAspect="1"/>
                    </pic:cNvPicPr>
                  </pic:nvPicPr>
                  <pic:blipFill>
                    <a:blip r:embed="rId10"/>
                    <a:stretch>
                      <a:fillRect/>
                    </a:stretch>
                  </pic:blipFill>
                  <pic:spPr>
                    <a:xfrm>
                      <a:off x="0" y="0"/>
                      <a:ext cx="8984615" cy="4080510"/>
                    </a:xfrm>
                    <a:prstGeom prst="rect">
                      <a:avLst/>
                    </a:prstGeom>
                  </pic:spPr>
                </pic:pic>
              </a:graphicData>
            </a:graphic>
          </wp:anchor>
        </w:drawing>
      </w:r>
    </w:p>
    <w:p w14:paraId="59735D35">
      <w:pPr>
        <w:keepNext w:val="0"/>
        <w:keepLines w:val="0"/>
        <w:pageBreakBefore w:val="0"/>
        <w:kinsoku/>
        <w:wordWrap/>
        <w:topLinePunct w:val="0"/>
        <w:bidi w:val="0"/>
        <w:snapToGrid/>
        <w:spacing w:line="460" w:lineRule="exact"/>
        <w:rPr>
          <w:rFonts w:hint="eastAsia"/>
          <w:color w:val="auto"/>
          <w:lang w:eastAsia="zh-CN"/>
        </w:rPr>
      </w:pPr>
      <w:r>
        <w:rPr>
          <w:rFonts w:hint="eastAsia"/>
          <w:color w:val="auto"/>
          <w:lang w:eastAsia="zh-CN"/>
        </w:rPr>
        <w:t>根据测算，建议特许经营期12年，建设期分配比例：按照交投8%与中标公司92%，运营期分配比例：按照交投10%与中标公司90%，回报预测表如下所示：</w:t>
      </w:r>
    </w:p>
    <w:p w14:paraId="638342D6">
      <w:pPr>
        <w:keepNext w:val="0"/>
        <w:keepLines w:val="0"/>
        <w:pageBreakBefore w:val="0"/>
        <w:widowControl w:val="0"/>
        <w:numPr>
          <w:ilvl w:val="0"/>
          <w:numId w:val="0"/>
        </w:numPr>
        <w:kinsoku/>
        <w:wordWrap/>
        <w:topLinePunct w:val="0"/>
        <w:bidi w:val="0"/>
        <w:snapToGrid/>
        <w:spacing w:line="460" w:lineRule="exact"/>
        <w:jc w:val="both"/>
        <w:outlineLvl w:val="9"/>
        <w:rPr>
          <w:rFonts w:hint="eastAsia" w:ascii="宋体" w:hAnsi="宋体" w:eastAsia="宋体" w:cs="宋体"/>
          <w:b/>
          <w:bCs/>
          <w:color w:val="auto"/>
          <w:kern w:val="0"/>
          <w:sz w:val="21"/>
          <w:szCs w:val="21"/>
        </w:rPr>
      </w:pPr>
      <w:r>
        <w:rPr>
          <w:rFonts w:hint="eastAsia"/>
          <w:color w:val="auto"/>
          <w:lang w:eastAsia="zh-CN"/>
        </w:rPr>
        <w:drawing>
          <wp:anchor distT="0" distB="0" distL="114300" distR="114300" simplePos="0" relativeHeight="251660288" behindDoc="0" locked="0" layoutInCell="1" allowOverlap="1">
            <wp:simplePos x="0" y="0"/>
            <wp:positionH relativeFrom="column">
              <wp:posOffset>425450</wp:posOffset>
            </wp:positionH>
            <wp:positionV relativeFrom="page">
              <wp:posOffset>1598295</wp:posOffset>
            </wp:positionV>
            <wp:extent cx="6767195" cy="3510280"/>
            <wp:effectExtent l="0" t="0" r="14605" b="10160"/>
            <wp:wrapSquare wrapText="bothSides"/>
            <wp:docPr id="3" name="图片 3" descr="16492183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649218353(1)"/>
                    <pic:cNvPicPr>
                      <a:picLocks noChangeAspect="1"/>
                    </pic:cNvPicPr>
                  </pic:nvPicPr>
                  <pic:blipFill>
                    <a:blip r:embed="rId11"/>
                    <a:stretch>
                      <a:fillRect/>
                    </a:stretch>
                  </pic:blipFill>
                  <pic:spPr>
                    <a:xfrm>
                      <a:off x="0" y="0"/>
                      <a:ext cx="6767195" cy="3510280"/>
                    </a:xfrm>
                    <a:prstGeom prst="rect">
                      <a:avLst/>
                    </a:prstGeom>
                  </pic:spPr>
                </pic:pic>
              </a:graphicData>
            </a:graphic>
          </wp:anchor>
        </w:drawing>
      </w:r>
    </w:p>
    <w:p w14:paraId="17473B46">
      <w:pPr>
        <w:pStyle w:val="2"/>
        <w:keepNext w:val="0"/>
        <w:keepLines w:val="0"/>
        <w:pageBreakBefore w:val="0"/>
        <w:kinsoku/>
        <w:wordWrap/>
        <w:topLinePunct w:val="0"/>
        <w:bidi w:val="0"/>
        <w:snapToGrid/>
        <w:spacing w:line="460" w:lineRule="exact"/>
        <w:rPr>
          <w:rFonts w:hint="eastAsia" w:ascii="宋体" w:hAnsi="宋体" w:eastAsia="宋体" w:cs="宋体"/>
          <w:b/>
          <w:bCs/>
          <w:color w:val="auto"/>
          <w:kern w:val="0"/>
          <w:sz w:val="21"/>
          <w:szCs w:val="21"/>
        </w:rPr>
      </w:pPr>
    </w:p>
    <w:p w14:paraId="4AF22704">
      <w:pPr>
        <w:pStyle w:val="5"/>
        <w:keepNext w:val="0"/>
        <w:keepLines w:val="0"/>
        <w:pageBreakBefore w:val="0"/>
        <w:kinsoku/>
        <w:wordWrap/>
        <w:topLinePunct w:val="0"/>
        <w:bidi w:val="0"/>
        <w:snapToGrid/>
        <w:spacing w:line="460" w:lineRule="exact"/>
        <w:rPr>
          <w:rFonts w:hint="eastAsia" w:ascii="宋体" w:hAnsi="宋体" w:eastAsia="宋体" w:cs="宋体"/>
          <w:b/>
          <w:bCs/>
          <w:color w:val="auto"/>
          <w:kern w:val="0"/>
          <w:sz w:val="21"/>
          <w:szCs w:val="21"/>
        </w:rPr>
      </w:pPr>
    </w:p>
    <w:p w14:paraId="5D480C0D">
      <w:pPr>
        <w:pStyle w:val="8"/>
        <w:keepNext w:val="0"/>
        <w:keepLines w:val="0"/>
        <w:pageBreakBefore w:val="0"/>
        <w:kinsoku/>
        <w:wordWrap/>
        <w:topLinePunct w:val="0"/>
        <w:bidi w:val="0"/>
        <w:snapToGrid/>
        <w:spacing w:line="460" w:lineRule="exact"/>
        <w:rPr>
          <w:rFonts w:hint="eastAsia" w:ascii="宋体" w:hAnsi="宋体" w:eastAsia="宋体" w:cs="宋体"/>
          <w:b/>
          <w:bCs/>
          <w:color w:val="auto"/>
          <w:kern w:val="0"/>
          <w:sz w:val="21"/>
          <w:szCs w:val="21"/>
        </w:rPr>
      </w:pPr>
    </w:p>
    <w:p w14:paraId="57E1526D">
      <w:pPr>
        <w:keepNext w:val="0"/>
        <w:keepLines w:val="0"/>
        <w:pageBreakBefore w:val="0"/>
        <w:kinsoku/>
        <w:wordWrap/>
        <w:topLinePunct w:val="0"/>
        <w:bidi w:val="0"/>
        <w:snapToGrid/>
        <w:spacing w:line="460" w:lineRule="exact"/>
        <w:rPr>
          <w:rFonts w:hint="eastAsia" w:ascii="宋体" w:hAnsi="宋体" w:eastAsia="宋体" w:cs="宋体"/>
          <w:b/>
          <w:bCs/>
          <w:color w:val="auto"/>
          <w:kern w:val="0"/>
          <w:sz w:val="21"/>
          <w:szCs w:val="21"/>
        </w:rPr>
      </w:pPr>
    </w:p>
    <w:p w14:paraId="78FA7D19">
      <w:pPr>
        <w:pStyle w:val="2"/>
        <w:keepNext w:val="0"/>
        <w:keepLines w:val="0"/>
        <w:pageBreakBefore w:val="0"/>
        <w:kinsoku/>
        <w:wordWrap/>
        <w:topLinePunct w:val="0"/>
        <w:bidi w:val="0"/>
        <w:snapToGrid/>
        <w:spacing w:line="460" w:lineRule="exact"/>
        <w:rPr>
          <w:rFonts w:hint="eastAsia"/>
          <w:color w:val="auto"/>
        </w:rPr>
      </w:pPr>
    </w:p>
    <w:p w14:paraId="2EA188D3">
      <w:pPr>
        <w:keepNext w:val="0"/>
        <w:keepLines w:val="0"/>
        <w:pageBreakBefore w:val="0"/>
        <w:kinsoku/>
        <w:wordWrap/>
        <w:topLinePunct w:val="0"/>
        <w:bidi w:val="0"/>
        <w:snapToGrid/>
        <w:spacing w:line="460" w:lineRule="exact"/>
        <w:rPr>
          <w:rFonts w:hint="eastAsia" w:ascii="宋体" w:hAnsi="宋体" w:cs="宋体"/>
          <w:b/>
          <w:bCs/>
          <w:color w:val="auto"/>
          <w:sz w:val="21"/>
          <w:szCs w:val="21"/>
          <w:lang w:val="en-US" w:eastAsia="zh-CN"/>
        </w:rPr>
        <w:sectPr>
          <w:pgSz w:w="16838" w:h="11906" w:orient="landscape"/>
          <w:pgMar w:top="1800" w:right="1440" w:bottom="1800" w:left="1440" w:header="851" w:footer="992" w:gutter="0"/>
          <w:pgNumType w:fmt="decimal"/>
          <w:cols w:space="425" w:num="1"/>
          <w:docGrid w:type="lines" w:linePitch="312" w:charSpace="0"/>
        </w:sectPr>
      </w:pPr>
      <w:r>
        <w:rPr>
          <w:rFonts w:hint="eastAsia" w:eastAsia="宋体"/>
          <w:color w:val="auto"/>
          <w:lang w:eastAsia="zh-CN"/>
        </w:rPr>
        <w:drawing>
          <wp:anchor distT="0" distB="0" distL="114300" distR="114300" simplePos="0" relativeHeight="251661312" behindDoc="0" locked="0" layoutInCell="1" allowOverlap="1">
            <wp:simplePos x="0" y="0"/>
            <wp:positionH relativeFrom="column">
              <wp:posOffset>476250</wp:posOffset>
            </wp:positionH>
            <wp:positionV relativeFrom="page">
              <wp:posOffset>4972050</wp:posOffset>
            </wp:positionV>
            <wp:extent cx="6626225" cy="1575435"/>
            <wp:effectExtent l="0" t="0" r="3175" b="9525"/>
            <wp:wrapTopAndBottom/>
            <wp:docPr id="4" name="图片 4" descr="16492186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649218645(1)"/>
                    <pic:cNvPicPr>
                      <a:picLocks noChangeAspect="1"/>
                    </pic:cNvPicPr>
                  </pic:nvPicPr>
                  <pic:blipFill>
                    <a:blip r:embed="rId12"/>
                    <a:stretch>
                      <a:fillRect/>
                    </a:stretch>
                  </pic:blipFill>
                  <pic:spPr>
                    <a:xfrm>
                      <a:off x="0" y="0"/>
                      <a:ext cx="6626225" cy="1575435"/>
                    </a:xfrm>
                    <a:prstGeom prst="rect">
                      <a:avLst/>
                    </a:prstGeom>
                  </pic:spPr>
                </pic:pic>
              </a:graphicData>
            </a:graphic>
          </wp:anchor>
        </w:drawing>
      </w:r>
      <w:r>
        <w:rPr>
          <w:rFonts w:hint="eastAsia" w:ascii="宋体" w:hAnsi="宋体" w:cs="宋体"/>
          <w:b/>
          <w:bCs/>
          <w:color w:val="auto"/>
          <w:sz w:val="21"/>
          <w:szCs w:val="21"/>
          <w:lang w:val="en-US" w:eastAsia="zh-CN"/>
        </w:rPr>
        <w:br w:type="page"/>
      </w:r>
    </w:p>
    <w:p w14:paraId="187C691C">
      <w:pPr>
        <w:keepNext w:val="0"/>
        <w:keepLines w:val="0"/>
        <w:pageBreakBefore w:val="0"/>
        <w:numPr>
          <w:ilvl w:val="0"/>
          <w:numId w:val="4"/>
        </w:numPr>
        <w:kinsoku/>
        <w:wordWrap/>
        <w:topLinePunct w:val="0"/>
        <w:bidi w:val="0"/>
        <w:snapToGrid/>
        <w:spacing w:line="460" w:lineRule="exact"/>
        <w:outlineLvl w:val="2"/>
        <w:rPr>
          <w:rFonts w:ascii="宋体" w:hAnsi="宋体" w:cs="宋体"/>
          <w:b/>
          <w:bCs/>
          <w:color w:val="auto"/>
          <w:kern w:val="0"/>
        </w:rPr>
      </w:pPr>
      <w:r>
        <w:rPr>
          <w:rFonts w:hint="eastAsia" w:ascii="宋体" w:hAnsi="宋体" w:cs="宋体"/>
          <w:b/>
          <w:bCs/>
          <w:color w:val="auto"/>
          <w:kern w:val="0"/>
          <w:lang w:val="en-US" w:eastAsia="zh-CN"/>
        </w:rPr>
        <w:t>可行性分析</w:t>
      </w:r>
    </w:p>
    <w:p w14:paraId="5135D97C">
      <w:pPr>
        <w:keepNext w:val="0"/>
        <w:keepLines w:val="0"/>
        <w:pageBreakBefore w:val="0"/>
        <w:widowControl/>
        <w:numPr>
          <w:ilvl w:val="0"/>
          <w:numId w:val="0"/>
        </w:numPr>
        <w:suppressLineNumbers w:val="0"/>
        <w:kinsoku/>
        <w:wordWrap/>
        <w:overflowPunct/>
        <w:topLinePunct w:val="0"/>
        <w:autoSpaceDE/>
        <w:autoSpaceDN/>
        <w:bidi w:val="0"/>
        <w:adjustRightInd/>
        <w:snapToGrid/>
        <w:spacing w:line="460" w:lineRule="exact"/>
        <w:ind w:leftChars="0" w:firstLine="422" w:firstLineChars="200"/>
        <w:jc w:val="left"/>
        <w:textAlignment w:val="auto"/>
        <w:rPr>
          <w:rFonts w:hint="eastAsia" w:ascii="宋体" w:hAnsi="宋体" w:eastAsia="宋体" w:cs="宋体"/>
          <w:color w:val="auto"/>
          <w:sz w:val="21"/>
          <w:szCs w:val="21"/>
        </w:rPr>
      </w:pPr>
      <w:r>
        <w:rPr>
          <w:rFonts w:hint="eastAsia" w:ascii="宋体" w:hAnsi="宋体" w:cs="宋体"/>
          <w:b/>
          <w:bCs/>
          <w:color w:val="auto"/>
          <w:kern w:val="0"/>
          <w:sz w:val="21"/>
          <w:szCs w:val="21"/>
          <w:lang w:val="en-US" w:eastAsia="zh-CN" w:bidi="ar"/>
        </w:rPr>
        <w:t>（一）</w:t>
      </w:r>
      <w:r>
        <w:rPr>
          <w:rFonts w:hint="eastAsia" w:ascii="宋体" w:hAnsi="宋体" w:eastAsia="宋体" w:cs="宋体"/>
          <w:b/>
          <w:bCs/>
          <w:color w:val="auto"/>
          <w:kern w:val="0"/>
          <w:sz w:val="21"/>
          <w:szCs w:val="21"/>
          <w:lang w:val="en-US" w:eastAsia="zh-CN" w:bidi="ar"/>
        </w:rPr>
        <w:t xml:space="preserve">特许经营模式的确定 </w:t>
      </w:r>
    </w:p>
    <w:p w14:paraId="217990A8">
      <w:pPr>
        <w:keepNext w:val="0"/>
        <w:keepLines w:val="0"/>
        <w:pageBreakBefore w:val="0"/>
        <w:widowControl/>
        <w:numPr>
          <w:ilvl w:val="0"/>
          <w:numId w:val="0"/>
        </w:numPr>
        <w:suppressLineNumbers w:val="0"/>
        <w:kinsoku/>
        <w:wordWrap/>
        <w:overflowPunct/>
        <w:topLinePunct w:val="0"/>
        <w:autoSpaceDE/>
        <w:autoSpaceDN/>
        <w:bidi w:val="0"/>
        <w:adjustRightInd/>
        <w:snapToGrid/>
        <w:spacing w:line="460" w:lineRule="exact"/>
        <w:ind w:leftChars="0" w:firstLine="420" w:firstLineChars="200"/>
        <w:jc w:val="left"/>
        <w:textAlignment w:val="auto"/>
        <w:rPr>
          <w:rFonts w:hint="eastAsia" w:ascii="宋体" w:hAnsi="宋体" w:eastAsia="宋体" w:cs="宋体"/>
          <w:color w:val="auto"/>
          <w:sz w:val="21"/>
          <w:szCs w:val="21"/>
        </w:rPr>
      </w:pPr>
      <w:r>
        <w:rPr>
          <w:rFonts w:hint="eastAsia" w:ascii="宋体" w:hAnsi="宋体" w:cs="宋体"/>
          <w:color w:val="auto"/>
          <w:kern w:val="0"/>
          <w:sz w:val="21"/>
          <w:szCs w:val="21"/>
          <w:lang w:val="en-US" w:eastAsia="zh-CN" w:bidi="ar"/>
        </w:rPr>
        <w:t>1、</w:t>
      </w:r>
      <w:r>
        <w:rPr>
          <w:rFonts w:hint="eastAsia" w:ascii="宋体" w:hAnsi="宋体" w:eastAsia="宋体" w:cs="宋体"/>
          <w:color w:val="auto"/>
          <w:kern w:val="0"/>
          <w:sz w:val="21"/>
          <w:szCs w:val="21"/>
          <w:lang w:val="en-US" w:eastAsia="zh-CN" w:bidi="ar"/>
        </w:rPr>
        <w:t xml:space="preserve">政策支持 </w:t>
      </w:r>
    </w:p>
    <w:p w14:paraId="1E9EFE08">
      <w:pPr>
        <w:keepNext w:val="0"/>
        <w:keepLines w:val="0"/>
        <w:pageBreakBefore w:val="0"/>
        <w:widowControl/>
        <w:suppressLineNumbers w:val="0"/>
        <w:kinsoku/>
        <w:wordWrap/>
        <w:overflowPunct/>
        <w:topLinePunct w:val="0"/>
        <w:autoSpaceDE/>
        <w:autoSpaceDN/>
        <w:bidi w:val="0"/>
        <w:adjustRightInd/>
        <w:snapToGrid/>
        <w:spacing w:line="460" w:lineRule="exact"/>
        <w:ind w:left="0"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近年，财政部、国家发改委、住建部等中央部委发布一系列政策和指导意见，大力支持引入社会资本参与传统基础设施建设。《基础设施和公用事业特许经营管理办法》（第 25 号令）、，《广东省发展改革委广东省 住房和城乡建设厅 广东省交通运输厅关于进一步完善机动车停放服务 收费政策的实施意见》，（粤发改规〔2017〕5号）等一系列文件，打造规范化制度管理体系，旨在加快推进传统基础设施建设。 </w:t>
      </w:r>
    </w:p>
    <w:p w14:paraId="0C90B1A4">
      <w:pPr>
        <w:keepNext w:val="0"/>
        <w:keepLines w:val="0"/>
        <w:pageBreakBefore w:val="0"/>
        <w:widowControl/>
        <w:numPr>
          <w:ilvl w:val="0"/>
          <w:numId w:val="0"/>
        </w:numPr>
        <w:suppressLineNumbers w:val="0"/>
        <w:kinsoku/>
        <w:wordWrap/>
        <w:overflowPunct/>
        <w:topLinePunct w:val="0"/>
        <w:autoSpaceDE/>
        <w:autoSpaceDN/>
        <w:bidi w:val="0"/>
        <w:adjustRightInd/>
        <w:snapToGrid/>
        <w:spacing w:line="460" w:lineRule="exact"/>
        <w:ind w:leftChars="0" w:firstLine="420" w:firstLineChars="200"/>
        <w:jc w:val="left"/>
        <w:textAlignment w:val="auto"/>
        <w:rPr>
          <w:rFonts w:hint="eastAsia" w:ascii="宋体" w:hAnsi="宋体" w:eastAsia="宋体" w:cs="宋体"/>
          <w:color w:val="auto"/>
          <w:kern w:val="0"/>
          <w:sz w:val="21"/>
          <w:szCs w:val="21"/>
          <w:lang w:val="en-US" w:eastAsia="zh-CN" w:bidi="ar"/>
        </w:rPr>
      </w:pPr>
      <w:r>
        <w:rPr>
          <w:rFonts w:hint="eastAsia" w:ascii="宋体" w:hAnsi="宋体" w:cs="宋体"/>
          <w:color w:val="auto"/>
          <w:kern w:val="0"/>
          <w:sz w:val="21"/>
          <w:szCs w:val="21"/>
          <w:lang w:val="en-US" w:eastAsia="zh-CN" w:bidi="ar"/>
        </w:rPr>
        <w:t>2、</w:t>
      </w:r>
      <w:r>
        <w:rPr>
          <w:rFonts w:hint="eastAsia" w:ascii="宋体" w:hAnsi="宋体" w:eastAsia="宋体" w:cs="宋体"/>
          <w:color w:val="auto"/>
          <w:kern w:val="0"/>
          <w:sz w:val="21"/>
          <w:szCs w:val="21"/>
          <w:lang w:val="en-US" w:eastAsia="zh-CN" w:bidi="ar"/>
        </w:rPr>
        <w:t xml:space="preserve">实现资金的最佳价值，有效降低全周期成本 </w:t>
      </w:r>
    </w:p>
    <w:p w14:paraId="6BEEA9A7">
      <w:pPr>
        <w:keepNext w:val="0"/>
        <w:keepLines w:val="0"/>
        <w:pageBreakBefore w:val="0"/>
        <w:widowControl/>
        <w:numPr>
          <w:ilvl w:val="0"/>
          <w:numId w:val="0"/>
        </w:numPr>
        <w:suppressLineNumbers w:val="0"/>
        <w:kinsoku/>
        <w:wordWrap/>
        <w:overflowPunct/>
        <w:topLinePunct w:val="0"/>
        <w:autoSpaceDE/>
        <w:autoSpaceDN/>
        <w:bidi w:val="0"/>
        <w:adjustRightInd/>
        <w:snapToGrid/>
        <w:spacing w:line="460" w:lineRule="exact"/>
        <w:ind w:left="0"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本项目全生命周期成本主要包括经营成本、建设投资、财务费用、所得税等。特许经营模式可以通过竞争性选择来增加垄断领域的竞争，可以通过招标采购到性价比最高的服务，可以将部分风险转移给能够更好控制风险的特许经营者，可以利用特许经营者的专业知识和创新能力提供质量更高、更有效率的服务，可以促使相关部门与私人部门对各自的风险和成本进行全面长期的考虑。 </w:t>
      </w:r>
    </w:p>
    <w:p w14:paraId="54E6B82E">
      <w:pPr>
        <w:keepNext w:val="0"/>
        <w:keepLines w:val="0"/>
        <w:pageBreakBefore w:val="0"/>
        <w:widowControl/>
        <w:suppressLineNumbers w:val="0"/>
        <w:kinsoku/>
        <w:wordWrap/>
        <w:overflowPunct/>
        <w:topLinePunct w:val="0"/>
        <w:autoSpaceDE/>
        <w:autoSpaceDN/>
        <w:bidi w:val="0"/>
        <w:adjustRightInd/>
        <w:snapToGrid/>
        <w:spacing w:line="460" w:lineRule="exact"/>
        <w:ind w:left="0"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该模式下，往往由同一个组织完成设计建设和运营，这样有利于更清晰的划分责任，也能更有效的激励私人部门降低建设运营的成本。 </w:t>
      </w:r>
    </w:p>
    <w:p w14:paraId="631B3CC4">
      <w:pPr>
        <w:keepNext w:val="0"/>
        <w:keepLines w:val="0"/>
        <w:pageBreakBefore w:val="0"/>
        <w:widowControl/>
        <w:numPr>
          <w:ilvl w:val="0"/>
          <w:numId w:val="0"/>
        </w:numPr>
        <w:suppressLineNumbers w:val="0"/>
        <w:kinsoku/>
        <w:wordWrap/>
        <w:overflowPunct/>
        <w:topLinePunct w:val="0"/>
        <w:autoSpaceDE/>
        <w:autoSpaceDN/>
        <w:bidi w:val="0"/>
        <w:adjustRightInd/>
        <w:snapToGrid/>
        <w:spacing w:line="460" w:lineRule="exact"/>
        <w:ind w:leftChars="0" w:firstLine="420" w:firstLineChars="200"/>
        <w:jc w:val="left"/>
        <w:textAlignment w:val="auto"/>
        <w:rPr>
          <w:rFonts w:hint="eastAsia" w:ascii="宋体" w:hAnsi="宋体" w:eastAsia="宋体" w:cs="宋体"/>
          <w:color w:val="auto"/>
          <w:sz w:val="21"/>
          <w:szCs w:val="21"/>
        </w:rPr>
      </w:pPr>
      <w:r>
        <w:rPr>
          <w:rFonts w:hint="eastAsia" w:ascii="宋体" w:hAnsi="宋体" w:cs="宋体"/>
          <w:color w:val="auto"/>
          <w:kern w:val="0"/>
          <w:sz w:val="21"/>
          <w:szCs w:val="21"/>
          <w:lang w:val="en-US" w:eastAsia="zh-CN" w:bidi="ar"/>
        </w:rPr>
        <w:t>3、</w:t>
      </w:r>
      <w:r>
        <w:rPr>
          <w:rFonts w:hint="eastAsia" w:ascii="宋体" w:hAnsi="宋体" w:eastAsia="宋体" w:cs="宋体"/>
          <w:color w:val="auto"/>
          <w:kern w:val="0"/>
          <w:sz w:val="21"/>
          <w:szCs w:val="21"/>
          <w:lang w:val="en-US" w:eastAsia="zh-CN" w:bidi="ar"/>
        </w:rPr>
        <w:t xml:space="preserve">弥补公共资金的不足，解决行业资金缺口，缓解政府财政压力该模式为公共服务的融资提供了新的选择，通过私人部门的投资和融资，可以缓解公共部门的财政压力，尽快满足公众对公共服务的需求。 </w:t>
      </w:r>
    </w:p>
    <w:p w14:paraId="568DDC45">
      <w:pPr>
        <w:keepNext w:val="0"/>
        <w:keepLines w:val="0"/>
        <w:pageBreakBefore w:val="0"/>
        <w:widowControl/>
        <w:numPr>
          <w:ilvl w:val="0"/>
          <w:numId w:val="0"/>
        </w:numPr>
        <w:suppressLineNumbers w:val="0"/>
        <w:kinsoku/>
        <w:wordWrap/>
        <w:overflowPunct/>
        <w:topLinePunct w:val="0"/>
        <w:autoSpaceDE/>
        <w:autoSpaceDN/>
        <w:bidi w:val="0"/>
        <w:adjustRightInd/>
        <w:snapToGrid/>
        <w:spacing w:line="460" w:lineRule="exact"/>
        <w:ind w:leftChars="0" w:firstLine="420" w:firstLineChars="200"/>
        <w:jc w:val="left"/>
        <w:textAlignment w:val="auto"/>
        <w:rPr>
          <w:rFonts w:hint="eastAsia" w:ascii="宋体" w:hAnsi="宋体" w:eastAsia="宋体" w:cs="宋体"/>
          <w:color w:val="auto"/>
          <w:sz w:val="21"/>
          <w:szCs w:val="21"/>
        </w:rPr>
      </w:pPr>
      <w:r>
        <w:rPr>
          <w:rFonts w:hint="eastAsia" w:ascii="宋体" w:hAnsi="宋体" w:cs="宋体"/>
          <w:color w:val="auto"/>
          <w:kern w:val="0"/>
          <w:sz w:val="21"/>
          <w:szCs w:val="21"/>
          <w:lang w:val="en-US" w:eastAsia="zh-CN" w:bidi="ar"/>
        </w:rPr>
        <w:t>4、</w:t>
      </w:r>
      <w:r>
        <w:rPr>
          <w:rFonts w:hint="eastAsia" w:ascii="宋体" w:hAnsi="宋体" w:eastAsia="宋体" w:cs="宋体"/>
          <w:color w:val="auto"/>
          <w:kern w:val="0"/>
          <w:sz w:val="21"/>
          <w:szCs w:val="21"/>
          <w:lang w:val="en-US" w:eastAsia="zh-CN" w:bidi="ar"/>
        </w:rPr>
        <w:t xml:space="preserve">提升公共服务的水平，运营和管理水平，提升运营效率在该模式框架下，为了保持持续提供公共服务的资格，实现投资收益最大化，私人部门有满足用户需要，提升服务水平的内在动力。同时私人部门具有的商业头脑和管理经验及专业技术人员为提升服务水平提供了客观支持。项目采用特许经营模式，可以整合社会资本方的技术经验、创新管理机制、投融资能力等，通过绩效捆绑，激励社会资本方提高项目建设实施效率、改进管理方案和提高绩效水平，从而降低项目建设运营维护成本，提高公共服务质量。 </w:t>
      </w:r>
    </w:p>
    <w:p w14:paraId="5C9C39DC">
      <w:pPr>
        <w:keepNext w:val="0"/>
        <w:keepLines w:val="0"/>
        <w:pageBreakBefore w:val="0"/>
        <w:widowControl/>
        <w:numPr>
          <w:ilvl w:val="0"/>
          <w:numId w:val="0"/>
        </w:numPr>
        <w:suppressLineNumbers w:val="0"/>
        <w:kinsoku/>
        <w:wordWrap/>
        <w:overflowPunct/>
        <w:topLinePunct w:val="0"/>
        <w:autoSpaceDE/>
        <w:autoSpaceDN/>
        <w:bidi w:val="0"/>
        <w:adjustRightInd/>
        <w:snapToGrid/>
        <w:spacing w:line="460" w:lineRule="exact"/>
        <w:ind w:leftChars="0" w:firstLine="420" w:firstLineChars="200"/>
        <w:jc w:val="left"/>
        <w:textAlignment w:val="auto"/>
        <w:rPr>
          <w:rFonts w:hint="eastAsia" w:ascii="宋体" w:hAnsi="宋体" w:eastAsia="宋体" w:cs="宋体"/>
          <w:color w:val="auto"/>
          <w:sz w:val="21"/>
          <w:szCs w:val="21"/>
        </w:rPr>
      </w:pPr>
      <w:r>
        <w:rPr>
          <w:rFonts w:hint="eastAsia" w:ascii="宋体" w:hAnsi="宋体" w:cs="宋体"/>
          <w:color w:val="auto"/>
          <w:kern w:val="0"/>
          <w:sz w:val="21"/>
          <w:szCs w:val="21"/>
          <w:lang w:val="en-US" w:eastAsia="zh-CN" w:bidi="ar"/>
        </w:rPr>
        <w:t>5、</w:t>
      </w:r>
      <w:r>
        <w:rPr>
          <w:rFonts w:hint="eastAsia" w:ascii="宋体" w:hAnsi="宋体" w:eastAsia="宋体" w:cs="宋体"/>
          <w:color w:val="auto"/>
          <w:kern w:val="0"/>
          <w:sz w:val="21"/>
          <w:szCs w:val="21"/>
          <w:lang w:val="en-US" w:eastAsia="zh-CN" w:bidi="ar"/>
        </w:rPr>
        <w:t xml:space="preserve">运营较为灵活 </w:t>
      </w:r>
    </w:p>
    <w:p w14:paraId="311B879B">
      <w:pPr>
        <w:keepNext w:val="0"/>
        <w:keepLines w:val="0"/>
        <w:pageBreakBefore w:val="0"/>
        <w:widowControl/>
        <w:suppressLineNumbers w:val="0"/>
        <w:kinsoku/>
        <w:wordWrap/>
        <w:overflowPunct/>
        <w:topLinePunct w:val="0"/>
        <w:autoSpaceDE/>
        <w:autoSpaceDN/>
        <w:bidi w:val="0"/>
        <w:adjustRightInd/>
        <w:snapToGrid/>
        <w:spacing w:line="460" w:lineRule="exact"/>
        <w:ind w:left="0"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采用特许经营模式，引入专业机构负责项目的投资、建设、运营和维护。政府方将协调包括交通部门、财政部门、市场监管部门等各部门协同运作，大大提高了项目的决策效率、决策水平和建设效率，运营灵活性高。基于以上分析，参照《基础设施和公用事业特许经营管理办法》（第 25 号令），中华人民共和国境内的能源、交通运输、水利、环境保护、市政工程等基础设施和公用事业领域的特许经营活动，适用采用特许经营模式。因此，本项目拟采用特许经营模式。 </w:t>
      </w:r>
    </w:p>
    <w:p w14:paraId="3138178D">
      <w:pPr>
        <w:keepNext w:val="0"/>
        <w:keepLines w:val="0"/>
        <w:pageBreakBefore w:val="0"/>
        <w:widowControl/>
        <w:numPr>
          <w:ilvl w:val="0"/>
          <w:numId w:val="0"/>
        </w:numPr>
        <w:suppressLineNumbers w:val="0"/>
        <w:kinsoku/>
        <w:wordWrap/>
        <w:overflowPunct/>
        <w:topLinePunct w:val="0"/>
        <w:autoSpaceDE/>
        <w:autoSpaceDN/>
        <w:bidi w:val="0"/>
        <w:adjustRightInd/>
        <w:snapToGrid/>
        <w:spacing w:line="460" w:lineRule="exact"/>
        <w:ind w:leftChars="0" w:firstLine="422" w:firstLineChars="200"/>
        <w:jc w:val="left"/>
        <w:textAlignment w:val="auto"/>
        <w:rPr>
          <w:rFonts w:hint="eastAsia" w:ascii="宋体" w:hAnsi="宋体" w:eastAsia="宋体" w:cs="宋体"/>
          <w:color w:val="auto"/>
          <w:sz w:val="21"/>
          <w:szCs w:val="21"/>
        </w:rPr>
      </w:pPr>
      <w:r>
        <w:rPr>
          <w:rFonts w:hint="eastAsia" w:ascii="宋体" w:hAnsi="宋体" w:cs="宋体"/>
          <w:b/>
          <w:bCs/>
          <w:color w:val="auto"/>
          <w:kern w:val="0"/>
          <w:sz w:val="21"/>
          <w:szCs w:val="21"/>
          <w:lang w:val="en-US" w:eastAsia="zh-CN" w:bidi="ar"/>
        </w:rPr>
        <w:t>（二）</w:t>
      </w:r>
      <w:r>
        <w:rPr>
          <w:rFonts w:hint="eastAsia" w:ascii="宋体" w:hAnsi="宋体" w:eastAsia="宋体" w:cs="宋体"/>
          <w:b/>
          <w:bCs/>
          <w:color w:val="auto"/>
          <w:kern w:val="0"/>
          <w:sz w:val="21"/>
          <w:szCs w:val="21"/>
          <w:lang w:val="en-US" w:eastAsia="zh-CN" w:bidi="ar"/>
        </w:rPr>
        <w:t xml:space="preserve"> 特许经营者的选取 </w:t>
      </w:r>
    </w:p>
    <w:p w14:paraId="6C641872">
      <w:pPr>
        <w:keepNext w:val="0"/>
        <w:keepLines w:val="0"/>
        <w:pageBreakBefore w:val="0"/>
        <w:widowControl/>
        <w:suppressLineNumbers w:val="0"/>
        <w:kinsoku/>
        <w:wordWrap/>
        <w:overflowPunct/>
        <w:topLinePunct w:val="0"/>
        <w:autoSpaceDE/>
        <w:autoSpaceDN/>
        <w:bidi w:val="0"/>
        <w:adjustRightInd/>
        <w:snapToGrid/>
        <w:spacing w:line="460" w:lineRule="exact"/>
        <w:ind w:left="0"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本项目根据《中华人民共和国招标投标法》、《中华人民共和国招标投标法实施条例》等相关法律法规，选取特许经营者。采购方式包括公开招标、邀请招标、竞争性谈判、竞争性磋商和单一来源采购。根据项目采购需求特点，考虑到本项目投资额较大，合同的核心边界条件和技术经济参数明确、完整，项目竞争性强，建议采用公开招标方式选取特许经营者。</w:t>
      </w:r>
    </w:p>
    <w:p w14:paraId="5EB460FF">
      <w:pPr>
        <w:keepNext w:val="0"/>
        <w:keepLines w:val="0"/>
        <w:pageBreakBefore w:val="0"/>
        <w:widowControl/>
        <w:numPr>
          <w:ilvl w:val="0"/>
          <w:numId w:val="0"/>
        </w:numPr>
        <w:suppressLineNumbers w:val="0"/>
        <w:kinsoku/>
        <w:wordWrap/>
        <w:overflowPunct/>
        <w:topLinePunct w:val="0"/>
        <w:autoSpaceDE/>
        <w:autoSpaceDN/>
        <w:bidi w:val="0"/>
        <w:adjustRightInd/>
        <w:snapToGrid/>
        <w:spacing w:line="460" w:lineRule="exact"/>
        <w:ind w:leftChars="0" w:firstLine="422" w:firstLineChars="200"/>
        <w:jc w:val="left"/>
        <w:textAlignment w:val="auto"/>
        <w:rPr>
          <w:rFonts w:hint="eastAsia" w:ascii="宋体" w:hAnsi="宋体" w:eastAsia="宋体" w:cs="宋体"/>
          <w:color w:val="auto"/>
          <w:sz w:val="21"/>
          <w:szCs w:val="21"/>
        </w:rPr>
      </w:pPr>
      <w:r>
        <w:rPr>
          <w:rFonts w:hint="eastAsia" w:ascii="宋体" w:hAnsi="宋体" w:cs="宋体"/>
          <w:b/>
          <w:bCs/>
          <w:color w:val="auto"/>
          <w:kern w:val="0"/>
          <w:sz w:val="21"/>
          <w:szCs w:val="21"/>
          <w:lang w:val="en-US" w:eastAsia="zh-CN" w:bidi="ar"/>
        </w:rPr>
        <w:t>（三）</w:t>
      </w:r>
      <w:r>
        <w:rPr>
          <w:rFonts w:hint="eastAsia" w:ascii="宋体" w:hAnsi="宋体" w:eastAsia="宋体" w:cs="宋体"/>
          <w:b/>
          <w:bCs/>
          <w:color w:val="auto"/>
          <w:kern w:val="0"/>
          <w:sz w:val="21"/>
          <w:szCs w:val="21"/>
          <w:lang w:val="en-US" w:eastAsia="zh-CN" w:bidi="ar"/>
        </w:rPr>
        <w:t xml:space="preserve">特许经营项目的运作方式 </w:t>
      </w:r>
    </w:p>
    <w:p w14:paraId="04558A6F">
      <w:pPr>
        <w:keepNext w:val="0"/>
        <w:keepLines w:val="0"/>
        <w:pageBreakBefore w:val="0"/>
        <w:widowControl/>
        <w:suppressLineNumbers w:val="0"/>
        <w:kinsoku/>
        <w:wordWrap/>
        <w:overflowPunct/>
        <w:topLinePunct w:val="0"/>
        <w:autoSpaceDE/>
        <w:autoSpaceDN/>
        <w:bidi w:val="0"/>
        <w:adjustRightInd/>
        <w:snapToGrid/>
        <w:spacing w:line="460" w:lineRule="exact"/>
        <w:ind w:left="0"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《基础设施和公用事业特许经营管理办法》（第25号令）指出，基础设施和公用事业特许经营可以采用以下方式： </w:t>
      </w:r>
    </w:p>
    <w:p w14:paraId="35BDCBDC">
      <w:pPr>
        <w:keepNext w:val="0"/>
        <w:keepLines w:val="0"/>
        <w:pageBreakBefore w:val="0"/>
        <w:widowControl/>
        <w:suppressLineNumbers w:val="0"/>
        <w:kinsoku/>
        <w:wordWrap/>
        <w:overflowPunct/>
        <w:topLinePunct w:val="0"/>
        <w:autoSpaceDE/>
        <w:autoSpaceDN/>
        <w:bidi w:val="0"/>
        <w:adjustRightInd/>
        <w:snapToGrid/>
        <w:spacing w:line="460" w:lineRule="exact"/>
        <w:ind w:left="0" w:firstLine="420" w:firstLineChars="200"/>
        <w:jc w:val="left"/>
        <w:textAlignment w:val="auto"/>
        <w:rPr>
          <w:rFonts w:hint="eastAsia" w:ascii="宋体" w:hAnsi="宋体" w:eastAsia="宋体" w:cs="宋体"/>
          <w:color w:val="auto"/>
          <w:sz w:val="21"/>
          <w:szCs w:val="21"/>
        </w:rPr>
      </w:pPr>
      <w:r>
        <w:rPr>
          <w:rFonts w:hint="eastAsia" w:ascii="宋体" w:hAnsi="宋体" w:cs="宋体"/>
          <w:color w:val="auto"/>
          <w:kern w:val="0"/>
          <w:sz w:val="21"/>
          <w:szCs w:val="21"/>
          <w:lang w:val="en-US" w:eastAsia="zh-CN" w:bidi="ar"/>
        </w:rPr>
        <w:t>（一）</w:t>
      </w:r>
      <w:r>
        <w:rPr>
          <w:rFonts w:hint="eastAsia" w:ascii="宋体" w:hAnsi="宋体" w:eastAsia="宋体" w:cs="宋体"/>
          <w:color w:val="auto"/>
          <w:kern w:val="0"/>
          <w:sz w:val="21"/>
          <w:szCs w:val="21"/>
          <w:lang w:val="en-US" w:eastAsia="zh-CN" w:bidi="ar"/>
        </w:rPr>
        <w:t xml:space="preserve">在一定期限内，政府授予特许经营者投资新建或改扩建、运营基础设施和公用事业，期限届满移交政府。（BOT） </w:t>
      </w:r>
    </w:p>
    <w:p w14:paraId="35F04755">
      <w:pPr>
        <w:keepNext w:val="0"/>
        <w:keepLines w:val="0"/>
        <w:pageBreakBefore w:val="0"/>
        <w:widowControl/>
        <w:suppressLineNumbers w:val="0"/>
        <w:kinsoku/>
        <w:wordWrap/>
        <w:overflowPunct/>
        <w:topLinePunct w:val="0"/>
        <w:autoSpaceDE/>
        <w:autoSpaceDN/>
        <w:bidi w:val="0"/>
        <w:adjustRightInd/>
        <w:snapToGrid/>
        <w:spacing w:line="460" w:lineRule="exact"/>
        <w:ind w:left="0" w:firstLine="420" w:firstLineChars="200"/>
        <w:jc w:val="left"/>
        <w:textAlignment w:val="auto"/>
        <w:rPr>
          <w:rFonts w:hint="eastAsia" w:ascii="宋体" w:hAnsi="宋体" w:eastAsia="宋体" w:cs="宋体"/>
          <w:color w:val="auto"/>
          <w:sz w:val="21"/>
          <w:szCs w:val="21"/>
        </w:rPr>
      </w:pPr>
      <w:r>
        <w:rPr>
          <w:rFonts w:hint="eastAsia" w:ascii="宋体" w:hAnsi="宋体" w:cs="宋体"/>
          <w:color w:val="auto"/>
          <w:kern w:val="0"/>
          <w:sz w:val="21"/>
          <w:szCs w:val="21"/>
          <w:lang w:val="en-US" w:eastAsia="zh-CN" w:bidi="ar"/>
        </w:rPr>
        <w:t>（二）</w:t>
      </w:r>
      <w:r>
        <w:rPr>
          <w:rFonts w:hint="eastAsia" w:ascii="宋体" w:hAnsi="宋体" w:eastAsia="宋体" w:cs="宋体"/>
          <w:color w:val="auto"/>
          <w:kern w:val="0"/>
          <w:sz w:val="21"/>
          <w:szCs w:val="21"/>
          <w:lang w:val="en-US" w:eastAsia="zh-CN" w:bidi="ar"/>
        </w:rPr>
        <w:t xml:space="preserve">在一定期限内，政府授予特许经营者投资新建或改扩建、拥有并运营基础设施和公用事业，期限届满移交政府。（BOT） </w:t>
      </w:r>
    </w:p>
    <w:p w14:paraId="66F35BBF">
      <w:pPr>
        <w:keepNext w:val="0"/>
        <w:keepLines w:val="0"/>
        <w:pageBreakBefore w:val="0"/>
        <w:widowControl/>
        <w:suppressLineNumbers w:val="0"/>
        <w:kinsoku/>
        <w:wordWrap/>
        <w:overflowPunct/>
        <w:topLinePunct w:val="0"/>
        <w:autoSpaceDE/>
        <w:autoSpaceDN/>
        <w:bidi w:val="0"/>
        <w:adjustRightInd/>
        <w:snapToGrid/>
        <w:spacing w:line="460" w:lineRule="exact"/>
        <w:ind w:left="0" w:firstLine="420" w:firstLineChars="200"/>
        <w:jc w:val="left"/>
        <w:textAlignment w:val="auto"/>
        <w:rPr>
          <w:rFonts w:hint="eastAsia" w:ascii="宋体" w:hAnsi="宋体" w:eastAsia="宋体" w:cs="宋体"/>
          <w:color w:val="auto"/>
          <w:sz w:val="21"/>
          <w:szCs w:val="21"/>
        </w:rPr>
      </w:pPr>
      <w:r>
        <w:rPr>
          <w:rFonts w:hint="eastAsia" w:ascii="宋体" w:hAnsi="宋体" w:cs="宋体"/>
          <w:color w:val="auto"/>
          <w:kern w:val="0"/>
          <w:sz w:val="21"/>
          <w:szCs w:val="21"/>
          <w:lang w:val="en-US" w:eastAsia="zh-CN" w:bidi="ar"/>
        </w:rPr>
        <w:t>（三）</w:t>
      </w:r>
      <w:r>
        <w:rPr>
          <w:rFonts w:hint="eastAsia" w:ascii="宋体" w:hAnsi="宋体" w:eastAsia="宋体" w:cs="宋体"/>
          <w:color w:val="auto"/>
          <w:kern w:val="0"/>
          <w:sz w:val="21"/>
          <w:szCs w:val="21"/>
          <w:lang w:val="en-US" w:eastAsia="zh-CN" w:bidi="ar"/>
        </w:rPr>
        <w:t xml:space="preserve">特许经营者投资新建或改扩建基础设施和公用事业并移交政府后，由政府授予其在一定期限内运营。（BTO） </w:t>
      </w:r>
    </w:p>
    <w:p w14:paraId="6CCD0114">
      <w:pPr>
        <w:keepNext w:val="0"/>
        <w:keepLines w:val="0"/>
        <w:pageBreakBefore w:val="0"/>
        <w:widowControl/>
        <w:suppressLineNumbers w:val="0"/>
        <w:kinsoku/>
        <w:wordWrap/>
        <w:overflowPunct/>
        <w:topLinePunct w:val="0"/>
        <w:autoSpaceDE/>
        <w:autoSpaceDN/>
        <w:bidi w:val="0"/>
        <w:adjustRightInd/>
        <w:snapToGrid/>
        <w:spacing w:line="460" w:lineRule="exact"/>
        <w:ind w:left="0" w:firstLine="420" w:firstLineChars="200"/>
        <w:jc w:val="left"/>
        <w:textAlignment w:val="auto"/>
        <w:rPr>
          <w:rFonts w:hint="eastAsia" w:ascii="宋体" w:hAnsi="宋体" w:eastAsia="宋体" w:cs="宋体"/>
          <w:color w:val="auto"/>
          <w:sz w:val="21"/>
          <w:szCs w:val="21"/>
        </w:rPr>
      </w:pPr>
      <w:r>
        <w:rPr>
          <w:rFonts w:hint="eastAsia" w:ascii="宋体" w:hAnsi="宋体" w:cs="宋体"/>
          <w:color w:val="auto"/>
          <w:kern w:val="0"/>
          <w:sz w:val="21"/>
          <w:szCs w:val="21"/>
          <w:lang w:val="en-US" w:eastAsia="zh-CN" w:bidi="ar"/>
        </w:rPr>
        <w:t>（四）</w:t>
      </w:r>
      <w:r>
        <w:rPr>
          <w:rFonts w:hint="eastAsia" w:ascii="宋体" w:hAnsi="宋体" w:eastAsia="宋体" w:cs="宋体"/>
          <w:color w:val="auto"/>
          <w:kern w:val="0"/>
          <w:sz w:val="21"/>
          <w:szCs w:val="21"/>
          <w:lang w:val="en-US" w:eastAsia="zh-CN" w:bidi="ar"/>
        </w:rPr>
        <w:t xml:space="preserve">国家规定的其他形式。 </w:t>
      </w:r>
    </w:p>
    <w:p w14:paraId="0EFEF223">
      <w:pPr>
        <w:keepNext w:val="0"/>
        <w:keepLines w:val="0"/>
        <w:pageBreakBefore w:val="0"/>
        <w:widowControl/>
        <w:suppressLineNumbers w:val="0"/>
        <w:kinsoku/>
        <w:wordWrap/>
        <w:overflowPunct/>
        <w:topLinePunct w:val="0"/>
        <w:autoSpaceDE/>
        <w:autoSpaceDN/>
        <w:bidi w:val="0"/>
        <w:adjustRightInd/>
        <w:snapToGrid/>
        <w:spacing w:line="460" w:lineRule="exact"/>
        <w:ind w:left="0"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本项目为公共停车场项目，依据项目自身运营特点，拟采用BOT的运作方式。该方式可在企业的积极参与下，使一些政府目前无力投资建设的基础设施项目，能够顺利实施，满足社会公众的需求。特许经营协议签订后，由特许经营者负责项目实施。项目实施完成，向招标人或其授权实施机构申请竣工验收。通过验收后，协议存续期间，特许经营者负责运营维护，确保达到相应使用功能及标准。运营期间，特许经营者负责运行质量，享有公共设施的经营权。期满后，特许经营者按照协议约定，就项目内容进行修缮，申请移交验收，通过验收后，无偿移交项目所有设施。 </w:t>
      </w:r>
    </w:p>
    <w:p w14:paraId="5BACF217">
      <w:pPr>
        <w:keepNext w:val="0"/>
        <w:keepLines w:val="0"/>
        <w:pageBreakBefore w:val="0"/>
        <w:widowControl/>
        <w:numPr>
          <w:ilvl w:val="0"/>
          <w:numId w:val="0"/>
        </w:numPr>
        <w:suppressLineNumbers w:val="0"/>
        <w:kinsoku/>
        <w:wordWrap/>
        <w:overflowPunct/>
        <w:topLinePunct w:val="0"/>
        <w:autoSpaceDE/>
        <w:autoSpaceDN/>
        <w:bidi w:val="0"/>
        <w:adjustRightInd/>
        <w:snapToGrid/>
        <w:spacing w:line="460" w:lineRule="exact"/>
        <w:ind w:leftChars="0" w:firstLine="422" w:firstLineChars="200"/>
        <w:jc w:val="left"/>
        <w:textAlignment w:val="auto"/>
        <w:rPr>
          <w:rFonts w:hint="eastAsia" w:ascii="宋体" w:hAnsi="宋体" w:eastAsia="宋体" w:cs="宋体"/>
          <w:color w:val="auto"/>
          <w:sz w:val="21"/>
          <w:szCs w:val="21"/>
        </w:rPr>
      </w:pPr>
      <w:r>
        <w:rPr>
          <w:rFonts w:hint="eastAsia" w:ascii="宋体" w:hAnsi="宋体" w:cs="宋体"/>
          <w:b/>
          <w:bCs/>
          <w:color w:val="auto"/>
          <w:kern w:val="0"/>
          <w:sz w:val="21"/>
          <w:szCs w:val="21"/>
          <w:lang w:val="en-US" w:eastAsia="zh-CN" w:bidi="ar"/>
        </w:rPr>
        <w:t>（四）</w:t>
      </w:r>
      <w:r>
        <w:rPr>
          <w:rFonts w:hint="eastAsia" w:ascii="宋体" w:hAnsi="宋体" w:eastAsia="宋体" w:cs="宋体"/>
          <w:b/>
          <w:bCs/>
          <w:color w:val="auto"/>
          <w:kern w:val="0"/>
          <w:sz w:val="21"/>
          <w:szCs w:val="21"/>
          <w:lang w:val="en-US" w:eastAsia="zh-CN" w:bidi="ar"/>
        </w:rPr>
        <w:t xml:space="preserve">特许经营项目的监管要求 </w:t>
      </w:r>
    </w:p>
    <w:p w14:paraId="477BC445">
      <w:pPr>
        <w:keepNext w:val="0"/>
        <w:keepLines w:val="0"/>
        <w:pageBreakBefore w:val="0"/>
        <w:widowControl/>
        <w:suppressLineNumbers w:val="0"/>
        <w:kinsoku/>
        <w:wordWrap/>
        <w:overflowPunct/>
        <w:topLinePunct w:val="0"/>
        <w:autoSpaceDE/>
        <w:autoSpaceDN/>
        <w:bidi w:val="0"/>
        <w:adjustRightInd/>
        <w:snapToGrid/>
        <w:spacing w:line="460" w:lineRule="exact"/>
        <w:ind w:left="0"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在本项目合作周期内，政府方将加强监管，综合运用行政监管、履约管理和公众监督等方式，保障项目运营效率得以提升。 </w:t>
      </w:r>
    </w:p>
    <w:p w14:paraId="319DFD8B">
      <w:pPr>
        <w:keepNext w:val="0"/>
        <w:keepLines w:val="0"/>
        <w:pageBreakBefore w:val="0"/>
        <w:widowControl/>
        <w:numPr>
          <w:ilvl w:val="0"/>
          <w:numId w:val="0"/>
        </w:numPr>
        <w:suppressLineNumbers w:val="0"/>
        <w:kinsoku/>
        <w:wordWrap/>
        <w:overflowPunct/>
        <w:topLinePunct w:val="0"/>
        <w:autoSpaceDE/>
        <w:autoSpaceDN/>
        <w:bidi w:val="0"/>
        <w:adjustRightInd/>
        <w:snapToGrid/>
        <w:spacing w:line="460" w:lineRule="exact"/>
        <w:ind w:leftChars="0" w:firstLine="420" w:firstLineChars="200"/>
        <w:jc w:val="left"/>
        <w:textAlignment w:val="auto"/>
        <w:rPr>
          <w:rFonts w:hint="eastAsia" w:ascii="宋体" w:hAnsi="宋体" w:eastAsia="宋体" w:cs="宋体"/>
          <w:color w:val="auto"/>
          <w:sz w:val="21"/>
          <w:szCs w:val="21"/>
        </w:rPr>
      </w:pPr>
      <w:r>
        <w:rPr>
          <w:rFonts w:hint="eastAsia" w:ascii="宋体" w:hAnsi="宋体" w:cs="宋体"/>
          <w:color w:val="auto"/>
          <w:kern w:val="0"/>
          <w:sz w:val="21"/>
          <w:szCs w:val="21"/>
          <w:lang w:val="en-US" w:eastAsia="zh-CN" w:bidi="ar"/>
        </w:rPr>
        <w:t>1、</w:t>
      </w:r>
      <w:r>
        <w:rPr>
          <w:rFonts w:hint="eastAsia" w:ascii="宋体" w:hAnsi="宋体" w:eastAsia="宋体" w:cs="宋体"/>
          <w:color w:val="auto"/>
          <w:kern w:val="0"/>
          <w:sz w:val="21"/>
          <w:szCs w:val="21"/>
          <w:lang w:val="en-US" w:eastAsia="zh-CN" w:bidi="ar"/>
        </w:rPr>
        <w:t xml:space="preserve">合同履约监管 </w:t>
      </w:r>
    </w:p>
    <w:p w14:paraId="0DD255B5">
      <w:pPr>
        <w:keepNext w:val="0"/>
        <w:keepLines w:val="0"/>
        <w:pageBreakBefore w:val="0"/>
        <w:widowControl/>
        <w:suppressLineNumbers w:val="0"/>
        <w:kinsoku/>
        <w:wordWrap/>
        <w:overflowPunct/>
        <w:topLinePunct w:val="0"/>
        <w:autoSpaceDE/>
        <w:autoSpaceDN/>
        <w:bidi w:val="0"/>
        <w:adjustRightInd/>
        <w:snapToGrid/>
        <w:spacing w:line="460" w:lineRule="exact"/>
        <w:ind w:left="0" w:firstLine="0"/>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履约管理最主要的方式就是合同控制，因此为保证项目公司严格按照经营权的范围履约，项目实施机构应根据合同约定对项目公司的融资、建设、运营、维护和移交等进行监督管控，督促项目公司落实相关承诺。通过特许经营协议设置相应的履约条款，由项目公司向实施机构出具可接受格式的履约保函，以保证项目公司履行本合同项下建设、运营维护项目设施等义务。 </w:t>
      </w:r>
    </w:p>
    <w:p w14:paraId="5DE99B34">
      <w:pPr>
        <w:keepNext w:val="0"/>
        <w:keepLines w:val="0"/>
        <w:pageBreakBefore w:val="0"/>
        <w:widowControl/>
        <w:numPr>
          <w:ilvl w:val="0"/>
          <w:numId w:val="0"/>
        </w:numPr>
        <w:suppressLineNumbers w:val="0"/>
        <w:kinsoku/>
        <w:wordWrap/>
        <w:overflowPunct/>
        <w:topLinePunct w:val="0"/>
        <w:autoSpaceDE/>
        <w:autoSpaceDN/>
        <w:bidi w:val="0"/>
        <w:adjustRightInd/>
        <w:snapToGrid/>
        <w:spacing w:line="460" w:lineRule="exact"/>
        <w:ind w:leftChars="0" w:firstLine="420" w:firstLineChars="200"/>
        <w:jc w:val="left"/>
        <w:textAlignment w:val="auto"/>
        <w:rPr>
          <w:rFonts w:hint="eastAsia" w:ascii="宋体" w:hAnsi="宋体" w:eastAsia="宋体" w:cs="宋体"/>
          <w:color w:val="auto"/>
          <w:sz w:val="21"/>
          <w:szCs w:val="21"/>
        </w:rPr>
      </w:pPr>
      <w:r>
        <w:rPr>
          <w:rFonts w:hint="eastAsia" w:ascii="宋体" w:hAnsi="宋体" w:cs="宋体"/>
          <w:color w:val="auto"/>
          <w:kern w:val="0"/>
          <w:sz w:val="21"/>
          <w:szCs w:val="21"/>
          <w:lang w:val="en-US" w:eastAsia="zh-CN" w:bidi="ar"/>
        </w:rPr>
        <w:t>2、</w:t>
      </w:r>
      <w:r>
        <w:rPr>
          <w:rFonts w:hint="eastAsia" w:ascii="宋体" w:hAnsi="宋体" w:eastAsia="宋体" w:cs="宋体"/>
          <w:color w:val="auto"/>
          <w:kern w:val="0"/>
          <w:sz w:val="21"/>
          <w:szCs w:val="21"/>
          <w:lang w:val="en-US" w:eastAsia="zh-CN" w:bidi="ar"/>
        </w:rPr>
        <w:t xml:space="preserve">行政监管 </w:t>
      </w:r>
    </w:p>
    <w:p w14:paraId="05210D5A">
      <w:pPr>
        <w:keepNext w:val="0"/>
        <w:keepLines w:val="0"/>
        <w:pageBreakBefore w:val="0"/>
        <w:widowControl/>
        <w:suppressLineNumbers w:val="0"/>
        <w:kinsoku/>
        <w:wordWrap/>
        <w:overflowPunct/>
        <w:topLinePunct w:val="0"/>
        <w:autoSpaceDE/>
        <w:autoSpaceDN/>
        <w:bidi w:val="0"/>
        <w:adjustRightInd/>
        <w:snapToGrid/>
        <w:spacing w:line="460" w:lineRule="exact"/>
        <w:ind w:left="0"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行政监管主要分为两个阶段，一是项目采购过程的监管；二是项目建设、运营、移交的绩效监管（包括安全、质量、造价、服务水平和资金等方面的监管）。项目采购实施阶段严格按照相关规定；项目建设期间，按照工程建设程序，阳江市海陵岛经济开发试验区城市管理和综合执法局及相关行政主管部门应加强履职，对项目公司的工程招投标、设备采购、工程建设的安全、质量、进度、投资进行监督管控；项目运营阶段对项目进行中期评估，重点分析项目运行的合规性、适应性、合理性，科学评估风险，制定应对措施；项目移交阶段由政府组织相关部门成立项目移交机构，对项目进行整体移交，妥善办理移交手续。</w:t>
      </w:r>
    </w:p>
    <w:p w14:paraId="7A2FBA5D">
      <w:pPr>
        <w:keepNext w:val="0"/>
        <w:keepLines w:val="0"/>
        <w:pageBreakBefore w:val="0"/>
        <w:widowControl/>
        <w:numPr>
          <w:ilvl w:val="0"/>
          <w:numId w:val="0"/>
        </w:numPr>
        <w:suppressLineNumbers w:val="0"/>
        <w:kinsoku/>
        <w:wordWrap/>
        <w:overflowPunct/>
        <w:topLinePunct w:val="0"/>
        <w:autoSpaceDE/>
        <w:autoSpaceDN/>
        <w:bidi w:val="0"/>
        <w:adjustRightInd/>
        <w:snapToGrid/>
        <w:spacing w:line="460" w:lineRule="exact"/>
        <w:ind w:leftChars="0" w:firstLine="420" w:firstLineChars="200"/>
        <w:jc w:val="left"/>
        <w:textAlignment w:val="auto"/>
        <w:rPr>
          <w:rFonts w:hint="eastAsia" w:ascii="宋体" w:hAnsi="宋体" w:eastAsia="宋体" w:cs="宋体"/>
          <w:color w:val="auto"/>
          <w:sz w:val="21"/>
          <w:szCs w:val="21"/>
        </w:rPr>
      </w:pPr>
      <w:r>
        <w:rPr>
          <w:rFonts w:hint="eastAsia" w:ascii="宋体" w:hAnsi="宋体" w:cs="宋体"/>
          <w:color w:val="auto"/>
          <w:kern w:val="0"/>
          <w:sz w:val="21"/>
          <w:szCs w:val="21"/>
          <w:lang w:val="en-US" w:eastAsia="zh-CN" w:bidi="ar"/>
        </w:rPr>
        <w:t>3、</w:t>
      </w:r>
      <w:r>
        <w:rPr>
          <w:rFonts w:hint="eastAsia" w:ascii="宋体" w:hAnsi="宋体" w:eastAsia="宋体" w:cs="宋体"/>
          <w:color w:val="auto"/>
          <w:kern w:val="0"/>
          <w:sz w:val="21"/>
          <w:szCs w:val="21"/>
          <w:lang w:val="en-US" w:eastAsia="zh-CN" w:bidi="ar"/>
        </w:rPr>
        <w:t>公众监督建立舆论监督和委托第三方监督工作机制，建立健全社会监督网络和舆论监督反馈，形成有效的、完善的社会监督。本着尊重社会公众的知情权，鼓励公众参与监督的原则，有权及时将产品和服务质量检查、监测、评估结果和整改情况以适当的方式向社会公布；并受理公众对项目公司的投诉，进行核实处理。</w:t>
      </w:r>
    </w:p>
    <w:p w14:paraId="6A7A7A04">
      <w:pPr>
        <w:keepNext w:val="0"/>
        <w:keepLines w:val="0"/>
        <w:pageBreakBefore w:val="0"/>
        <w:widowControl/>
        <w:numPr>
          <w:ilvl w:val="0"/>
          <w:numId w:val="0"/>
        </w:numPr>
        <w:suppressLineNumbers w:val="0"/>
        <w:kinsoku/>
        <w:wordWrap/>
        <w:overflowPunct/>
        <w:topLinePunct w:val="0"/>
        <w:autoSpaceDE/>
        <w:autoSpaceDN/>
        <w:bidi w:val="0"/>
        <w:adjustRightInd/>
        <w:snapToGrid/>
        <w:spacing w:line="460" w:lineRule="exact"/>
        <w:ind w:leftChars="0" w:firstLine="422" w:firstLineChars="200"/>
        <w:jc w:val="left"/>
        <w:textAlignment w:val="auto"/>
        <w:rPr>
          <w:rFonts w:hint="eastAsia" w:ascii="宋体" w:hAnsi="宋体" w:eastAsia="宋体" w:cs="宋体"/>
          <w:color w:val="auto"/>
          <w:sz w:val="21"/>
          <w:szCs w:val="21"/>
        </w:rPr>
      </w:pPr>
      <w:r>
        <w:rPr>
          <w:rFonts w:hint="eastAsia" w:ascii="宋体" w:hAnsi="宋体" w:cs="宋体"/>
          <w:b/>
          <w:bCs/>
          <w:color w:val="auto"/>
          <w:kern w:val="0"/>
          <w:sz w:val="21"/>
          <w:szCs w:val="21"/>
          <w:lang w:val="en-US" w:eastAsia="zh-CN" w:bidi="ar"/>
        </w:rPr>
        <w:t>（五）</w:t>
      </w:r>
      <w:r>
        <w:rPr>
          <w:rFonts w:hint="eastAsia" w:ascii="宋体" w:hAnsi="宋体" w:eastAsia="宋体" w:cs="宋体"/>
          <w:b/>
          <w:bCs/>
          <w:color w:val="auto"/>
          <w:kern w:val="0"/>
          <w:sz w:val="21"/>
          <w:szCs w:val="21"/>
          <w:lang w:val="en-US" w:eastAsia="zh-CN" w:bidi="ar"/>
        </w:rPr>
        <w:t xml:space="preserve">运营期满后移交 </w:t>
      </w:r>
    </w:p>
    <w:p w14:paraId="1AB25D12">
      <w:pPr>
        <w:keepNext w:val="0"/>
        <w:keepLines w:val="0"/>
        <w:pageBreakBefore w:val="0"/>
        <w:widowControl/>
        <w:suppressLineNumbers w:val="0"/>
        <w:kinsoku/>
        <w:wordWrap/>
        <w:overflowPunct/>
        <w:topLinePunct w:val="0"/>
        <w:autoSpaceDE/>
        <w:autoSpaceDN/>
        <w:bidi w:val="0"/>
        <w:adjustRightInd/>
        <w:snapToGrid/>
        <w:spacing w:line="460" w:lineRule="exact"/>
        <w:ind w:left="0"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项目移交机构与项目公司联合聘请具有资质的专业机构对项目设施进行检测，检测结果达不到移交标准时，项目公司需对项目进行一次恢复性的全面大修，以确保项目设施在移交时能够良好的运转。 </w:t>
      </w:r>
    </w:p>
    <w:p w14:paraId="4B3F17CE">
      <w:pPr>
        <w:keepNext w:val="0"/>
        <w:keepLines w:val="0"/>
        <w:pageBreakBefore w:val="0"/>
        <w:widowControl/>
        <w:suppressLineNumbers w:val="0"/>
        <w:kinsoku/>
        <w:wordWrap/>
        <w:overflowPunct/>
        <w:topLinePunct w:val="0"/>
        <w:autoSpaceDE/>
        <w:autoSpaceDN/>
        <w:bidi w:val="0"/>
        <w:adjustRightInd/>
        <w:snapToGrid/>
        <w:spacing w:line="460" w:lineRule="exact"/>
        <w:ind w:left="0"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移交范围：本项目全部设施、设备；与本项目建设有关的立项、勘察、设计、施工、工程监理及工程竣工验收等城建档案资料；与本项目运营和维护有关的手册、制度、财务账目和凭证等文件资料；本项目建设、运营、维护期间所产生的记录、档案资料等；项目公司在运营期间为设施运营而购置和取得的资产等；法律规定及双方约定的其它内容。项目实施机构不承担项目公司在项目合作期内的任何债务或者负债（包括任何形式的抵押、质押、保证等担保）。在质保期内发现项目公司造成设施设备有缺陷导致项目设施不能达到使用要求时，项目公司须整改和维修，其费用由项目公司承担。如办理移交手续产生需要交纳的税、费，由项目实施机构承担。在项目实施机构完成移交接管前，项目公司应当按照合同约定维持正常的运营维护业务，保证项目处于正常使用状态，直至移交完毕。最终移交有关事宜以特许经营协议为准。 </w:t>
      </w:r>
    </w:p>
    <w:p w14:paraId="459DCE8F">
      <w:pPr>
        <w:keepNext w:val="0"/>
        <w:keepLines w:val="0"/>
        <w:pageBreakBefore w:val="0"/>
        <w:widowControl/>
        <w:numPr>
          <w:ilvl w:val="0"/>
          <w:numId w:val="0"/>
        </w:numPr>
        <w:suppressLineNumbers w:val="0"/>
        <w:kinsoku/>
        <w:wordWrap/>
        <w:overflowPunct/>
        <w:topLinePunct w:val="0"/>
        <w:autoSpaceDE/>
        <w:autoSpaceDN/>
        <w:bidi w:val="0"/>
        <w:adjustRightInd/>
        <w:snapToGrid/>
        <w:spacing w:line="460" w:lineRule="exact"/>
        <w:ind w:leftChars="0" w:firstLine="422" w:firstLineChars="200"/>
        <w:jc w:val="left"/>
        <w:textAlignment w:val="auto"/>
        <w:rPr>
          <w:rFonts w:hint="eastAsia" w:ascii="宋体" w:hAnsi="宋体" w:eastAsia="宋体" w:cs="宋体"/>
          <w:color w:val="auto"/>
          <w:sz w:val="21"/>
          <w:szCs w:val="21"/>
        </w:rPr>
      </w:pPr>
      <w:r>
        <w:rPr>
          <w:rFonts w:hint="eastAsia" w:ascii="宋体" w:hAnsi="宋体" w:cs="宋体"/>
          <w:b/>
          <w:bCs/>
          <w:color w:val="auto"/>
          <w:kern w:val="0"/>
          <w:sz w:val="21"/>
          <w:szCs w:val="21"/>
          <w:lang w:val="en-US" w:eastAsia="zh-CN" w:bidi="ar"/>
        </w:rPr>
        <w:t>（六）</w:t>
      </w:r>
      <w:r>
        <w:rPr>
          <w:rFonts w:hint="eastAsia" w:ascii="宋体" w:hAnsi="宋体" w:eastAsia="宋体" w:cs="宋体"/>
          <w:b/>
          <w:bCs/>
          <w:color w:val="auto"/>
          <w:kern w:val="0"/>
          <w:sz w:val="21"/>
          <w:szCs w:val="21"/>
          <w:lang w:val="en-US" w:eastAsia="zh-CN" w:bidi="ar"/>
        </w:rPr>
        <w:t xml:space="preserve">结论 </w:t>
      </w:r>
    </w:p>
    <w:p w14:paraId="2E1EBF6B">
      <w:pPr>
        <w:keepNext w:val="0"/>
        <w:keepLines w:val="0"/>
        <w:pageBreakBefore w:val="0"/>
        <w:widowControl/>
        <w:suppressLineNumbers w:val="0"/>
        <w:kinsoku/>
        <w:wordWrap/>
        <w:overflowPunct/>
        <w:topLinePunct w:val="0"/>
        <w:autoSpaceDE/>
        <w:autoSpaceDN/>
        <w:bidi w:val="0"/>
        <w:adjustRightInd/>
        <w:snapToGrid/>
        <w:spacing w:line="460" w:lineRule="exact"/>
        <w:ind w:left="0"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经论证，本项目属于国家规定的特许经营范围内，且在特许经营模式下比传统模式具有有效降低全生命周期成本、提高运营效率、提高风险管理水平等优势，因此，本项目适宜采用特许经营模式。 </w:t>
      </w:r>
    </w:p>
    <w:p w14:paraId="0BA8B408">
      <w:pPr>
        <w:keepNext w:val="0"/>
        <w:keepLines w:val="0"/>
        <w:pageBreakBefore w:val="0"/>
        <w:numPr>
          <w:ilvl w:val="0"/>
          <w:numId w:val="4"/>
        </w:numPr>
        <w:kinsoku/>
        <w:wordWrap/>
        <w:topLinePunct w:val="0"/>
        <w:bidi w:val="0"/>
        <w:snapToGrid/>
        <w:spacing w:line="460" w:lineRule="exact"/>
        <w:outlineLvl w:val="2"/>
        <w:rPr>
          <w:rFonts w:hint="eastAsia" w:ascii="宋体" w:hAnsi="宋体" w:eastAsia="宋体" w:cs="宋体"/>
          <w:b/>
          <w:bCs/>
          <w:color w:val="auto"/>
          <w:kern w:val="0"/>
          <w:sz w:val="21"/>
          <w:szCs w:val="21"/>
        </w:rPr>
      </w:pPr>
      <w:r>
        <w:rPr>
          <w:rFonts w:hint="eastAsia" w:ascii="宋体" w:hAnsi="宋体" w:cs="宋体"/>
          <w:b/>
          <w:bCs/>
          <w:color w:val="auto"/>
          <w:sz w:val="21"/>
          <w:szCs w:val="21"/>
          <w:lang w:val="en-US" w:eastAsia="zh-CN"/>
        </w:rPr>
        <w:t>缴纳特许经营权费</w:t>
      </w:r>
    </w:p>
    <w:p w14:paraId="02145F76">
      <w:pPr>
        <w:pStyle w:val="15"/>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color w:val="auto"/>
          <w:kern w:val="0"/>
          <w:sz w:val="21"/>
          <w:szCs w:val="21"/>
        </w:rPr>
      </w:pPr>
      <w:r>
        <w:rPr>
          <w:rFonts w:hint="eastAsia" w:hAnsi="宋体" w:cs="宋体"/>
          <w:color w:val="auto"/>
          <w:kern w:val="0"/>
          <w:sz w:val="21"/>
          <w:szCs w:val="21"/>
          <w:lang w:eastAsia="zh-CN"/>
        </w:rPr>
        <w:t>（</w:t>
      </w:r>
      <w:r>
        <w:rPr>
          <w:rFonts w:hint="eastAsia" w:hAnsi="宋体" w:cs="宋体"/>
          <w:color w:val="auto"/>
          <w:kern w:val="0"/>
          <w:sz w:val="21"/>
          <w:szCs w:val="21"/>
          <w:lang w:val="en-US" w:eastAsia="zh-CN"/>
        </w:rPr>
        <w:t>一</w:t>
      </w:r>
      <w:r>
        <w:rPr>
          <w:rFonts w:hint="eastAsia" w:hAnsi="宋体" w:cs="宋体"/>
          <w:color w:val="auto"/>
          <w:kern w:val="0"/>
          <w:sz w:val="21"/>
          <w:szCs w:val="21"/>
          <w:lang w:eastAsia="zh-CN"/>
        </w:rPr>
        <w:t>）</w:t>
      </w:r>
      <w:r>
        <w:rPr>
          <w:rFonts w:hint="eastAsia" w:ascii="宋体" w:hAnsi="宋体" w:eastAsia="宋体" w:cs="宋体"/>
          <w:color w:val="auto"/>
          <w:kern w:val="0"/>
          <w:sz w:val="21"/>
          <w:szCs w:val="21"/>
        </w:rPr>
        <w:t>中标</w:t>
      </w:r>
      <w:r>
        <w:rPr>
          <w:rFonts w:hint="eastAsia" w:ascii="宋体" w:hAnsi="宋体" w:eastAsia="宋体" w:cs="宋体"/>
          <w:color w:val="auto"/>
          <w:kern w:val="0"/>
          <w:sz w:val="21"/>
          <w:szCs w:val="21"/>
          <w:lang w:val="en-US" w:eastAsia="zh-CN"/>
        </w:rPr>
        <w:t>单位</w:t>
      </w:r>
      <w:r>
        <w:rPr>
          <w:rFonts w:hint="eastAsia" w:ascii="宋体" w:hAnsi="宋体" w:eastAsia="宋体" w:cs="宋体"/>
          <w:color w:val="auto"/>
          <w:kern w:val="0"/>
          <w:sz w:val="21"/>
          <w:szCs w:val="21"/>
        </w:rPr>
        <w:t>须缴纳</w:t>
      </w:r>
      <w:r>
        <w:rPr>
          <w:rFonts w:hint="eastAsia" w:ascii="宋体" w:hAnsi="宋体" w:cs="宋体"/>
          <w:color w:val="auto"/>
          <w:sz w:val="21"/>
          <w:szCs w:val="21"/>
          <w:lang w:val="en-US" w:eastAsia="zh-CN"/>
        </w:rPr>
        <w:t>特许经营权费</w:t>
      </w:r>
      <w:r>
        <w:rPr>
          <w:rFonts w:hint="eastAsia" w:ascii="宋体" w:hAnsi="宋体" w:eastAsia="宋体" w:cs="宋体"/>
          <w:color w:val="auto"/>
          <w:kern w:val="0"/>
          <w:sz w:val="21"/>
          <w:szCs w:val="21"/>
        </w:rPr>
        <w:t>，缴纳标准按照每月营业收入为基数计取</w:t>
      </w:r>
      <w:r>
        <w:rPr>
          <w:rFonts w:hint="eastAsia" w:hAnsi="宋体" w:cs="宋体"/>
          <w:color w:val="auto"/>
          <w:kern w:val="0"/>
          <w:sz w:val="21"/>
          <w:szCs w:val="21"/>
          <w:lang w:eastAsia="zh-CN"/>
        </w:rPr>
        <w:t>（</w:t>
      </w:r>
      <w:r>
        <w:rPr>
          <w:rFonts w:hint="eastAsia" w:hAnsi="宋体" w:cs="宋体"/>
          <w:color w:val="auto"/>
          <w:kern w:val="0"/>
          <w:sz w:val="21"/>
          <w:szCs w:val="21"/>
          <w:lang w:val="en-US" w:eastAsia="zh-CN"/>
        </w:rPr>
        <w:t>其中建设期按</w:t>
      </w:r>
      <w:r>
        <w:rPr>
          <w:rFonts w:hint="eastAsia" w:ascii="宋体" w:hAnsi="宋体" w:eastAsia="宋体" w:cs="宋体"/>
          <w:color w:val="auto"/>
          <w:kern w:val="0"/>
          <w:sz w:val="21"/>
          <w:szCs w:val="21"/>
        </w:rPr>
        <w:t>营业收入</w:t>
      </w:r>
      <w:r>
        <w:rPr>
          <w:rFonts w:hint="eastAsia" w:hAnsi="宋体" w:cs="宋体"/>
          <w:color w:val="auto"/>
          <w:kern w:val="0"/>
          <w:sz w:val="21"/>
          <w:szCs w:val="21"/>
          <w:lang w:val="en-US" w:eastAsia="zh-CN"/>
        </w:rPr>
        <w:t>8%计取，营运期按</w:t>
      </w:r>
      <w:r>
        <w:rPr>
          <w:rFonts w:hint="eastAsia" w:ascii="宋体" w:hAnsi="宋体" w:eastAsia="宋体" w:cs="宋体"/>
          <w:color w:val="auto"/>
          <w:kern w:val="0"/>
          <w:sz w:val="21"/>
          <w:szCs w:val="21"/>
        </w:rPr>
        <w:t>营业收入</w:t>
      </w:r>
      <w:r>
        <w:rPr>
          <w:rFonts w:hint="eastAsia" w:hAnsi="宋体" w:cs="宋体"/>
          <w:color w:val="auto"/>
          <w:kern w:val="0"/>
          <w:sz w:val="21"/>
          <w:szCs w:val="21"/>
          <w:lang w:val="en-US" w:eastAsia="zh-CN"/>
        </w:rPr>
        <w:t>12%计取</w:t>
      </w:r>
      <w:r>
        <w:rPr>
          <w:rFonts w:hint="eastAsia" w:hAnsi="宋体" w:cs="宋体"/>
          <w:color w:val="auto"/>
          <w:kern w:val="0"/>
          <w:sz w:val="21"/>
          <w:szCs w:val="21"/>
          <w:lang w:eastAsia="zh-CN"/>
        </w:rPr>
        <w:t>）</w:t>
      </w:r>
      <w:r>
        <w:rPr>
          <w:rFonts w:hint="eastAsia" w:ascii="宋体" w:hAnsi="宋体" w:eastAsia="宋体" w:cs="宋体"/>
          <w:color w:val="auto"/>
          <w:kern w:val="0"/>
          <w:sz w:val="21"/>
          <w:szCs w:val="21"/>
        </w:rPr>
        <w:t>，缴纳至海陵试验区财政局专用账户。</w:t>
      </w:r>
    </w:p>
    <w:p w14:paraId="6EBC1916">
      <w:pPr>
        <w:pStyle w:val="15"/>
        <w:keepNext w:val="0"/>
        <w:keepLines w:val="0"/>
        <w:pageBreakBefore w:val="0"/>
        <w:widowControl w:val="0"/>
        <w:kinsoku/>
        <w:wordWrap/>
        <w:overflowPunct/>
        <w:topLinePunct w:val="0"/>
        <w:autoSpaceDE/>
        <w:autoSpaceDN/>
        <w:bidi w:val="0"/>
        <w:adjustRightInd/>
        <w:snapToGrid/>
        <w:spacing w:line="460" w:lineRule="exact"/>
        <w:ind w:firstLine="424" w:firstLineChars="202"/>
        <w:textAlignment w:val="auto"/>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rPr>
        <w:t>支付时间：次月10日前，缴清上月</w:t>
      </w:r>
      <w:r>
        <w:rPr>
          <w:rFonts w:hint="eastAsia" w:ascii="宋体" w:hAnsi="宋体" w:cs="宋体"/>
          <w:color w:val="auto"/>
          <w:sz w:val="21"/>
          <w:szCs w:val="21"/>
          <w:lang w:val="en-US" w:eastAsia="zh-CN"/>
        </w:rPr>
        <w:t>特许经营权费</w:t>
      </w:r>
      <w:r>
        <w:rPr>
          <w:rFonts w:hint="eastAsia" w:ascii="宋体" w:hAnsi="宋体" w:eastAsia="宋体" w:cs="宋体"/>
          <w:color w:val="auto"/>
          <w:kern w:val="0"/>
          <w:sz w:val="21"/>
          <w:szCs w:val="21"/>
        </w:rPr>
        <w:t>。</w:t>
      </w:r>
    </w:p>
    <w:p w14:paraId="14E99263">
      <w:pPr>
        <w:pStyle w:val="15"/>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20" w:firstLineChars="200"/>
        <w:textAlignment w:val="auto"/>
        <w:rPr>
          <w:rFonts w:hint="eastAsia"/>
          <w:color w:val="auto"/>
          <w:lang w:val="en-US" w:eastAsia="zh-CN"/>
        </w:rPr>
      </w:pPr>
      <w:r>
        <w:rPr>
          <w:rFonts w:hint="eastAsia" w:asciiTheme="minorEastAsia" w:hAnsiTheme="minorEastAsia" w:eastAsiaTheme="minorEastAsia" w:cstheme="minorEastAsia"/>
          <w:color w:val="auto"/>
          <w:kern w:val="0"/>
          <w:sz w:val="21"/>
          <w:szCs w:val="21"/>
          <w:lang w:eastAsia="zh-CN"/>
        </w:rPr>
        <w:t>（</w:t>
      </w:r>
      <w:r>
        <w:rPr>
          <w:rFonts w:hint="eastAsia" w:asciiTheme="minorEastAsia" w:hAnsiTheme="minorEastAsia" w:eastAsiaTheme="minorEastAsia" w:cstheme="minorEastAsia"/>
          <w:color w:val="auto"/>
          <w:kern w:val="0"/>
          <w:sz w:val="21"/>
          <w:szCs w:val="21"/>
          <w:lang w:val="en-US" w:eastAsia="zh-CN"/>
        </w:rPr>
        <w:t>二</w:t>
      </w:r>
      <w:r>
        <w:rPr>
          <w:rFonts w:hint="eastAsia" w:asciiTheme="minorEastAsia" w:hAnsiTheme="minorEastAsia" w:eastAsiaTheme="minorEastAsia" w:cstheme="minorEastAsia"/>
          <w:color w:val="auto"/>
          <w:kern w:val="0"/>
          <w:sz w:val="21"/>
          <w:szCs w:val="21"/>
          <w:lang w:eastAsia="zh-CN"/>
        </w:rPr>
        <w:t>）</w:t>
      </w:r>
      <w:r>
        <w:rPr>
          <w:rFonts w:hint="eastAsia" w:asciiTheme="minorEastAsia" w:hAnsiTheme="minorEastAsia" w:eastAsiaTheme="minorEastAsia" w:cstheme="minorEastAsia"/>
          <w:color w:val="auto"/>
          <w:kern w:val="0"/>
          <w:sz w:val="21"/>
          <w:szCs w:val="21"/>
        </w:rPr>
        <w:t>大角湾地下停车场</w:t>
      </w:r>
      <w:r>
        <w:rPr>
          <w:rFonts w:hint="eastAsia" w:asciiTheme="minorEastAsia" w:hAnsiTheme="minorEastAsia" w:eastAsiaTheme="minorEastAsia" w:cstheme="minorEastAsia"/>
          <w:color w:val="auto"/>
          <w:kern w:val="0"/>
          <w:sz w:val="21"/>
          <w:szCs w:val="21"/>
          <w:lang w:val="en-US" w:eastAsia="zh-CN"/>
        </w:rPr>
        <w:t>总车位数量为268个，经营权费用前六年定价为110万元/年，后六年</w:t>
      </w:r>
      <w:r>
        <w:rPr>
          <w:rFonts w:hint="eastAsia" w:ascii="宋体" w:hAnsi="宋体" w:eastAsia="宋体" w:cs="宋体"/>
          <w:color w:val="auto"/>
          <w:kern w:val="0"/>
          <w:sz w:val="21"/>
          <w:szCs w:val="21"/>
          <w:lang w:val="en-US" w:eastAsia="zh-CN"/>
        </w:rPr>
        <w:t>定价</w:t>
      </w:r>
      <w:r>
        <w:rPr>
          <w:rFonts w:hint="eastAsia" w:asciiTheme="minorEastAsia" w:hAnsiTheme="minorEastAsia" w:eastAsiaTheme="minorEastAsia" w:cstheme="minorEastAsia"/>
          <w:color w:val="auto"/>
          <w:kern w:val="0"/>
          <w:sz w:val="21"/>
          <w:szCs w:val="21"/>
          <w:lang w:val="en-US" w:eastAsia="zh-CN"/>
        </w:rPr>
        <w:t>为120万元/年，由中标单位自主经营，自负盈亏，不需缴纳</w:t>
      </w:r>
      <w:r>
        <w:rPr>
          <w:rFonts w:hint="eastAsia" w:asciiTheme="minorEastAsia" w:hAnsiTheme="minorEastAsia" w:eastAsiaTheme="minorEastAsia" w:cstheme="minorEastAsia"/>
          <w:color w:val="auto"/>
          <w:sz w:val="21"/>
          <w:szCs w:val="21"/>
          <w:lang w:val="en-US" w:eastAsia="zh-CN"/>
        </w:rPr>
        <w:t>特许经营权费。</w:t>
      </w:r>
      <w:r>
        <w:rPr>
          <w:rFonts w:hint="eastAsia" w:asciiTheme="minorEastAsia" w:hAnsiTheme="minorEastAsia" w:eastAsiaTheme="minorEastAsia" w:cstheme="minorEastAsia"/>
          <w:color w:val="auto"/>
          <w:kern w:val="0"/>
          <w:sz w:val="21"/>
          <w:szCs w:val="21"/>
        </w:rPr>
        <w:t>大角湾地下停车场</w:t>
      </w:r>
      <w:r>
        <w:rPr>
          <w:rFonts w:hint="eastAsia" w:asciiTheme="minorEastAsia" w:hAnsiTheme="minorEastAsia" w:eastAsiaTheme="minorEastAsia" w:cstheme="minorEastAsia"/>
          <w:color w:val="auto"/>
          <w:kern w:val="0"/>
          <w:sz w:val="21"/>
          <w:szCs w:val="21"/>
          <w:lang w:val="en-US" w:eastAsia="zh-CN"/>
        </w:rPr>
        <w:t>近年来营业收入如下：</w:t>
      </w:r>
    </w:p>
    <w:tbl>
      <w:tblPr>
        <w:tblStyle w:val="20"/>
        <w:tblW w:w="0" w:type="auto"/>
        <w:tblInd w:w="-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4"/>
        <w:gridCol w:w="1209"/>
        <w:gridCol w:w="1237"/>
        <w:gridCol w:w="1194"/>
        <w:gridCol w:w="1237"/>
        <w:gridCol w:w="1525"/>
      </w:tblGrid>
      <w:tr w14:paraId="14242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trPr>
        <w:tc>
          <w:tcPr>
            <w:tcW w:w="2220" w:type="dxa"/>
            <w:vAlign w:val="center"/>
          </w:tcPr>
          <w:p w14:paraId="7E274062">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Theme="minorEastAsia" w:hAnsiTheme="minorEastAsia" w:eastAsiaTheme="minorEastAsia" w:cstheme="minorEastAsia"/>
                <w:b/>
                <w:bCs/>
                <w:color w:val="auto"/>
                <w:kern w:val="0"/>
                <w:sz w:val="21"/>
                <w:szCs w:val="21"/>
                <w:vertAlign w:val="baseline"/>
                <w:lang w:val="en-US" w:eastAsia="zh-CN"/>
              </w:rPr>
            </w:pPr>
            <w:r>
              <w:rPr>
                <w:rFonts w:hint="eastAsia" w:asciiTheme="minorEastAsia" w:hAnsiTheme="minorEastAsia" w:eastAsiaTheme="minorEastAsia" w:cstheme="minorEastAsia"/>
                <w:b/>
                <w:bCs/>
                <w:color w:val="auto"/>
                <w:kern w:val="0"/>
                <w:sz w:val="21"/>
                <w:szCs w:val="21"/>
                <w:vertAlign w:val="baseline"/>
                <w:lang w:val="en-US" w:eastAsia="zh-CN"/>
              </w:rPr>
              <w:t>年 度</w:t>
            </w:r>
          </w:p>
        </w:tc>
        <w:tc>
          <w:tcPr>
            <w:tcW w:w="1245" w:type="dxa"/>
            <w:vAlign w:val="center"/>
          </w:tcPr>
          <w:p w14:paraId="2DDFE307">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Theme="minorEastAsia" w:hAnsiTheme="minorEastAsia" w:eastAsiaTheme="minorEastAsia" w:cstheme="minorEastAsia"/>
                <w:b/>
                <w:bCs/>
                <w:color w:val="auto"/>
                <w:kern w:val="0"/>
                <w:sz w:val="21"/>
                <w:szCs w:val="21"/>
                <w:vertAlign w:val="baseline"/>
                <w:lang w:val="en-US" w:eastAsia="zh-CN"/>
              </w:rPr>
            </w:pPr>
            <w:r>
              <w:rPr>
                <w:rFonts w:hint="eastAsia" w:asciiTheme="minorEastAsia" w:hAnsiTheme="minorEastAsia" w:eastAsiaTheme="minorEastAsia" w:cstheme="minorEastAsia"/>
                <w:b/>
                <w:bCs/>
                <w:color w:val="auto"/>
                <w:kern w:val="0"/>
                <w:sz w:val="21"/>
                <w:szCs w:val="21"/>
                <w:vertAlign w:val="baseline"/>
                <w:lang w:val="en-US" w:eastAsia="zh-CN"/>
              </w:rPr>
              <w:t>2018</w:t>
            </w:r>
          </w:p>
        </w:tc>
        <w:tc>
          <w:tcPr>
            <w:tcW w:w="1275" w:type="dxa"/>
            <w:vAlign w:val="center"/>
          </w:tcPr>
          <w:p w14:paraId="07C47B60">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Theme="minorEastAsia" w:hAnsiTheme="minorEastAsia" w:eastAsiaTheme="minorEastAsia" w:cstheme="minorEastAsia"/>
                <w:b/>
                <w:bCs/>
                <w:color w:val="auto"/>
                <w:kern w:val="0"/>
                <w:sz w:val="21"/>
                <w:szCs w:val="21"/>
                <w:vertAlign w:val="baseline"/>
                <w:lang w:val="en-US" w:eastAsia="zh-CN"/>
              </w:rPr>
            </w:pPr>
            <w:r>
              <w:rPr>
                <w:rFonts w:hint="eastAsia" w:asciiTheme="minorEastAsia" w:hAnsiTheme="minorEastAsia" w:eastAsiaTheme="minorEastAsia" w:cstheme="minorEastAsia"/>
                <w:b/>
                <w:bCs/>
                <w:color w:val="auto"/>
                <w:kern w:val="0"/>
                <w:sz w:val="21"/>
                <w:szCs w:val="21"/>
                <w:vertAlign w:val="baseline"/>
                <w:lang w:val="en-US" w:eastAsia="zh-CN"/>
              </w:rPr>
              <w:t>2019</w:t>
            </w:r>
          </w:p>
        </w:tc>
        <w:tc>
          <w:tcPr>
            <w:tcW w:w="1230" w:type="dxa"/>
            <w:vAlign w:val="center"/>
          </w:tcPr>
          <w:p w14:paraId="6FFBEF9D">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Theme="minorEastAsia" w:hAnsiTheme="minorEastAsia" w:eastAsiaTheme="minorEastAsia" w:cstheme="minorEastAsia"/>
                <w:b/>
                <w:bCs/>
                <w:color w:val="auto"/>
                <w:kern w:val="0"/>
                <w:sz w:val="21"/>
                <w:szCs w:val="21"/>
                <w:vertAlign w:val="baseline"/>
                <w:lang w:val="en-US" w:eastAsia="zh-CN"/>
              </w:rPr>
            </w:pPr>
            <w:r>
              <w:rPr>
                <w:rFonts w:hint="eastAsia" w:asciiTheme="minorEastAsia" w:hAnsiTheme="minorEastAsia" w:eastAsiaTheme="minorEastAsia" w:cstheme="minorEastAsia"/>
                <w:b/>
                <w:bCs/>
                <w:color w:val="auto"/>
                <w:kern w:val="0"/>
                <w:sz w:val="21"/>
                <w:szCs w:val="21"/>
                <w:vertAlign w:val="baseline"/>
                <w:lang w:val="en-US" w:eastAsia="zh-CN"/>
              </w:rPr>
              <w:t>2020</w:t>
            </w:r>
          </w:p>
        </w:tc>
        <w:tc>
          <w:tcPr>
            <w:tcW w:w="1275" w:type="dxa"/>
            <w:vAlign w:val="center"/>
          </w:tcPr>
          <w:p w14:paraId="354A002A">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Theme="minorEastAsia" w:hAnsiTheme="minorEastAsia" w:eastAsiaTheme="minorEastAsia" w:cstheme="minorEastAsia"/>
                <w:b/>
                <w:bCs/>
                <w:color w:val="auto"/>
                <w:kern w:val="0"/>
                <w:sz w:val="21"/>
                <w:szCs w:val="21"/>
                <w:vertAlign w:val="baseline"/>
                <w:lang w:val="en-US" w:eastAsia="zh-CN"/>
              </w:rPr>
            </w:pPr>
            <w:r>
              <w:rPr>
                <w:rFonts w:hint="eastAsia" w:asciiTheme="minorEastAsia" w:hAnsiTheme="minorEastAsia" w:eastAsiaTheme="minorEastAsia" w:cstheme="minorEastAsia"/>
                <w:b/>
                <w:bCs/>
                <w:color w:val="auto"/>
                <w:kern w:val="0"/>
                <w:sz w:val="21"/>
                <w:szCs w:val="21"/>
                <w:vertAlign w:val="baseline"/>
                <w:lang w:val="en-US" w:eastAsia="zh-CN"/>
              </w:rPr>
              <w:t>2021</w:t>
            </w:r>
          </w:p>
        </w:tc>
        <w:tc>
          <w:tcPr>
            <w:tcW w:w="1575" w:type="dxa"/>
            <w:vAlign w:val="center"/>
          </w:tcPr>
          <w:p w14:paraId="191BD825">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Theme="minorEastAsia" w:hAnsiTheme="minorEastAsia" w:eastAsiaTheme="minorEastAsia" w:cstheme="minorEastAsia"/>
                <w:b/>
                <w:bCs/>
                <w:color w:val="auto"/>
                <w:kern w:val="0"/>
                <w:sz w:val="21"/>
                <w:szCs w:val="21"/>
                <w:vertAlign w:val="baseline"/>
                <w:lang w:val="en-US" w:eastAsia="zh-CN"/>
              </w:rPr>
            </w:pPr>
            <w:r>
              <w:rPr>
                <w:rFonts w:hint="eastAsia" w:asciiTheme="minorEastAsia" w:hAnsiTheme="minorEastAsia" w:eastAsiaTheme="minorEastAsia" w:cstheme="minorEastAsia"/>
                <w:b/>
                <w:bCs/>
                <w:color w:val="auto"/>
                <w:kern w:val="0"/>
                <w:sz w:val="21"/>
                <w:szCs w:val="21"/>
                <w:vertAlign w:val="baseline"/>
                <w:lang w:val="en-US" w:eastAsia="zh-CN"/>
              </w:rPr>
              <w:t>平均值</w:t>
            </w:r>
          </w:p>
        </w:tc>
      </w:tr>
      <w:tr w14:paraId="71599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 w:hRule="atLeast"/>
        </w:trPr>
        <w:tc>
          <w:tcPr>
            <w:tcW w:w="2220" w:type="dxa"/>
            <w:vAlign w:val="center"/>
          </w:tcPr>
          <w:p w14:paraId="15A85C10">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Theme="minorEastAsia" w:hAnsiTheme="minorEastAsia" w:eastAsiaTheme="minorEastAsia" w:cstheme="minorEastAsia"/>
                <w:color w:val="auto"/>
                <w:kern w:val="0"/>
                <w:sz w:val="21"/>
                <w:szCs w:val="21"/>
                <w:vertAlign w:val="baseline"/>
                <w:lang w:val="en-US" w:eastAsia="zh-CN"/>
              </w:rPr>
            </w:pPr>
            <w:r>
              <w:rPr>
                <w:rFonts w:hint="eastAsia" w:asciiTheme="minorEastAsia" w:hAnsiTheme="minorEastAsia" w:eastAsiaTheme="minorEastAsia" w:cstheme="minorEastAsia"/>
                <w:color w:val="auto"/>
                <w:kern w:val="0"/>
                <w:sz w:val="21"/>
                <w:szCs w:val="21"/>
                <w:vertAlign w:val="baseline"/>
                <w:lang w:val="en-US" w:eastAsia="zh-CN"/>
              </w:rPr>
              <w:t>营业收入（万元）</w:t>
            </w:r>
          </w:p>
        </w:tc>
        <w:tc>
          <w:tcPr>
            <w:tcW w:w="1245" w:type="dxa"/>
            <w:vAlign w:val="center"/>
          </w:tcPr>
          <w:p w14:paraId="0DA56DB0">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Theme="minorEastAsia" w:hAnsiTheme="minorEastAsia" w:eastAsiaTheme="minorEastAsia" w:cstheme="minorEastAsia"/>
                <w:color w:val="auto"/>
                <w:kern w:val="0"/>
                <w:sz w:val="21"/>
                <w:szCs w:val="21"/>
                <w:vertAlign w:val="baseline"/>
                <w:lang w:val="en-US" w:eastAsia="zh-CN"/>
              </w:rPr>
            </w:pPr>
            <w:r>
              <w:rPr>
                <w:rFonts w:hint="eastAsia" w:asciiTheme="minorEastAsia" w:hAnsiTheme="minorEastAsia" w:eastAsiaTheme="minorEastAsia" w:cstheme="minorEastAsia"/>
                <w:color w:val="auto"/>
                <w:kern w:val="0"/>
                <w:sz w:val="21"/>
                <w:szCs w:val="21"/>
                <w:vertAlign w:val="baseline"/>
                <w:lang w:val="en-US" w:eastAsia="zh-CN"/>
              </w:rPr>
              <w:t>144</w:t>
            </w:r>
          </w:p>
        </w:tc>
        <w:tc>
          <w:tcPr>
            <w:tcW w:w="1275" w:type="dxa"/>
            <w:vAlign w:val="center"/>
          </w:tcPr>
          <w:p w14:paraId="027995F0">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Theme="minorEastAsia" w:hAnsiTheme="minorEastAsia" w:eastAsiaTheme="minorEastAsia" w:cstheme="minorEastAsia"/>
                <w:color w:val="auto"/>
                <w:kern w:val="0"/>
                <w:sz w:val="21"/>
                <w:szCs w:val="21"/>
                <w:vertAlign w:val="baseline"/>
                <w:lang w:val="en-US" w:eastAsia="zh-CN"/>
              </w:rPr>
            </w:pPr>
            <w:r>
              <w:rPr>
                <w:rFonts w:hint="eastAsia" w:asciiTheme="minorEastAsia" w:hAnsiTheme="minorEastAsia" w:eastAsiaTheme="minorEastAsia" w:cstheme="minorEastAsia"/>
                <w:color w:val="auto"/>
                <w:kern w:val="0"/>
                <w:sz w:val="21"/>
                <w:szCs w:val="21"/>
                <w:vertAlign w:val="baseline"/>
                <w:lang w:val="en-US" w:eastAsia="zh-CN"/>
              </w:rPr>
              <w:t>167</w:t>
            </w:r>
          </w:p>
        </w:tc>
        <w:tc>
          <w:tcPr>
            <w:tcW w:w="1230" w:type="dxa"/>
            <w:vAlign w:val="center"/>
          </w:tcPr>
          <w:p w14:paraId="53E5F66A">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Theme="minorEastAsia" w:hAnsiTheme="minorEastAsia" w:eastAsiaTheme="minorEastAsia" w:cstheme="minorEastAsia"/>
                <w:color w:val="auto"/>
                <w:kern w:val="0"/>
                <w:sz w:val="21"/>
                <w:szCs w:val="21"/>
                <w:vertAlign w:val="baseline"/>
                <w:lang w:val="en-US" w:eastAsia="zh-CN"/>
              </w:rPr>
            </w:pPr>
            <w:r>
              <w:rPr>
                <w:rFonts w:hint="eastAsia" w:asciiTheme="minorEastAsia" w:hAnsiTheme="minorEastAsia" w:eastAsiaTheme="minorEastAsia" w:cstheme="minorEastAsia"/>
                <w:color w:val="auto"/>
                <w:kern w:val="0"/>
                <w:sz w:val="21"/>
                <w:szCs w:val="21"/>
                <w:vertAlign w:val="baseline"/>
                <w:lang w:val="en-US" w:eastAsia="zh-CN"/>
              </w:rPr>
              <w:t>122</w:t>
            </w:r>
          </w:p>
        </w:tc>
        <w:tc>
          <w:tcPr>
            <w:tcW w:w="1275" w:type="dxa"/>
            <w:vAlign w:val="center"/>
          </w:tcPr>
          <w:p w14:paraId="008B24C8">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Theme="minorEastAsia" w:hAnsiTheme="minorEastAsia" w:eastAsiaTheme="minorEastAsia" w:cstheme="minorEastAsia"/>
                <w:color w:val="auto"/>
                <w:kern w:val="0"/>
                <w:sz w:val="21"/>
                <w:szCs w:val="21"/>
                <w:vertAlign w:val="baseline"/>
                <w:lang w:val="en-US" w:eastAsia="zh-CN"/>
              </w:rPr>
            </w:pPr>
            <w:r>
              <w:rPr>
                <w:rFonts w:hint="eastAsia" w:asciiTheme="minorEastAsia" w:hAnsiTheme="minorEastAsia" w:eastAsiaTheme="minorEastAsia" w:cstheme="minorEastAsia"/>
                <w:color w:val="auto"/>
                <w:kern w:val="0"/>
                <w:sz w:val="21"/>
                <w:szCs w:val="21"/>
                <w:vertAlign w:val="baseline"/>
                <w:lang w:val="en-US" w:eastAsia="zh-CN"/>
              </w:rPr>
              <w:t>121</w:t>
            </w:r>
          </w:p>
        </w:tc>
        <w:tc>
          <w:tcPr>
            <w:tcW w:w="1575" w:type="dxa"/>
            <w:vAlign w:val="center"/>
          </w:tcPr>
          <w:p w14:paraId="2526D945">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Theme="minorEastAsia" w:hAnsiTheme="minorEastAsia" w:eastAsiaTheme="minorEastAsia" w:cstheme="minorEastAsia"/>
                <w:color w:val="auto"/>
                <w:kern w:val="0"/>
                <w:sz w:val="21"/>
                <w:szCs w:val="21"/>
                <w:vertAlign w:val="baseline"/>
                <w:lang w:val="en-US" w:eastAsia="zh-CN"/>
              </w:rPr>
            </w:pPr>
            <w:r>
              <w:rPr>
                <w:rFonts w:hint="eastAsia" w:asciiTheme="minorEastAsia" w:hAnsiTheme="minorEastAsia" w:eastAsiaTheme="minorEastAsia" w:cstheme="minorEastAsia"/>
                <w:color w:val="auto"/>
                <w:kern w:val="0"/>
                <w:sz w:val="21"/>
                <w:szCs w:val="21"/>
                <w:vertAlign w:val="baseline"/>
                <w:lang w:val="en-US" w:eastAsia="zh-CN"/>
              </w:rPr>
              <w:t>138.5</w:t>
            </w:r>
          </w:p>
        </w:tc>
      </w:tr>
      <w:tr w14:paraId="23788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2220" w:type="dxa"/>
            <w:vAlign w:val="center"/>
          </w:tcPr>
          <w:p w14:paraId="13008C4C">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Theme="minorEastAsia" w:hAnsiTheme="minorEastAsia" w:eastAsiaTheme="minorEastAsia" w:cstheme="minorEastAsia"/>
                <w:color w:val="auto"/>
                <w:kern w:val="0"/>
                <w:sz w:val="21"/>
                <w:szCs w:val="21"/>
                <w:vertAlign w:val="baseline"/>
                <w:lang w:val="en-US" w:eastAsia="zh-CN"/>
              </w:rPr>
            </w:pPr>
            <w:r>
              <w:rPr>
                <w:rFonts w:hint="eastAsia" w:asciiTheme="minorEastAsia" w:hAnsiTheme="minorEastAsia" w:eastAsiaTheme="minorEastAsia" w:cstheme="minorEastAsia"/>
                <w:color w:val="auto"/>
                <w:kern w:val="0"/>
                <w:sz w:val="21"/>
                <w:szCs w:val="21"/>
                <w:vertAlign w:val="baseline"/>
                <w:lang w:val="en-US" w:eastAsia="zh-CN"/>
              </w:rPr>
              <w:t>经营成本（万元）</w:t>
            </w:r>
          </w:p>
        </w:tc>
        <w:tc>
          <w:tcPr>
            <w:tcW w:w="1245" w:type="dxa"/>
            <w:vAlign w:val="center"/>
          </w:tcPr>
          <w:p w14:paraId="45E8655C">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Theme="minorEastAsia" w:hAnsiTheme="minorEastAsia" w:eastAsiaTheme="minorEastAsia" w:cstheme="minorEastAsia"/>
                <w:color w:val="auto"/>
                <w:kern w:val="0"/>
                <w:sz w:val="21"/>
                <w:szCs w:val="21"/>
                <w:vertAlign w:val="baseline"/>
                <w:lang w:val="en-US" w:eastAsia="zh-CN"/>
              </w:rPr>
            </w:pPr>
            <w:r>
              <w:rPr>
                <w:rFonts w:hint="eastAsia" w:asciiTheme="minorEastAsia" w:hAnsiTheme="minorEastAsia" w:eastAsiaTheme="minorEastAsia" w:cstheme="minorEastAsia"/>
                <w:color w:val="auto"/>
                <w:kern w:val="0"/>
                <w:sz w:val="21"/>
                <w:szCs w:val="21"/>
                <w:vertAlign w:val="baseline"/>
                <w:lang w:val="en-US" w:eastAsia="zh-CN"/>
              </w:rPr>
              <w:t>40</w:t>
            </w:r>
          </w:p>
        </w:tc>
        <w:tc>
          <w:tcPr>
            <w:tcW w:w="1275" w:type="dxa"/>
            <w:vAlign w:val="center"/>
          </w:tcPr>
          <w:p w14:paraId="288B5945">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Theme="minorEastAsia" w:hAnsiTheme="minorEastAsia" w:eastAsiaTheme="minorEastAsia" w:cstheme="minorEastAsia"/>
                <w:color w:val="auto"/>
                <w:kern w:val="0"/>
                <w:sz w:val="21"/>
                <w:szCs w:val="21"/>
                <w:vertAlign w:val="baseline"/>
                <w:lang w:val="en-US" w:eastAsia="zh-CN"/>
              </w:rPr>
            </w:pPr>
            <w:r>
              <w:rPr>
                <w:rFonts w:hint="eastAsia" w:asciiTheme="minorEastAsia" w:hAnsiTheme="minorEastAsia" w:eastAsiaTheme="minorEastAsia" w:cstheme="minorEastAsia"/>
                <w:color w:val="auto"/>
                <w:kern w:val="0"/>
                <w:sz w:val="21"/>
                <w:szCs w:val="21"/>
                <w:vertAlign w:val="baseline"/>
                <w:lang w:val="en-US" w:eastAsia="zh-CN"/>
              </w:rPr>
              <w:t>40</w:t>
            </w:r>
          </w:p>
        </w:tc>
        <w:tc>
          <w:tcPr>
            <w:tcW w:w="1230" w:type="dxa"/>
            <w:vAlign w:val="center"/>
          </w:tcPr>
          <w:p w14:paraId="5D48DA03">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Theme="minorEastAsia" w:hAnsiTheme="minorEastAsia" w:eastAsiaTheme="minorEastAsia" w:cstheme="minorEastAsia"/>
                <w:color w:val="auto"/>
                <w:kern w:val="0"/>
                <w:sz w:val="21"/>
                <w:szCs w:val="21"/>
                <w:vertAlign w:val="baseline"/>
                <w:lang w:val="en-US" w:eastAsia="zh-CN"/>
              </w:rPr>
            </w:pPr>
            <w:r>
              <w:rPr>
                <w:rFonts w:hint="eastAsia" w:asciiTheme="minorEastAsia" w:hAnsiTheme="minorEastAsia" w:eastAsiaTheme="minorEastAsia" w:cstheme="minorEastAsia"/>
                <w:color w:val="auto"/>
                <w:kern w:val="0"/>
                <w:sz w:val="21"/>
                <w:szCs w:val="21"/>
                <w:vertAlign w:val="baseline"/>
                <w:lang w:val="en-US" w:eastAsia="zh-CN"/>
              </w:rPr>
              <w:t>40</w:t>
            </w:r>
          </w:p>
        </w:tc>
        <w:tc>
          <w:tcPr>
            <w:tcW w:w="1275" w:type="dxa"/>
            <w:vAlign w:val="center"/>
          </w:tcPr>
          <w:p w14:paraId="3AE9CAAB">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Theme="minorEastAsia" w:hAnsiTheme="minorEastAsia" w:eastAsiaTheme="minorEastAsia" w:cstheme="minorEastAsia"/>
                <w:color w:val="auto"/>
                <w:kern w:val="0"/>
                <w:sz w:val="21"/>
                <w:szCs w:val="21"/>
                <w:vertAlign w:val="baseline"/>
                <w:lang w:val="en-US" w:eastAsia="zh-CN"/>
              </w:rPr>
            </w:pPr>
            <w:r>
              <w:rPr>
                <w:rFonts w:hint="eastAsia" w:asciiTheme="minorEastAsia" w:hAnsiTheme="minorEastAsia" w:eastAsiaTheme="minorEastAsia" w:cstheme="minorEastAsia"/>
                <w:color w:val="auto"/>
                <w:kern w:val="0"/>
                <w:sz w:val="21"/>
                <w:szCs w:val="21"/>
                <w:vertAlign w:val="baseline"/>
                <w:lang w:val="en-US" w:eastAsia="zh-CN"/>
              </w:rPr>
              <w:t>40</w:t>
            </w:r>
          </w:p>
        </w:tc>
        <w:tc>
          <w:tcPr>
            <w:tcW w:w="1575" w:type="dxa"/>
            <w:vAlign w:val="center"/>
          </w:tcPr>
          <w:p w14:paraId="6384FBA2">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Theme="minorEastAsia" w:hAnsiTheme="minorEastAsia" w:eastAsiaTheme="minorEastAsia" w:cstheme="minorEastAsia"/>
                <w:color w:val="auto"/>
                <w:kern w:val="0"/>
                <w:sz w:val="21"/>
                <w:szCs w:val="21"/>
                <w:vertAlign w:val="baseline"/>
                <w:lang w:val="en-US" w:eastAsia="zh-CN"/>
              </w:rPr>
            </w:pPr>
            <w:r>
              <w:rPr>
                <w:rFonts w:hint="eastAsia" w:asciiTheme="minorEastAsia" w:hAnsiTheme="minorEastAsia" w:eastAsiaTheme="minorEastAsia" w:cstheme="minorEastAsia"/>
                <w:color w:val="auto"/>
                <w:kern w:val="0"/>
                <w:sz w:val="21"/>
                <w:szCs w:val="21"/>
                <w:vertAlign w:val="baseline"/>
                <w:lang w:val="en-US" w:eastAsia="zh-CN"/>
              </w:rPr>
              <w:t>40</w:t>
            </w:r>
          </w:p>
        </w:tc>
      </w:tr>
      <w:tr w14:paraId="6E68F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2220" w:type="dxa"/>
            <w:vAlign w:val="center"/>
          </w:tcPr>
          <w:p w14:paraId="28B91653">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Theme="minorEastAsia" w:hAnsiTheme="minorEastAsia" w:eastAsiaTheme="minorEastAsia" w:cstheme="minorEastAsia"/>
                <w:color w:val="auto"/>
                <w:kern w:val="0"/>
                <w:sz w:val="21"/>
                <w:szCs w:val="21"/>
                <w:vertAlign w:val="baseline"/>
                <w:lang w:val="en-US" w:eastAsia="zh-CN"/>
              </w:rPr>
            </w:pPr>
            <w:r>
              <w:rPr>
                <w:rFonts w:hint="eastAsia" w:asciiTheme="minorEastAsia" w:hAnsiTheme="minorEastAsia" w:eastAsiaTheme="minorEastAsia" w:cstheme="minorEastAsia"/>
                <w:color w:val="auto"/>
                <w:kern w:val="0"/>
                <w:sz w:val="21"/>
                <w:szCs w:val="21"/>
                <w:vertAlign w:val="baseline"/>
                <w:lang w:val="en-US" w:eastAsia="zh-CN"/>
              </w:rPr>
              <w:t>经营利润（万元）</w:t>
            </w:r>
          </w:p>
        </w:tc>
        <w:tc>
          <w:tcPr>
            <w:tcW w:w="1245" w:type="dxa"/>
            <w:vAlign w:val="center"/>
          </w:tcPr>
          <w:p w14:paraId="02489FCE">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Theme="minorEastAsia" w:hAnsiTheme="minorEastAsia" w:eastAsiaTheme="minorEastAsia" w:cstheme="minorEastAsia"/>
                <w:color w:val="auto"/>
                <w:kern w:val="0"/>
                <w:sz w:val="21"/>
                <w:szCs w:val="21"/>
                <w:vertAlign w:val="baseline"/>
                <w:lang w:val="en-US" w:eastAsia="zh-CN"/>
              </w:rPr>
            </w:pPr>
            <w:r>
              <w:rPr>
                <w:rFonts w:hint="eastAsia" w:asciiTheme="minorEastAsia" w:hAnsiTheme="minorEastAsia" w:eastAsiaTheme="minorEastAsia" w:cstheme="minorEastAsia"/>
                <w:color w:val="auto"/>
                <w:kern w:val="0"/>
                <w:sz w:val="21"/>
                <w:szCs w:val="21"/>
                <w:vertAlign w:val="baseline"/>
                <w:lang w:val="en-US" w:eastAsia="zh-CN"/>
              </w:rPr>
              <w:t>104</w:t>
            </w:r>
          </w:p>
        </w:tc>
        <w:tc>
          <w:tcPr>
            <w:tcW w:w="1275" w:type="dxa"/>
            <w:vAlign w:val="center"/>
          </w:tcPr>
          <w:p w14:paraId="0EE75E12">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Theme="minorEastAsia" w:hAnsiTheme="minorEastAsia" w:eastAsiaTheme="minorEastAsia" w:cstheme="minorEastAsia"/>
                <w:color w:val="auto"/>
                <w:kern w:val="0"/>
                <w:sz w:val="21"/>
                <w:szCs w:val="21"/>
                <w:vertAlign w:val="baseline"/>
                <w:lang w:val="en-US" w:eastAsia="zh-CN"/>
              </w:rPr>
            </w:pPr>
            <w:r>
              <w:rPr>
                <w:rFonts w:hint="eastAsia" w:asciiTheme="minorEastAsia" w:hAnsiTheme="minorEastAsia" w:eastAsiaTheme="minorEastAsia" w:cstheme="minorEastAsia"/>
                <w:color w:val="auto"/>
                <w:kern w:val="0"/>
                <w:sz w:val="21"/>
                <w:szCs w:val="21"/>
                <w:vertAlign w:val="baseline"/>
                <w:lang w:val="en-US" w:eastAsia="zh-CN"/>
              </w:rPr>
              <w:t>127</w:t>
            </w:r>
          </w:p>
        </w:tc>
        <w:tc>
          <w:tcPr>
            <w:tcW w:w="1230" w:type="dxa"/>
            <w:vAlign w:val="center"/>
          </w:tcPr>
          <w:p w14:paraId="691769CA">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Theme="minorEastAsia" w:hAnsiTheme="minorEastAsia" w:eastAsiaTheme="minorEastAsia" w:cstheme="minorEastAsia"/>
                <w:color w:val="auto"/>
                <w:kern w:val="0"/>
                <w:sz w:val="21"/>
                <w:szCs w:val="21"/>
                <w:vertAlign w:val="baseline"/>
                <w:lang w:val="en-US" w:eastAsia="zh-CN"/>
              </w:rPr>
            </w:pPr>
            <w:r>
              <w:rPr>
                <w:rFonts w:hint="eastAsia" w:asciiTheme="minorEastAsia" w:hAnsiTheme="minorEastAsia" w:eastAsiaTheme="minorEastAsia" w:cstheme="minorEastAsia"/>
                <w:color w:val="auto"/>
                <w:kern w:val="0"/>
                <w:sz w:val="21"/>
                <w:szCs w:val="21"/>
                <w:vertAlign w:val="baseline"/>
                <w:lang w:val="en-US" w:eastAsia="zh-CN"/>
              </w:rPr>
              <w:t>82</w:t>
            </w:r>
          </w:p>
        </w:tc>
        <w:tc>
          <w:tcPr>
            <w:tcW w:w="1275" w:type="dxa"/>
            <w:vAlign w:val="center"/>
          </w:tcPr>
          <w:p w14:paraId="64E40771">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Theme="minorEastAsia" w:hAnsiTheme="minorEastAsia" w:eastAsiaTheme="minorEastAsia" w:cstheme="minorEastAsia"/>
                <w:color w:val="auto"/>
                <w:kern w:val="0"/>
                <w:sz w:val="21"/>
                <w:szCs w:val="21"/>
                <w:vertAlign w:val="baseline"/>
                <w:lang w:val="en-US" w:eastAsia="zh-CN"/>
              </w:rPr>
            </w:pPr>
            <w:r>
              <w:rPr>
                <w:rFonts w:hint="eastAsia" w:asciiTheme="minorEastAsia" w:hAnsiTheme="minorEastAsia" w:eastAsiaTheme="minorEastAsia" w:cstheme="minorEastAsia"/>
                <w:color w:val="auto"/>
                <w:kern w:val="0"/>
                <w:sz w:val="21"/>
                <w:szCs w:val="21"/>
                <w:vertAlign w:val="baseline"/>
                <w:lang w:val="en-US" w:eastAsia="zh-CN"/>
              </w:rPr>
              <w:t>81</w:t>
            </w:r>
          </w:p>
        </w:tc>
        <w:tc>
          <w:tcPr>
            <w:tcW w:w="1575" w:type="dxa"/>
            <w:vAlign w:val="center"/>
          </w:tcPr>
          <w:p w14:paraId="0AB6CA4D">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Theme="minorEastAsia" w:hAnsiTheme="minorEastAsia" w:eastAsiaTheme="minorEastAsia" w:cstheme="minorEastAsia"/>
                <w:color w:val="auto"/>
                <w:kern w:val="0"/>
                <w:sz w:val="21"/>
                <w:szCs w:val="21"/>
                <w:vertAlign w:val="baseline"/>
                <w:lang w:val="en-US" w:eastAsia="zh-CN"/>
              </w:rPr>
            </w:pPr>
            <w:r>
              <w:rPr>
                <w:rFonts w:hint="eastAsia" w:asciiTheme="minorEastAsia" w:hAnsiTheme="minorEastAsia" w:eastAsiaTheme="minorEastAsia" w:cstheme="minorEastAsia"/>
                <w:color w:val="auto"/>
                <w:kern w:val="0"/>
                <w:sz w:val="21"/>
                <w:szCs w:val="21"/>
                <w:vertAlign w:val="baseline"/>
                <w:lang w:val="en-US" w:eastAsia="zh-CN"/>
              </w:rPr>
              <w:t>98.5</w:t>
            </w:r>
          </w:p>
        </w:tc>
      </w:tr>
    </w:tbl>
    <w:p w14:paraId="62A81D90">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支付方式：需提前预交两年的大角湾地下停车场经营权费。前两年的经营权费在合同签订后一个月内一次性付清，今后需在满两年期限前缴交下两年的经营权费。</w:t>
      </w:r>
    </w:p>
    <w:p w14:paraId="05558D5C">
      <w:pPr>
        <w:pStyle w:val="15"/>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20" w:firstLineChars="200"/>
        <w:textAlignment w:val="auto"/>
        <w:rPr>
          <w:rFonts w:hint="eastAsia"/>
          <w:color w:val="auto"/>
        </w:rPr>
      </w:pPr>
      <w:r>
        <w:rPr>
          <w:rFonts w:hint="eastAsia" w:hAnsi="宋体" w:cs="宋体"/>
          <w:color w:val="auto"/>
          <w:kern w:val="0"/>
          <w:sz w:val="21"/>
          <w:szCs w:val="21"/>
          <w:lang w:val="en-US" w:eastAsia="zh-CN"/>
        </w:rPr>
        <w:t>（三）</w:t>
      </w:r>
      <w:r>
        <w:rPr>
          <w:rFonts w:hint="eastAsia" w:ascii="宋体" w:hAnsi="宋体" w:eastAsia="宋体" w:cs="宋体"/>
          <w:color w:val="auto"/>
          <w:kern w:val="0"/>
          <w:sz w:val="21"/>
          <w:szCs w:val="21"/>
          <w:lang w:val="en-US" w:eastAsia="zh-CN"/>
        </w:rPr>
        <w:t>中标单位</w:t>
      </w:r>
      <w:r>
        <w:rPr>
          <w:rFonts w:hint="eastAsia" w:ascii="宋体" w:hAnsi="宋体" w:cs="宋体"/>
          <w:color w:val="auto"/>
          <w:kern w:val="0"/>
          <w:sz w:val="21"/>
          <w:szCs w:val="21"/>
          <w:lang w:val="en-US" w:eastAsia="zh-CN"/>
        </w:rPr>
        <w:t>需保证</w:t>
      </w:r>
      <w:r>
        <w:rPr>
          <w:rFonts w:hint="eastAsia" w:ascii="宋体" w:hAnsi="宋体" w:eastAsia="宋体" w:cs="宋体"/>
          <w:color w:val="auto"/>
          <w:kern w:val="0"/>
          <w:sz w:val="21"/>
          <w:szCs w:val="21"/>
        </w:rPr>
        <w:t>大角湾地下停车场</w:t>
      </w:r>
      <w:r>
        <w:rPr>
          <w:rFonts w:hint="eastAsia" w:ascii="宋体" w:hAnsi="宋体" w:cs="宋体"/>
          <w:color w:val="auto"/>
          <w:kern w:val="0"/>
          <w:sz w:val="21"/>
          <w:szCs w:val="21"/>
          <w:lang w:val="en-US" w:eastAsia="zh-CN"/>
        </w:rPr>
        <w:t>对外开放，应遵守</w:t>
      </w:r>
      <w:r>
        <w:rPr>
          <w:rFonts w:hint="eastAsia" w:ascii="宋体" w:hAnsi="宋体" w:eastAsia="宋体" w:cs="宋体"/>
          <w:color w:val="auto"/>
          <w:kern w:val="0"/>
          <w:sz w:val="21"/>
          <w:szCs w:val="21"/>
        </w:rPr>
        <w:t>大角湾地下停车场</w:t>
      </w:r>
      <w:r>
        <w:rPr>
          <w:rFonts w:hint="eastAsia" w:ascii="宋体" w:hAnsi="宋体" w:cs="宋体"/>
          <w:color w:val="auto"/>
          <w:kern w:val="0"/>
          <w:sz w:val="21"/>
          <w:szCs w:val="21"/>
          <w:lang w:val="en-US" w:eastAsia="zh-CN"/>
        </w:rPr>
        <w:t>原有的管理制度，不得变相出租给其他商家作为固定车位，不得允许任何商家、个人进入停车场拉客揽客和销售商品。因特殊节假日或重大活动的需要，政府要求免费开放</w:t>
      </w:r>
      <w:r>
        <w:rPr>
          <w:rFonts w:hint="eastAsia" w:ascii="宋体" w:hAnsi="宋体" w:eastAsia="宋体" w:cs="宋体"/>
          <w:color w:val="auto"/>
          <w:kern w:val="0"/>
          <w:sz w:val="21"/>
          <w:szCs w:val="21"/>
        </w:rPr>
        <w:t>大角湾地下停车场</w:t>
      </w:r>
      <w:r>
        <w:rPr>
          <w:rFonts w:hint="eastAsia" w:ascii="宋体" w:hAnsi="宋体" w:cs="宋体"/>
          <w:color w:val="auto"/>
          <w:kern w:val="0"/>
          <w:sz w:val="21"/>
          <w:szCs w:val="21"/>
          <w:lang w:val="en-US" w:eastAsia="zh-CN"/>
        </w:rPr>
        <w:t>时</w:t>
      </w:r>
      <w:r>
        <w:rPr>
          <w:rFonts w:hint="eastAsia" w:ascii="宋体" w:hAnsi="宋体" w:cs="宋体"/>
          <w:color w:val="auto"/>
          <w:kern w:val="0"/>
          <w:sz w:val="21"/>
          <w:szCs w:val="21"/>
          <w:lang w:eastAsia="zh-CN"/>
        </w:rPr>
        <w:t>，</w:t>
      </w:r>
      <w:r>
        <w:rPr>
          <w:rFonts w:hint="eastAsia" w:ascii="宋体" w:hAnsi="宋体" w:cs="宋体"/>
          <w:color w:val="auto"/>
          <w:kern w:val="0"/>
          <w:sz w:val="21"/>
          <w:szCs w:val="21"/>
          <w:lang w:val="en-US" w:eastAsia="zh-CN"/>
        </w:rPr>
        <w:t>中标单位应当予以配合执行。</w:t>
      </w:r>
    </w:p>
    <w:p w14:paraId="19391C3C">
      <w:pPr>
        <w:keepNext w:val="0"/>
        <w:keepLines w:val="0"/>
        <w:pageBreakBefore w:val="0"/>
        <w:widowControl w:val="0"/>
        <w:numPr>
          <w:ilvl w:val="0"/>
          <w:numId w:val="4"/>
        </w:numPr>
        <w:kinsoku/>
        <w:wordWrap/>
        <w:overflowPunct/>
        <w:topLinePunct w:val="0"/>
        <w:autoSpaceDE/>
        <w:autoSpaceDN/>
        <w:bidi w:val="0"/>
        <w:adjustRightInd/>
        <w:snapToGrid/>
        <w:spacing w:line="460" w:lineRule="exact"/>
        <w:textAlignment w:val="auto"/>
        <w:outlineLvl w:val="2"/>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政府承诺或保障：</w:t>
      </w:r>
    </w:p>
    <w:p w14:paraId="116AC872">
      <w:pPr>
        <w:pStyle w:val="15"/>
        <w:keepNext w:val="0"/>
        <w:keepLines w:val="0"/>
        <w:pageBreakBefore w:val="0"/>
        <w:widowControl w:val="0"/>
        <w:numPr>
          <w:ilvl w:val="0"/>
          <w:numId w:val="0"/>
        </w:numPr>
        <w:kinsoku/>
        <w:wordWrap/>
        <w:overflowPunct/>
        <w:topLinePunct w:val="0"/>
        <w:autoSpaceDE/>
        <w:autoSpaceDN/>
        <w:bidi w:val="0"/>
        <w:adjustRightInd/>
        <w:snapToGrid/>
        <w:spacing w:line="460" w:lineRule="exact"/>
        <w:ind w:left="425" w:leftChars="0"/>
        <w:textAlignment w:val="auto"/>
        <w:rPr>
          <w:rFonts w:hint="eastAsia" w:ascii="宋体" w:hAnsi="宋体" w:eastAsia="宋体" w:cs="宋体"/>
          <w:b w:val="0"/>
          <w:bCs w:val="0"/>
          <w:color w:val="auto"/>
          <w:kern w:val="0"/>
          <w:sz w:val="21"/>
          <w:szCs w:val="21"/>
        </w:rPr>
      </w:pPr>
      <w:r>
        <w:rPr>
          <w:rFonts w:hint="eastAsia" w:ascii="宋体" w:hAnsi="宋体" w:eastAsia="宋体" w:cs="宋体"/>
          <w:b w:val="0"/>
          <w:bCs w:val="0"/>
          <w:color w:val="auto"/>
          <w:kern w:val="0"/>
          <w:sz w:val="21"/>
          <w:szCs w:val="21"/>
        </w:rPr>
        <w:t>为推进本项目的全面建设，打造示范级精品民生民心工程，区政府给予以下支持：</w:t>
      </w:r>
    </w:p>
    <w:p w14:paraId="7A37207B">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一</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区</w:t>
      </w:r>
      <w:r>
        <w:rPr>
          <w:rFonts w:hint="eastAsia" w:asciiTheme="minorEastAsia" w:hAnsiTheme="minorEastAsia" w:eastAsiaTheme="minorEastAsia" w:cstheme="minorEastAsia"/>
          <w:color w:val="auto"/>
          <w:sz w:val="21"/>
          <w:szCs w:val="21"/>
          <w:lang w:eastAsia="zh-CN"/>
        </w:rPr>
        <w:t>城管执法</w:t>
      </w:r>
      <w:r>
        <w:rPr>
          <w:rFonts w:hint="eastAsia" w:asciiTheme="minorEastAsia" w:hAnsiTheme="minorEastAsia" w:eastAsiaTheme="minorEastAsia" w:cstheme="minorEastAsia"/>
          <w:color w:val="auto"/>
          <w:sz w:val="21"/>
          <w:szCs w:val="21"/>
        </w:rPr>
        <w:t>局负责</w:t>
      </w:r>
      <w:r>
        <w:rPr>
          <w:rFonts w:hint="eastAsia" w:asciiTheme="minorEastAsia" w:hAnsiTheme="minorEastAsia" w:eastAsiaTheme="minorEastAsia" w:cstheme="minorEastAsia"/>
          <w:color w:val="auto"/>
          <w:sz w:val="21"/>
          <w:szCs w:val="21"/>
          <w:lang w:val="en-US" w:eastAsia="zh-CN"/>
        </w:rPr>
        <w:t>市容市貌日常整治维护</w:t>
      </w:r>
      <w:r>
        <w:rPr>
          <w:rFonts w:hint="eastAsia" w:asciiTheme="minorEastAsia" w:hAnsiTheme="minorEastAsia" w:eastAsiaTheme="minorEastAsia" w:cstheme="minorEastAsia"/>
          <w:color w:val="auto"/>
          <w:sz w:val="21"/>
          <w:szCs w:val="21"/>
        </w:rPr>
        <w:t>工作，依法依规处置乱停放等影响市容及交通秩序的行为</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lang w:val="en-US" w:eastAsia="zh-CN"/>
        </w:rPr>
        <w:t>配合做好停车区域划定</w:t>
      </w:r>
      <w:r>
        <w:rPr>
          <w:rFonts w:hint="eastAsia" w:asciiTheme="minorEastAsia" w:hAnsiTheme="minorEastAsia" w:eastAsiaTheme="minorEastAsia" w:cstheme="minorEastAsia"/>
          <w:color w:val="auto"/>
          <w:sz w:val="21"/>
          <w:szCs w:val="21"/>
          <w:lang w:eastAsia="zh-CN"/>
        </w:rPr>
        <w:t>。</w:t>
      </w:r>
    </w:p>
    <w:p w14:paraId="18D753E9">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二</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区</w:t>
      </w:r>
      <w:r>
        <w:rPr>
          <w:rFonts w:hint="eastAsia" w:asciiTheme="minorEastAsia" w:hAnsiTheme="minorEastAsia" w:eastAsiaTheme="minorEastAsia" w:cstheme="minorEastAsia"/>
          <w:color w:val="auto"/>
          <w:sz w:val="21"/>
          <w:szCs w:val="21"/>
          <w:lang w:eastAsia="zh-CN"/>
        </w:rPr>
        <w:t>自然资源</w:t>
      </w:r>
      <w:r>
        <w:rPr>
          <w:rFonts w:hint="eastAsia" w:asciiTheme="minorEastAsia" w:hAnsiTheme="minorEastAsia" w:eastAsiaTheme="minorEastAsia" w:cstheme="minorEastAsia"/>
          <w:color w:val="auto"/>
          <w:sz w:val="21"/>
          <w:szCs w:val="21"/>
          <w:lang w:val="en-US" w:eastAsia="zh-CN"/>
        </w:rPr>
        <w:t>分</w:t>
      </w:r>
      <w:r>
        <w:rPr>
          <w:rFonts w:hint="eastAsia" w:asciiTheme="minorEastAsia" w:hAnsiTheme="minorEastAsia" w:eastAsiaTheme="minorEastAsia" w:cstheme="minorEastAsia"/>
          <w:color w:val="auto"/>
          <w:sz w:val="21"/>
          <w:szCs w:val="21"/>
        </w:rPr>
        <w:t>局负责完善</w:t>
      </w:r>
      <w:r>
        <w:rPr>
          <w:rFonts w:hint="eastAsia" w:asciiTheme="minorEastAsia" w:hAnsiTheme="minorEastAsia" w:eastAsiaTheme="minorEastAsia" w:cstheme="minorEastAsia"/>
          <w:color w:val="auto"/>
          <w:sz w:val="21"/>
          <w:szCs w:val="21"/>
          <w:lang w:val="en-US" w:eastAsia="zh-CN"/>
        </w:rPr>
        <w:t>停车交通系统</w:t>
      </w:r>
      <w:r>
        <w:rPr>
          <w:rFonts w:hint="eastAsia" w:asciiTheme="minorEastAsia" w:hAnsiTheme="minorEastAsia" w:eastAsiaTheme="minorEastAsia" w:cstheme="minorEastAsia"/>
          <w:color w:val="auto"/>
          <w:sz w:val="21"/>
          <w:szCs w:val="21"/>
        </w:rPr>
        <w:t>规划</w:t>
      </w:r>
      <w:r>
        <w:rPr>
          <w:rFonts w:hint="eastAsia" w:asciiTheme="minorEastAsia" w:hAnsiTheme="minorEastAsia" w:eastAsiaTheme="minorEastAsia" w:cstheme="minorEastAsia"/>
          <w:color w:val="auto"/>
          <w:sz w:val="21"/>
          <w:szCs w:val="21"/>
          <w:lang w:val="en-US" w:eastAsia="zh-CN"/>
        </w:rPr>
        <w:t>,配合做好停车区域划定</w:t>
      </w:r>
      <w:r>
        <w:rPr>
          <w:rFonts w:hint="eastAsia" w:asciiTheme="minorEastAsia" w:hAnsiTheme="minorEastAsia" w:eastAsiaTheme="minorEastAsia" w:cstheme="minorEastAsia"/>
          <w:color w:val="auto"/>
          <w:sz w:val="21"/>
          <w:szCs w:val="21"/>
          <w:lang w:eastAsia="zh-CN"/>
        </w:rPr>
        <w:t>。</w:t>
      </w:r>
    </w:p>
    <w:p w14:paraId="3E00ED5F">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三</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区经发局</w:t>
      </w:r>
      <w:r>
        <w:rPr>
          <w:rFonts w:hint="eastAsia" w:asciiTheme="minorEastAsia" w:hAnsiTheme="minorEastAsia" w:eastAsiaTheme="minorEastAsia" w:cstheme="minorEastAsia"/>
          <w:color w:val="auto"/>
          <w:sz w:val="21"/>
          <w:szCs w:val="21"/>
        </w:rPr>
        <w:t>负责</w:t>
      </w:r>
      <w:r>
        <w:rPr>
          <w:rFonts w:hint="eastAsia" w:asciiTheme="minorEastAsia" w:hAnsiTheme="minorEastAsia" w:eastAsiaTheme="minorEastAsia" w:cstheme="minorEastAsia"/>
          <w:color w:val="auto"/>
          <w:sz w:val="21"/>
          <w:szCs w:val="21"/>
          <w:lang w:val="en-US" w:eastAsia="zh-CN"/>
        </w:rPr>
        <w:t>办理停车收费审批手续，依规定制定、公布收费标准，给予企业必要的政策指导。</w:t>
      </w:r>
    </w:p>
    <w:p w14:paraId="7B21BEFD">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四</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区</w:t>
      </w:r>
      <w:r>
        <w:rPr>
          <w:rFonts w:hint="eastAsia" w:asciiTheme="minorEastAsia" w:hAnsiTheme="minorEastAsia" w:eastAsiaTheme="minorEastAsia" w:cstheme="minorEastAsia"/>
          <w:color w:val="auto"/>
          <w:sz w:val="21"/>
          <w:szCs w:val="21"/>
        </w:rPr>
        <w:t>交通运输局</w:t>
      </w:r>
      <w:r>
        <w:rPr>
          <w:rFonts w:hint="eastAsia" w:asciiTheme="minorEastAsia" w:hAnsiTheme="minorEastAsia" w:eastAsiaTheme="minorEastAsia" w:cstheme="minorEastAsia"/>
          <w:color w:val="auto"/>
          <w:sz w:val="21"/>
          <w:szCs w:val="21"/>
          <w:lang w:val="en-US" w:eastAsia="zh-CN"/>
        </w:rPr>
        <w:t>配合做好区内停车</w:t>
      </w:r>
      <w:r>
        <w:rPr>
          <w:rFonts w:hint="eastAsia" w:asciiTheme="minorEastAsia" w:hAnsiTheme="minorEastAsia" w:eastAsiaTheme="minorEastAsia" w:cstheme="minorEastAsia"/>
          <w:color w:val="auto"/>
          <w:sz w:val="21"/>
          <w:szCs w:val="21"/>
        </w:rPr>
        <w:t>与公共交通融合发展的政策制定和统筹协调</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指导、督促</w:t>
      </w:r>
      <w:r>
        <w:rPr>
          <w:rFonts w:hint="eastAsia" w:asciiTheme="minorEastAsia" w:hAnsiTheme="minorEastAsia" w:eastAsiaTheme="minorEastAsia" w:cstheme="minorEastAsia"/>
          <w:color w:val="auto"/>
          <w:sz w:val="21"/>
          <w:szCs w:val="21"/>
          <w:lang w:val="en-US" w:eastAsia="zh-CN"/>
        </w:rPr>
        <w:t>运营企业</w:t>
      </w:r>
      <w:r>
        <w:rPr>
          <w:rFonts w:hint="eastAsia" w:asciiTheme="minorEastAsia" w:hAnsiTheme="minorEastAsia" w:eastAsiaTheme="minorEastAsia" w:cstheme="minorEastAsia"/>
          <w:color w:val="auto"/>
          <w:sz w:val="21"/>
          <w:szCs w:val="21"/>
        </w:rPr>
        <w:t>落实管理责任，做好应急处置工作；</w:t>
      </w:r>
      <w:r>
        <w:rPr>
          <w:rFonts w:hint="eastAsia" w:asciiTheme="minorEastAsia" w:hAnsiTheme="minorEastAsia" w:eastAsiaTheme="minorEastAsia" w:cstheme="minorEastAsia"/>
          <w:color w:val="auto"/>
          <w:sz w:val="21"/>
          <w:szCs w:val="21"/>
          <w:lang w:val="en-US" w:eastAsia="zh-CN"/>
        </w:rPr>
        <w:t>配合</w:t>
      </w:r>
      <w:r>
        <w:rPr>
          <w:rFonts w:hint="eastAsia" w:asciiTheme="minorEastAsia" w:hAnsiTheme="minorEastAsia" w:eastAsiaTheme="minorEastAsia" w:cstheme="minorEastAsia"/>
          <w:color w:val="auto"/>
          <w:sz w:val="21"/>
          <w:szCs w:val="21"/>
        </w:rPr>
        <w:t>确定</w:t>
      </w:r>
      <w:r>
        <w:rPr>
          <w:rFonts w:hint="eastAsia" w:asciiTheme="minorEastAsia" w:hAnsiTheme="minorEastAsia" w:eastAsiaTheme="minorEastAsia" w:cstheme="minorEastAsia"/>
          <w:color w:val="auto"/>
          <w:sz w:val="21"/>
          <w:szCs w:val="21"/>
          <w:lang w:val="en-US" w:eastAsia="zh-CN"/>
        </w:rPr>
        <w:t>停车</w:t>
      </w:r>
      <w:r>
        <w:rPr>
          <w:rFonts w:hint="eastAsia" w:asciiTheme="minorEastAsia" w:hAnsiTheme="minorEastAsia" w:eastAsiaTheme="minorEastAsia" w:cstheme="minorEastAsia"/>
          <w:color w:val="auto"/>
          <w:sz w:val="21"/>
          <w:szCs w:val="21"/>
        </w:rPr>
        <w:t>区域</w:t>
      </w:r>
      <w:r>
        <w:rPr>
          <w:rFonts w:hint="eastAsia" w:asciiTheme="minorEastAsia" w:hAnsiTheme="minorEastAsia" w:eastAsiaTheme="minorEastAsia" w:cstheme="minorEastAsia"/>
          <w:color w:val="auto"/>
          <w:sz w:val="21"/>
          <w:szCs w:val="21"/>
          <w:lang w:val="en-US" w:eastAsia="zh-CN"/>
        </w:rPr>
        <w:t>的规划建设</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受理相关投诉和建议</w:t>
      </w:r>
      <w:r>
        <w:rPr>
          <w:rFonts w:hint="eastAsia" w:asciiTheme="minorEastAsia" w:hAnsiTheme="minorEastAsia" w:eastAsiaTheme="minorEastAsia" w:cstheme="minorEastAsia"/>
          <w:color w:val="auto"/>
          <w:sz w:val="21"/>
          <w:szCs w:val="21"/>
          <w:lang w:eastAsia="zh-CN"/>
        </w:rPr>
        <w:t>。</w:t>
      </w:r>
    </w:p>
    <w:p w14:paraId="42BCA87D">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五</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区</w:t>
      </w:r>
      <w:r>
        <w:rPr>
          <w:rFonts w:hint="eastAsia" w:asciiTheme="minorEastAsia" w:hAnsiTheme="minorEastAsia" w:eastAsiaTheme="minorEastAsia" w:cstheme="minorEastAsia"/>
          <w:color w:val="auto"/>
          <w:sz w:val="21"/>
          <w:szCs w:val="21"/>
        </w:rPr>
        <w:t>公安</w:t>
      </w:r>
      <w:r>
        <w:rPr>
          <w:rFonts w:hint="eastAsia" w:asciiTheme="minorEastAsia" w:hAnsiTheme="minorEastAsia" w:eastAsiaTheme="minorEastAsia" w:cstheme="minorEastAsia"/>
          <w:color w:val="auto"/>
          <w:sz w:val="21"/>
          <w:szCs w:val="21"/>
          <w:lang w:val="en-US" w:eastAsia="zh-CN"/>
        </w:rPr>
        <w:t>分</w:t>
      </w:r>
      <w:r>
        <w:rPr>
          <w:rFonts w:hint="eastAsia" w:asciiTheme="minorEastAsia" w:hAnsiTheme="minorEastAsia" w:eastAsiaTheme="minorEastAsia" w:cstheme="minorEastAsia"/>
          <w:color w:val="auto"/>
          <w:sz w:val="21"/>
          <w:szCs w:val="21"/>
        </w:rPr>
        <w:t>局负责</w:t>
      </w:r>
      <w:r>
        <w:rPr>
          <w:rFonts w:hint="eastAsia" w:asciiTheme="minorEastAsia" w:hAnsiTheme="minorEastAsia" w:eastAsiaTheme="minorEastAsia" w:cstheme="minorEastAsia"/>
          <w:color w:val="auto"/>
          <w:sz w:val="21"/>
          <w:szCs w:val="21"/>
          <w:lang w:val="en-US" w:eastAsia="zh-CN"/>
        </w:rPr>
        <w:t>治安监控和</w:t>
      </w:r>
      <w:r>
        <w:rPr>
          <w:rFonts w:hint="eastAsia" w:asciiTheme="minorEastAsia" w:hAnsiTheme="minorEastAsia" w:eastAsiaTheme="minorEastAsia" w:cstheme="minorEastAsia"/>
          <w:color w:val="auto"/>
          <w:sz w:val="21"/>
          <w:szCs w:val="21"/>
        </w:rPr>
        <w:t>对侵占、盗窃、破坏</w:t>
      </w:r>
      <w:r>
        <w:rPr>
          <w:rFonts w:hint="eastAsia" w:asciiTheme="minorEastAsia" w:hAnsiTheme="minorEastAsia" w:eastAsiaTheme="minorEastAsia" w:cstheme="minorEastAsia"/>
          <w:color w:val="auto"/>
          <w:sz w:val="21"/>
          <w:szCs w:val="21"/>
          <w:lang w:val="en-US" w:eastAsia="zh-CN"/>
        </w:rPr>
        <w:t>停车设施</w:t>
      </w:r>
      <w:r>
        <w:rPr>
          <w:rFonts w:hint="eastAsia" w:asciiTheme="minorEastAsia" w:hAnsiTheme="minorEastAsia" w:eastAsiaTheme="minorEastAsia" w:cstheme="minorEastAsia"/>
          <w:color w:val="auto"/>
          <w:sz w:val="21"/>
          <w:szCs w:val="21"/>
        </w:rPr>
        <w:t>等违法行为进行查处</w:t>
      </w:r>
      <w:r>
        <w:rPr>
          <w:rFonts w:hint="eastAsia" w:asciiTheme="minorEastAsia" w:hAnsiTheme="minorEastAsia" w:eastAsiaTheme="minorEastAsia" w:cstheme="minorEastAsia"/>
          <w:color w:val="auto"/>
          <w:sz w:val="21"/>
          <w:szCs w:val="21"/>
          <w:lang w:eastAsia="zh-CN"/>
        </w:rPr>
        <w:t>。</w:t>
      </w:r>
    </w:p>
    <w:p w14:paraId="275DB146">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lang w:val="en-US" w:eastAsia="zh-CN"/>
        </w:rPr>
        <w:t>六</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b w:val="0"/>
          <w:bCs w:val="0"/>
          <w:color w:val="auto"/>
          <w:sz w:val="21"/>
          <w:szCs w:val="21"/>
          <w:lang w:val="en-US" w:eastAsia="zh-CN"/>
        </w:rPr>
        <w:t>交警海陵大队</w:t>
      </w:r>
      <w:r>
        <w:rPr>
          <w:rFonts w:hint="eastAsia" w:asciiTheme="minorEastAsia" w:hAnsiTheme="minorEastAsia" w:eastAsiaTheme="minorEastAsia" w:cstheme="minorEastAsia"/>
          <w:color w:val="auto"/>
          <w:sz w:val="21"/>
          <w:szCs w:val="21"/>
        </w:rPr>
        <w:t>负责</w:t>
      </w:r>
      <w:r>
        <w:rPr>
          <w:rFonts w:hint="eastAsia" w:asciiTheme="minorEastAsia" w:hAnsiTheme="minorEastAsia" w:eastAsiaTheme="minorEastAsia" w:cstheme="minorEastAsia"/>
          <w:color w:val="auto"/>
          <w:sz w:val="21"/>
          <w:szCs w:val="21"/>
          <w:lang w:val="en-US" w:eastAsia="zh-CN"/>
        </w:rPr>
        <w:t>交通管理</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lang w:val="en-US" w:eastAsia="zh-CN"/>
        </w:rPr>
        <w:t>配合做好停车区域划定，指导完成相关标识标线设置</w:t>
      </w:r>
      <w:r>
        <w:rPr>
          <w:rFonts w:hint="eastAsia" w:asciiTheme="minorEastAsia" w:hAnsiTheme="minorEastAsia" w:eastAsiaTheme="minorEastAsia" w:cstheme="minorEastAsia"/>
          <w:color w:val="auto"/>
          <w:sz w:val="21"/>
          <w:szCs w:val="21"/>
          <w:lang w:eastAsia="zh-CN"/>
        </w:rPr>
        <w:t>。</w:t>
      </w:r>
    </w:p>
    <w:p w14:paraId="69C8FD6F">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（七）区旅游外侨局</w:t>
      </w:r>
      <w:r>
        <w:rPr>
          <w:rFonts w:hint="eastAsia" w:asciiTheme="minorEastAsia" w:hAnsiTheme="minorEastAsia" w:eastAsiaTheme="minorEastAsia" w:cstheme="minorEastAsia"/>
          <w:color w:val="auto"/>
          <w:sz w:val="21"/>
          <w:szCs w:val="21"/>
          <w:lang w:val="en-US" w:eastAsia="zh-CN"/>
        </w:rPr>
        <w:t>研究指导智慧旅游总体规划和布局。</w:t>
      </w:r>
    </w:p>
    <w:p w14:paraId="52045468">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八</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eastAsia="zh-CN"/>
        </w:rPr>
        <w:t>区市场监管分局负责企业的登记注册，依法查处不按规定明码标价、乱收费等欺诈消费者违法行为。</w:t>
      </w:r>
    </w:p>
    <w:p w14:paraId="766AC4DC">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九</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区委宣传统战</w:t>
      </w:r>
      <w:r>
        <w:rPr>
          <w:rFonts w:hint="eastAsia" w:asciiTheme="minorEastAsia" w:hAnsiTheme="minorEastAsia" w:eastAsiaTheme="minorEastAsia" w:cstheme="minorEastAsia"/>
          <w:color w:val="auto"/>
          <w:sz w:val="21"/>
          <w:szCs w:val="21"/>
        </w:rPr>
        <w:t>部负责指导协调新闻单位积极配合相关职能部门做好</w:t>
      </w:r>
      <w:r>
        <w:rPr>
          <w:rFonts w:hint="eastAsia" w:asciiTheme="minorEastAsia" w:hAnsiTheme="minorEastAsia" w:eastAsiaTheme="minorEastAsia" w:cstheme="minorEastAsia"/>
          <w:color w:val="auto"/>
          <w:sz w:val="21"/>
          <w:szCs w:val="21"/>
          <w:lang w:val="en-US" w:eastAsia="zh-CN"/>
        </w:rPr>
        <w:t>停车规划、运营、管理等相关</w:t>
      </w:r>
      <w:r>
        <w:rPr>
          <w:rFonts w:hint="eastAsia" w:asciiTheme="minorEastAsia" w:hAnsiTheme="minorEastAsia" w:eastAsiaTheme="minorEastAsia" w:cstheme="minorEastAsia"/>
          <w:color w:val="auto"/>
          <w:sz w:val="21"/>
          <w:szCs w:val="21"/>
        </w:rPr>
        <w:t>工作的宣传报道，发挥舆论引导和监督作用，营造良好舆论氛围。</w:t>
      </w:r>
    </w:p>
    <w:p w14:paraId="1A118B30">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color w:val="auto"/>
        </w:rPr>
      </w:pP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lang w:val="en-US" w:eastAsia="zh-CN"/>
        </w:rPr>
        <w:t>十</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lang w:val="en-US" w:eastAsia="zh-CN"/>
        </w:rPr>
        <w:t>区信访局配合协调</w:t>
      </w:r>
      <w:r>
        <w:rPr>
          <w:rFonts w:hint="eastAsia" w:asciiTheme="minorEastAsia" w:hAnsiTheme="minorEastAsia" w:eastAsiaTheme="minorEastAsia" w:cstheme="minorEastAsia"/>
          <w:color w:val="auto"/>
          <w:sz w:val="21"/>
          <w:szCs w:val="21"/>
        </w:rPr>
        <w:t>相关投诉</w:t>
      </w:r>
      <w:r>
        <w:rPr>
          <w:rFonts w:hint="eastAsia" w:asciiTheme="minorEastAsia" w:hAnsiTheme="minorEastAsia" w:eastAsiaTheme="minorEastAsia" w:cstheme="minorEastAsia"/>
          <w:color w:val="auto"/>
          <w:sz w:val="21"/>
          <w:szCs w:val="21"/>
          <w:lang w:val="en-US" w:eastAsia="zh-CN"/>
        </w:rPr>
        <w:t>的处理，积极对有关政策以及信访投诉事项予以解释、调解。</w:t>
      </w:r>
    </w:p>
    <w:p w14:paraId="78A04115">
      <w:pPr>
        <w:keepNext w:val="0"/>
        <w:keepLines w:val="0"/>
        <w:pageBreakBefore w:val="0"/>
        <w:widowControl w:val="0"/>
        <w:numPr>
          <w:ilvl w:val="0"/>
          <w:numId w:val="4"/>
        </w:numPr>
        <w:kinsoku/>
        <w:wordWrap/>
        <w:overflowPunct/>
        <w:topLinePunct w:val="0"/>
        <w:autoSpaceDE/>
        <w:autoSpaceDN/>
        <w:bidi w:val="0"/>
        <w:adjustRightInd/>
        <w:snapToGrid/>
        <w:spacing w:line="460" w:lineRule="exact"/>
        <w:textAlignment w:val="auto"/>
        <w:outlineLvl w:val="2"/>
        <w:rPr>
          <w:rFonts w:hint="eastAsia" w:ascii="宋体" w:hAnsi="宋体" w:eastAsia="宋体" w:cs="宋体"/>
          <w:color w:val="auto"/>
        </w:rPr>
      </w:pPr>
      <w:r>
        <w:rPr>
          <w:rFonts w:hint="eastAsia" w:ascii="宋体" w:hAnsi="宋体" w:eastAsia="宋体" w:cs="宋体"/>
          <w:b/>
          <w:bCs/>
          <w:color w:val="auto"/>
          <w:kern w:val="0"/>
          <w:sz w:val="21"/>
          <w:szCs w:val="21"/>
        </w:rPr>
        <w:t>履约保证金</w:t>
      </w:r>
    </w:p>
    <w:p w14:paraId="0642C446">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20" w:firstLineChars="200"/>
        <w:textAlignment w:val="auto"/>
        <w:outlineLvl w:val="2"/>
        <w:rPr>
          <w:rFonts w:hint="eastAsia" w:ascii="宋体" w:hAnsi="宋体" w:eastAsia="宋体" w:cs="宋体"/>
          <w:color w:val="auto"/>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一</w:t>
      </w:r>
      <w:r>
        <w:rPr>
          <w:rFonts w:hint="eastAsia" w:ascii="宋体" w:hAnsi="宋体" w:cs="宋体"/>
          <w:color w:val="auto"/>
          <w:sz w:val="21"/>
          <w:szCs w:val="21"/>
          <w:lang w:eastAsia="zh-CN"/>
        </w:rPr>
        <w:t>）</w:t>
      </w:r>
      <w:r>
        <w:rPr>
          <w:rFonts w:hint="eastAsia" w:ascii="宋体" w:hAnsi="宋体" w:eastAsia="宋体" w:cs="宋体"/>
          <w:color w:val="auto"/>
          <w:sz w:val="21"/>
          <w:szCs w:val="21"/>
        </w:rPr>
        <w:t>履约保证金的金额：</w:t>
      </w:r>
      <w:r>
        <w:rPr>
          <w:rFonts w:hint="eastAsia" w:ascii="宋体" w:hAnsi="宋体" w:cs="宋体"/>
          <w:color w:val="auto"/>
          <w:sz w:val="21"/>
          <w:szCs w:val="21"/>
          <w:lang w:val="en-US" w:eastAsia="zh-CN"/>
        </w:rPr>
        <w:t>合同建设投资额</w:t>
      </w:r>
      <w:r>
        <w:rPr>
          <w:rFonts w:hint="eastAsia" w:ascii="宋体" w:hAnsi="宋体" w:eastAsia="宋体" w:cs="宋体"/>
          <w:color w:val="auto"/>
          <w:sz w:val="21"/>
          <w:szCs w:val="21"/>
        </w:rPr>
        <w:t>的5%作为履约保证金。</w:t>
      </w:r>
    </w:p>
    <w:p w14:paraId="596BE1B8">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0" w:firstLine="420" w:firstLineChars="200"/>
        <w:textAlignment w:val="auto"/>
        <w:rPr>
          <w:rFonts w:hint="eastAsia" w:ascii="宋体" w:hAnsi="宋体" w:eastAsia="宋体" w:cs="宋体"/>
          <w:color w:val="auto"/>
        </w:rPr>
      </w:pPr>
      <w:r>
        <w:rPr>
          <w:rFonts w:hint="eastAsia" w:ascii="宋体" w:hAnsi="宋体" w:cs="宋体"/>
          <w:color w:val="auto"/>
          <w:lang w:eastAsia="zh-CN"/>
        </w:rPr>
        <w:t>（</w:t>
      </w:r>
      <w:r>
        <w:rPr>
          <w:rFonts w:hint="eastAsia" w:ascii="宋体" w:hAnsi="宋体" w:cs="宋体"/>
          <w:color w:val="auto"/>
          <w:lang w:val="en-US" w:eastAsia="zh-CN"/>
        </w:rPr>
        <w:t>二</w:t>
      </w:r>
      <w:r>
        <w:rPr>
          <w:rFonts w:hint="eastAsia" w:ascii="宋体" w:hAnsi="宋体" w:cs="宋体"/>
          <w:color w:val="auto"/>
          <w:lang w:eastAsia="zh-CN"/>
        </w:rPr>
        <w:t>）</w:t>
      </w:r>
      <w:r>
        <w:rPr>
          <w:rFonts w:hint="eastAsia" w:ascii="宋体" w:hAnsi="宋体" w:eastAsia="宋体" w:cs="宋体"/>
          <w:color w:val="auto"/>
        </w:rPr>
        <w:t>缴纳履约保证金的时间：合同签订前；</w:t>
      </w:r>
    </w:p>
    <w:p w14:paraId="1C13BCB9">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0" w:firstLine="420" w:firstLineChars="200"/>
        <w:textAlignment w:val="auto"/>
        <w:rPr>
          <w:rFonts w:hint="eastAsia" w:ascii="宋体" w:hAnsi="宋体" w:eastAsia="宋体" w:cs="宋体"/>
          <w:color w:val="auto"/>
        </w:rPr>
      </w:pPr>
      <w:r>
        <w:rPr>
          <w:rFonts w:hint="eastAsia" w:ascii="宋体" w:hAnsi="宋体" w:cs="宋体"/>
          <w:color w:val="auto"/>
          <w:lang w:eastAsia="zh-CN"/>
        </w:rPr>
        <w:t>（</w:t>
      </w:r>
      <w:r>
        <w:rPr>
          <w:rFonts w:hint="eastAsia" w:ascii="宋体" w:hAnsi="宋体" w:cs="宋体"/>
          <w:color w:val="auto"/>
          <w:lang w:val="en-US" w:eastAsia="zh-CN"/>
        </w:rPr>
        <w:t>三</w:t>
      </w:r>
      <w:r>
        <w:rPr>
          <w:rFonts w:hint="eastAsia" w:ascii="宋体" w:hAnsi="宋体" w:cs="宋体"/>
          <w:color w:val="auto"/>
          <w:lang w:eastAsia="zh-CN"/>
        </w:rPr>
        <w:t>）</w:t>
      </w:r>
      <w:r>
        <w:rPr>
          <w:rFonts w:hint="eastAsia" w:ascii="宋体" w:hAnsi="宋体" w:eastAsia="宋体" w:cs="宋体"/>
          <w:color w:val="auto"/>
        </w:rPr>
        <w:t>履约保证金的形式：采用银行转账或银行保函或保险机构保险保函的形式。</w:t>
      </w:r>
    </w:p>
    <w:p w14:paraId="1B1FD3EB">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color w:val="auto"/>
        </w:rPr>
      </w:pPr>
      <w:r>
        <w:rPr>
          <w:rFonts w:hint="eastAsia" w:ascii="宋体" w:hAnsi="宋体" w:cs="宋体"/>
          <w:color w:val="auto"/>
          <w:lang w:val="en-US" w:eastAsia="zh-CN"/>
        </w:rPr>
        <w:t>1、</w:t>
      </w:r>
      <w:r>
        <w:rPr>
          <w:rFonts w:hint="eastAsia" w:ascii="宋体" w:hAnsi="宋体" w:eastAsia="宋体" w:cs="宋体"/>
          <w:color w:val="auto"/>
        </w:rPr>
        <w:t>若采用银行转账方式的，中标人将履约保证金转至采购人指定账户。</w:t>
      </w:r>
    </w:p>
    <w:p w14:paraId="4C2706B7">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color w:val="auto"/>
        </w:rPr>
      </w:pPr>
      <w:r>
        <w:rPr>
          <w:rFonts w:hint="eastAsia" w:ascii="宋体" w:hAnsi="宋体" w:cs="宋体"/>
          <w:color w:val="auto"/>
          <w:lang w:val="en-US" w:eastAsia="zh-CN"/>
        </w:rPr>
        <w:t>2、</w:t>
      </w:r>
      <w:r>
        <w:rPr>
          <w:rFonts w:hint="eastAsia" w:ascii="宋体" w:hAnsi="宋体" w:eastAsia="宋体" w:cs="宋体"/>
          <w:color w:val="auto"/>
        </w:rPr>
        <w:t>若采用银行保函或保险机构保险保函形式的，中标人出具的保函需符合采购人的要求。</w:t>
      </w:r>
    </w:p>
    <w:p w14:paraId="7DCEF73D">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0" w:firstLine="420" w:firstLineChars="200"/>
        <w:textAlignment w:val="auto"/>
        <w:rPr>
          <w:rFonts w:hint="eastAsia" w:ascii="宋体" w:hAnsi="宋体" w:eastAsia="宋体" w:cs="宋体"/>
          <w:color w:val="auto"/>
        </w:rPr>
      </w:pPr>
      <w:r>
        <w:rPr>
          <w:rFonts w:hint="eastAsia" w:ascii="宋体" w:hAnsi="宋体" w:cs="宋体"/>
          <w:color w:val="auto"/>
          <w:lang w:eastAsia="zh-CN"/>
        </w:rPr>
        <w:t>（</w:t>
      </w:r>
      <w:r>
        <w:rPr>
          <w:rFonts w:hint="eastAsia" w:ascii="宋体" w:hAnsi="宋体" w:cs="宋体"/>
          <w:color w:val="auto"/>
          <w:lang w:val="en-US" w:eastAsia="zh-CN"/>
        </w:rPr>
        <w:t>四</w:t>
      </w:r>
      <w:r>
        <w:rPr>
          <w:rFonts w:hint="eastAsia" w:ascii="宋体" w:hAnsi="宋体" w:cs="宋体"/>
          <w:color w:val="auto"/>
          <w:lang w:eastAsia="zh-CN"/>
        </w:rPr>
        <w:t>）</w:t>
      </w:r>
      <w:r>
        <w:rPr>
          <w:rFonts w:hint="eastAsia" w:ascii="宋体" w:hAnsi="宋体" w:eastAsia="宋体" w:cs="宋体"/>
          <w:color w:val="auto"/>
        </w:rPr>
        <w:t>履约保证金的期限：是从提供履约保证金之日起至本项目</w:t>
      </w:r>
      <w:r>
        <w:rPr>
          <w:rFonts w:hint="eastAsia" w:ascii="宋体" w:hAnsi="宋体" w:eastAsia="宋体" w:cs="宋体"/>
          <w:color w:val="auto"/>
          <w:sz w:val="21"/>
          <w:szCs w:val="21"/>
          <w:lang w:val="en-US" w:eastAsia="zh-CN"/>
        </w:rPr>
        <w:t>经营期</w:t>
      </w:r>
      <w:r>
        <w:rPr>
          <w:rFonts w:hint="eastAsia" w:ascii="宋体" w:hAnsi="宋体" w:eastAsia="宋体" w:cs="宋体"/>
          <w:color w:val="auto"/>
        </w:rPr>
        <w:t>届满之日止。</w:t>
      </w:r>
    </w:p>
    <w:p w14:paraId="08B4FE2E">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0" w:firstLine="420" w:firstLineChars="200"/>
        <w:textAlignment w:val="auto"/>
        <w:rPr>
          <w:rFonts w:hint="eastAsia"/>
          <w:color w:val="auto"/>
        </w:rPr>
      </w:pPr>
      <w:r>
        <w:rPr>
          <w:rFonts w:hint="eastAsia" w:ascii="宋体" w:hAnsi="宋体" w:cs="宋体"/>
          <w:color w:val="auto"/>
          <w:lang w:eastAsia="zh-CN"/>
        </w:rPr>
        <w:t>（</w:t>
      </w:r>
      <w:r>
        <w:rPr>
          <w:rFonts w:hint="eastAsia" w:ascii="宋体" w:hAnsi="宋体" w:cs="宋体"/>
          <w:color w:val="auto"/>
          <w:lang w:val="en-US" w:eastAsia="zh-CN"/>
        </w:rPr>
        <w:t>五</w:t>
      </w:r>
      <w:r>
        <w:rPr>
          <w:rFonts w:hint="eastAsia" w:ascii="宋体" w:hAnsi="宋体" w:cs="宋体"/>
          <w:color w:val="auto"/>
          <w:lang w:eastAsia="zh-CN"/>
        </w:rPr>
        <w:t>）</w:t>
      </w:r>
      <w:r>
        <w:rPr>
          <w:rFonts w:hint="eastAsia" w:ascii="宋体" w:hAnsi="宋体" w:eastAsia="宋体" w:cs="宋体"/>
          <w:color w:val="auto"/>
        </w:rPr>
        <w:t>在合同期内，中标人能全面履行合同条款无任何违规违约行为时，则期限届满后履约保证金全额无息退回；如果有违规违约行为或其他导致采购人经济损失的行为，履约保证金将用以扣减相应的违约金及采购人经济损失，如期限未届满，中标人应在扣减之后的20工作日内及时补足，期限届满的则在扣减后无息退回；履约保证金不足以弥补损失的，中标人须补足损失金额。</w:t>
      </w:r>
    </w:p>
    <w:p w14:paraId="5038AADF">
      <w:pPr>
        <w:keepNext w:val="0"/>
        <w:keepLines w:val="0"/>
        <w:pageBreakBefore w:val="0"/>
        <w:widowControl w:val="0"/>
        <w:numPr>
          <w:ilvl w:val="0"/>
          <w:numId w:val="4"/>
        </w:numPr>
        <w:kinsoku/>
        <w:wordWrap/>
        <w:overflowPunct/>
        <w:topLinePunct w:val="0"/>
        <w:autoSpaceDE/>
        <w:autoSpaceDN/>
        <w:bidi w:val="0"/>
        <w:adjustRightInd/>
        <w:snapToGrid/>
        <w:spacing w:line="460" w:lineRule="exact"/>
        <w:textAlignment w:val="auto"/>
        <w:outlineLvl w:val="2"/>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为了统筹调配全区的停车场资源，政府鼓励中标方与私营企业停车场合作经营，所产生的收益免</w:t>
      </w:r>
      <w:r>
        <w:rPr>
          <w:rFonts w:hint="eastAsia" w:ascii="宋体" w:hAnsi="宋体" w:cs="宋体"/>
          <w:color w:val="auto"/>
          <w:kern w:val="0"/>
          <w:sz w:val="21"/>
          <w:szCs w:val="21"/>
          <w:lang w:val="en-US" w:eastAsia="zh-CN"/>
        </w:rPr>
        <w:t>缴纳</w:t>
      </w:r>
      <w:r>
        <w:rPr>
          <w:rFonts w:hint="eastAsia" w:ascii="宋体" w:hAnsi="宋体" w:cs="宋体"/>
          <w:color w:val="auto"/>
          <w:sz w:val="21"/>
          <w:szCs w:val="21"/>
          <w:lang w:val="en-US" w:eastAsia="zh-CN"/>
        </w:rPr>
        <w:t>特许经营权费</w:t>
      </w:r>
      <w:r>
        <w:rPr>
          <w:rFonts w:hint="eastAsia" w:ascii="宋体" w:hAnsi="宋体" w:cs="宋体"/>
          <w:color w:val="auto"/>
          <w:kern w:val="0"/>
          <w:sz w:val="21"/>
          <w:szCs w:val="21"/>
          <w:lang w:eastAsia="zh-CN"/>
        </w:rPr>
        <w:t>。</w:t>
      </w:r>
    </w:p>
    <w:p w14:paraId="7D29841D">
      <w:pPr>
        <w:keepNext w:val="0"/>
        <w:keepLines w:val="0"/>
        <w:pageBreakBefore w:val="0"/>
        <w:widowControl w:val="0"/>
        <w:numPr>
          <w:ilvl w:val="0"/>
          <w:numId w:val="4"/>
        </w:numPr>
        <w:kinsoku/>
        <w:wordWrap/>
        <w:overflowPunct/>
        <w:topLinePunct w:val="0"/>
        <w:autoSpaceDE/>
        <w:autoSpaceDN/>
        <w:bidi w:val="0"/>
        <w:adjustRightInd/>
        <w:snapToGrid/>
        <w:spacing w:line="460" w:lineRule="exact"/>
        <w:textAlignment w:val="auto"/>
        <w:outlineLvl w:val="2"/>
        <w:rPr>
          <w:rFonts w:hint="default" w:eastAsia="宋体"/>
          <w:color w:val="auto"/>
          <w:lang w:val="en-US" w:eastAsia="zh-CN"/>
        </w:rPr>
      </w:pPr>
      <w:r>
        <w:rPr>
          <w:rFonts w:hint="eastAsia" w:ascii="宋体" w:hAnsi="宋体" w:eastAsia="宋体" w:cs="宋体"/>
          <w:color w:val="auto"/>
          <w:sz w:val="21"/>
          <w:szCs w:val="21"/>
        </w:rPr>
        <w:t>中标特许经营</w:t>
      </w:r>
      <w:r>
        <w:rPr>
          <w:rFonts w:hint="eastAsia" w:ascii="宋体" w:hAnsi="宋体" w:cs="宋体"/>
          <w:color w:val="auto"/>
          <w:sz w:val="21"/>
          <w:szCs w:val="21"/>
          <w:lang w:val="en-US" w:eastAsia="zh-CN"/>
        </w:rPr>
        <w:t>单位应制定完善的防逃费机制，</w:t>
      </w:r>
      <w:r>
        <w:rPr>
          <w:rFonts w:hint="eastAsia"/>
          <w:color w:val="auto"/>
        </w:rPr>
        <w:t>逃费率</w:t>
      </w:r>
      <w:r>
        <w:rPr>
          <w:rFonts w:hint="eastAsia"/>
          <w:color w:val="auto"/>
          <w:lang w:val="en-US" w:eastAsia="zh-CN"/>
        </w:rPr>
        <w:t>不超过</w:t>
      </w:r>
      <w:r>
        <w:rPr>
          <w:rFonts w:hint="eastAsia"/>
          <w:color w:val="auto"/>
          <w:u w:val="single"/>
          <w:lang w:val="en-US" w:eastAsia="zh-CN"/>
        </w:rPr>
        <w:t>30</w:t>
      </w:r>
      <w:r>
        <w:rPr>
          <w:rFonts w:hint="eastAsia"/>
          <w:color w:val="auto"/>
          <w:lang w:val="en-US" w:eastAsia="zh-CN"/>
        </w:rPr>
        <w:t>%。如连续2年</w:t>
      </w:r>
      <w:r>
        <w:rPr>
          <w:rFonts w:hint="eastAsia"/>
          <w:color w:val="auto"/>
        </w:rPr>
        <w:t>逃费率</w:t>
      </w:r>
      <w:r>
        <w:rPr>
          <w:rFonts w:hint="eastAsia"/>
          <w:color w:val="auto"/>
          <w:lang w:val="en-US" w:eastAsia="zh-CN"/>
        </w:rPr>
        <w:t>超过指定额度，则解除其</w:t>
      </w:r>
      <w:r>
        <w:rPr>
          <w:rFonts w:hint="eastAsia" w:ascii="宋体" w:hAnsi="宋体" w:cs="宋体"/>
          <w:color w:val="auto"/>
          <w:sz w:val="21"/>
          <w:szCs w:val="21"/>
          <w:lang w:val="en-US" w:eastAsia="zh-CN"/>
        </w:rPr>
        <w:t>特许经营权。</w:t>
      </w:r>
    </w:p>
    <w:p w14:paraId="64363F7C">
      <w:pPr>
        <w:keepNext w:val="0"/>
        <w:keepLines w:val="0"/>
        <w:pageBreakBefore w:val="0"/>
        <w:widowControl w:val="0"/>
        <w:numPr>
          <w:ilvl w:val="0"/>
          <w:numId w:val="4"/>
        </w:numPr>
        <w:kinsoku/>
        <w:wordWrap/>
        <w:overflowPunct/>
        <w:topLinePunct w:val="0"/>
        <w:autoSpaceDE/>
        <w:autoSpaceDN/>
        <w:bidi w:val="0"/>
        <w:adjustRightInd/>
        <w:snapToGrid/>
        <w:spacing w:line="460" w:lineRule="exact"/>
        <w:textAlignment w:val="auto"/>
        <w:outlineLvl w:val="2"/>
        <w:rPr>
          <w:rFonts w:hint="default" w:ascii="宋体" w:hAnsi="宋体" w:eastAsia="宋体" w:cs="宋体"/>
          <w:b/>
          <w:bCs/>
          <w:color w:val="auto"/>
          <w:sz w:val="21"/>
          <w:szCs w:val="21"/>
          <w:lang w:val="en-US" w:eastAsia="zh-CN"/>
        </w:rPr>
      </w:pPr>
      <w:r>
        <w:rPr>
          <w:rFonts w:hint="default" w:ascii="宋体" w:hAnsi="宋体" w:eastAsia="宋体" w:cs="宋体"/>
          <w:b/>
          <w:bCs/>
          <w:color w:val="auto"/>
          <w:sz w:val="21"/>
          <w:szCs w:val="21"/>
          <w:lang w:val="en-US" w:eastAsia="zh-CN"/>
        </w:rPr>
        <w:t>退出机制</w:t>
      </w:r>
    </w:p>
    <w:p w14:paraId="4341E173">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中标方在运营期限内出现下列情形之一的，</w:t>
      </w:r>
      <w:r>
        <w:rPr>
          <w:rFonts w:hint="eastAsia" w:ascii="宋体" w:hAnsi="宋体" w:eastAsia="宋体" w:cs="宋体"/>
          <w:color w:val="auto"/>
        </w:rPr>
        <w:t>采购人</w:t>
      </w:r>
      <w:r>
        <w:rPr>
          <w:rFonts w:hint="eastAsia" w:ascii="宋体" w:hAnsi="宋体" w:eastAsia="宋体" w:cs="宋体"/>
          <w:color w:val="auto"/>
          <w:sz w:val="21"/>
          <w:szCs w:val="21"/>
          <w:lang w:eastAsia="zh-CN"/>
        </w:rPr>
        <w:t>有权单方终止本合同，收回经营管理权。期间中标方产生的费用由中标方自行承担，给</w:t>
      </w:r>
      <w:r>
        <w:rPr>
          <w:rFonts w:hint="eastAsia" w:ascii="宋体" w:hAnsi="宋体" w:eastAsia="宋体" w:cs="宋体"/>
          <w:color w:val="auto"/>
        </w:rPr>
        <w:t>采购人</w:t>
      </w:r>
      <w:r>
        <w:rPr>
          <w:rFonts w:hint="eastAsia" w:ascii="宋体" w:hAnsi="宋体" w:eastAsia="宋体" w:cs="宋体"/>
          <w:color w:val="auto"/>
          <w:sz w:val="21"/>
          <w:szCs w:val="21"/>
          <w:lang w:eastAsia="zh-CN"/>
        </w:rPr>
        <w:t>造成损失的，中标方承担赔偿责任。</w:t>
      </w:r>
    </w:p>
    <w:p w14:paraId="73EC2E16">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0" w:firstLine="420" w:firstLineChars="200"/>
        <w:textAlignment w:val="auto"/>
        <w:rPr>
          <w:rFonts w:ascii="宋体" w:hAnsi="宋体" w:eastAsia="宋体" w:cs="宋体"/>
          <w:color w:val="auto"/>
          <w:sz w:val="21"/>
          <w:szCs w:val="21"/>
          <w:lang w:eastAsia="zh-CN"/>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一</w:t>
      </w:r>
      <w:r>
        <w:rPr>
          <w:rFonts w:hint="eastAsia" w:ascii="宋体" w:hAnsi="宋体" w:cs="宋体"/>
          <w:color w:val="auto"/>
          <w:sz w:val="21"/>
          <w:szCs w:val="21"/>
          <w:lang w:eastAsia="zh-CN"/>
        </w:rPr>
        <w:t>）</w:t>
      </w:r>
      <w:r>
        <w:rPr>
          <w:rFonts w:hint="eastAsia" w:ascii="宋体" w:hAnsi="宋体" w:eastAsia="宋体" w:cs="宋体"/>
          <w:color w:val="auto"/>
          <w:sz w:val="21"/>
          <w:szCs w:val="21"/>
          <w:lang w:eastAsia="zh-CN"/>
        </w:rPr>
        <w:t>中标方未按规定向</w:t>
      </w:r>
      <w:r>
        <w:rPr>
          <w:rFonts w:hint="eastAsia" w:ascii="宋体" w:hAnsi="宋体" w:eastAsia="宋体" w:cs="宋体"/>
          <w:color w:val="auto"/>
        </w:rPr>
        <w:t>采购人</w:t>
      </w:r>
      <w:r>
        <w:rPr>
          <w:rFonts w:hint="eastAsia" w:ascii="宋体" w:hAnsi="宋体" w:eastAsia="宋体" w:cs="宋体"/>
          <w:color w:val="auto"/>
          <w:sz w:val="21"/>
          <w:szCs w:val="21"/>
          <w:lang w:eastAsia="zh-CN"/>
        </w:rPr>
        <w:t>足额缴纳</w:t>
      </w:r>
      <w:r>
        <w:rPr>
          <w:rFonts w:hint="eastAsia" w:ascii="宋体" w:hAnsi="宋体" w:cs="宋体"/>
          <w:color w:val="auto"/>
          <w:sz w:val="21"/>
          <w:szCs w:val="21"/>
          <w:lang w:val="en-US" w:eastAsia="zh-CN"/>
        </w:rPr>
        <w:t>特许经营权费</w:t>
      </w:r>
      <w:r>
        <w:rPr>
          <w:rFonts w:hint="eastAsia" w:ascii="宋体" w:hAnsi="宋体" w:eastAsia="宋体" w:cs="宋体"/>
          <w:color w:val="auto"/>
          <w:sz w:val="21"/>
          <w:szCs w:val="21"/>
          <w:lang w:eastAsia="zh-CN"/>
        </w:rPr>
        <w:t>，逾期3个月的；</w:t>
      </w:r>
    </w:p>
    <w:p w14:paraId="48BF1B7C">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0" w:firstLine="420" w:firstLineChars="200"/>
        <w:textAlignment w:val="auto"/>
        <w:rPr>
          <w:rFonts w:ascii="宋体" w:hAnsi="宋体" w:eastAsia="宋体" w:cs="宋体"/>
          <w:color w:val="auto"/>
          <w:sz w:val="21"/>
          <w:szCs w:val="21"/>
          <w:lang w:eastAsia="zh-CN"/>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二</w:t>
      </w:r>
      <w:r>
        <w:rPr>
          <w:rFonts w:hint="eastAsia" w:ascii="宋体" w:hAnsi="宋体" w:cs="宋体"/>
          <w:color w:val="auto"/>
          <w:sz w:val="21"/>
          <w:szCs w:val="21"/>
          <w:lang w:eastAsia="zh-CN"/>
        </w:rPr>
        <w:t>）</w:t>
      </w:r>
      <w:r>
        <w:rPr>
          <w:rFonts w:hint="eastAsia" w:ascii="宋体" w:hAnsi="宋体" w:eastAsia="宋体" w:cs="宋体"/>
          <w:color w:val="auto"/>
          <w:sz w:val="21"/>
          <w:szCs w:val="21"/>
          <w:lang w:eastAsia="zh-CN"/>
        </w:rPr>
        <w:t>因中标方原因，中标方纳入管理的路内临时停车位不足总数的50%，且时间连续超过3个月的；</w:t>
      </w:r>
    </w:p>
    <w:p w14:paraId="1C7A0CBD">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0" w:firstLine="420" w:firstLineChars="200"/>
        <w:textAlignment w:val="auto"/>
        <w:rPr>
          <w:rFonts w:ascii="宋体" w:hAnsi="宋体" w:eastAsia="宋体" w:cs="宋体"/>
          <w:color w:val="auto"/>
          <w:sz w:val="21"/>
          <w:szCs w:val="21"/>
          <w:lang w:eastAsia="zh-CN"/>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三</w:t>
      </w:r>
      <w:r>
        <w:rPr>
          <w:rFonts w:hint="eastAsia" w:ascii="宋体" w:hAnsi="宋体" w:cs="宋体"/>
          <w:color w:val="auto"/>
          <w:sz w:val="21"/>
          <w:szCs w:val="21"/>
          <w:lang w:eastAsia="zh-CN"/>
        </w:rPr>
        <w:t>）</w:t>
      </w:r>
      <w:r>
        <w:rPr>
          <w:rFonts w:hint="eastAsia" w:ascii="宋体" w:hAnsi="宋体" w:eastAsia="宋体" w:cs="宋体"/>
          <w:color w:val="auto"/>
          <w:sz w:val="21"/>
          <w:szCs w:val="21"/>
          <w:lang w:eastAsia="zh-CN"/>
        </w:rPr>
        <w:t>合同期限内，因中标方原因造成项目不能继续经营，停工超过30天的。</w:t>
      </w:r>
    </w:p>
    <w:p w14:paraId="05BDD1E9">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0" w:firstLine="420" w:firstLineChars="200"/>
        <w:textAlignment w:val="auto"/>
        <w:rPr>
          <w:rFonts w:ascii="宋体" w:hAnsi="宋体" w:eastAsia="宋体" w:cs="宋体"/>
          <w:color w:val="auto"/>
          <w:sz w:val="21"/>
          <w:szCs w:val="21"/>
          <w:lang w:eastAsia="zh-CN"/>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四</w:t>
      </w:r>
      <w:r>
        <w:rPr>
          <w:rFonts w:hint="eastAsia" w:ascii="宋体" w:hAnsi="宋体" w:cs="宋体"/>
          <w:color w:val="auto"/>
          <w:sz w:val="21"/>
          <w:szCs w:val="21"/>
          <w:lang w:eastAsia="zh-CN"/>
        </w:rPr>
        <w:t>）</w:t>
      </w:r>
      <w:r>
        <w:rPr>
          <w:rFonts w:hint="eastAsia" w:ascii="宋体" w:hAnsi="宋体" w:eastAsia="宋体" w:cs="宋体"/>
          <w:color w:val="auto"/>
          <w:sz w:val="21"/>
          <w:szCs w:val="21"/>
          <w:lang w:eastAsia="zh-CN"/>
        </w:rPr>
        <w:t>非因</w:t>
      </w:r>
      <w:r>
        <w:rPr>
          <w:rFonts w:hint="eastAsia" w:ascii="宋体" w:hAnsi="宋体" w:eastAsia="宋体" w:cs="宋体"/>
          <w:color w:val="auto"/>
        </w:rPr>
        <w:t>采购人</w:t>
      </w:r>
      <w:r>
        <w:rPr>
          <w:rFonts w:hint="eastAsia" w:ascii="宋体" w:hAnsi="宋体" w:eastAsia="宋体" w:cs="宋体"/>
          <w:color w:val="auto"/>
          <w:sz w:val="21"/>
          <w:szCs w:val="21"/>
          <w:lang w:eastAsia="zh-CN"/>
        </w:rPr>
        <w:t>原因或不可抗力原因，项目到期后，中标方拒绝移交或延期移交的，每逾期一个月，由中标方承担双倍管理费的违约金，逾期超过三个月以上的，每逾期一个月，违约金依次递增一个月的管理费。</w:t>
      </w:r>
    </w:p>
    <w:p w14:paraId="0D6A7936">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0" w:firstLine="420" w:firstLineChars="200"/>
        <w:textAlignment w:val="auto"/>
        <w:rPr>
          <w:rFonts w:hint="eastAsia" w:ascii="宋体" w:hAnsi="宋体" w:eastAsia="宋体" w:cs="宋体"/>
          <w:b/>
          <w:bCs/>
          <w:color w:val="auto"/>
          <w:kern w:val="0"/>
          <w:sz w:val="21"/>
          <w:szCs w:val="21"/>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五</w:t>
      </w:r>
      <w:r>
        <w:rPr>
          <w:rFonts w:hint="eastAsia" w:ascii="宋体" w:hAnsi="宋体" w:cs="宋体"/>
          <w:color w:val="auto"/>
          <w:sz w:val="21"/>
          <w:szCs w:val="21"/>
          <w:lang w:eastAsia="zh-CN"/>
        </w:rPr>
        <w:t>）</w:t>
      </w:r>
      <w:r>
        <w:rPr>
          <w:rFonts w:hint="eastAsia" w:ascii="宋体" w:hAnsi="宋体" w:eastAsia="宋体" w:cs="宋体"/>
          <w:color w:val="auto"/>
          <w:sz w:val="21"/>
          <w:szCs w:val="21"/>
          <w:lang w:eastAsia="zh-CN"/>
        </w:rPr>
        <w:t>由上级或同级领导发现重大问题，造成严重后果的，</w:t>
      </w:r>
      <w:r>
        <w:rPr>
          <w:rFonts w:hint="eastAsia" w:ascii="宋体" w:hAnsi="宋体" w:eastAsia="宋体" w:cs="宋体"/>
          <w:color w:val="auto"/>
        </w:rPr>
        <w:t>采购人</w:t>
      </w:r>
      <w:r>
        <w:rPr>
          <w:rFonts w:hint="eastAsia" w:ascii="宋体" w:hAnsi="宋体" w:eastAsia="宋体" w:cs="宋体"/>
          <w:color w:val="auto"/>
          <w:sz w:val="21"/>
          <w:szCs w:val="21"/>
          <w:lang w:eastAsia="zh-CN"/>
        </w:rPr>
        <w:t>有权对中标方进行处罚，直至解除合同。</w:t>
      </w:r>
    </w:p>
    <w:p w14:paraId="32F2D6E5">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0" w:firstLine="420" w:firstLineChars="200"/>
        <w:textAlignment w:val="auto"/>
        <w:rPr>
          <w:rFonts w:hint="eastAsia" w:ascii="宋体" w:hAnsi="宋体" w:eastAsia="宋体" w:cs="宋体"/>
          <w:b/>
          <w:bCs/>
          <w:color w:val="auto"/>
          <w:kern w:val="0"/>
          <w:sz w:val="21"/>
          <w:szCs w:val="21"/>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六</w:t>
      </w:r>
      <w:r>
        <w:rPr>
          <w:rFonts w:hint="eastAsia" w:ascii="宋体" w:hAnsi="宋体" w:cs="宋体"/>
          <w:color w:val="auto"/>
          <w:sz w:val="21"/>
          <w:szCs w:val="21"/>
          <w:lang w:eastAsia="zh-CN"/>
        </w:rPr>
        <w:t>）</w:t>
      </w:r>
      <w:r>
        <w:rPr>
          <w:rFonts w:hint="eastAsia" w:ascii="宋体" w:hAnsi="宋体" w:eastAsia="宋体" w:cs="宋体"/>
          <w:color w:val="auto"/>
          <w:sz w:val="21"/>
          <w:szCs w:val="21"/>
          <w:lang w:eastAsia="zh-CN"/>
        </w:rPr>
        <w:t>中标方未按时间要求及时发放员工工资，</w:t>
      </w:r>
      <w:r>
        <w:rPr>
          <w:rFonts w:hint="eastAsia" w:ascii="宋体" w:hAnsi="宋体" w:eastAsia="宋体" w:cs="宋体"/>
          <w:color w:val="auto"/>
        </w:rPr>
        <w:t>采购人</w:t>
      </w:r>
      <w:r>
        <w:rPr>
          <w:rFonts w:hint="eastAsia" w:ascii="宋体" w:hAnsi="宋体" w:eastAsia="宋体" w:cs="宋体"/>
          <w:color w:val="auto"/>
          <w:sz w:val="21"/>
          <w:szCs w:val="21"/>
          <w:lang w:eastAsia="zh-CN"/>
        </w:rPr>
        <w:t>有权单方解除合同。</w:t>
      </w:r>
    </w:p>
    <w:p w14:paraId="4E1B5D0A">
      <w:pPr>
        <w:keepNext w:val="0"/>
        <w:keepLines w:val="0"/>
        <w:pageBreakBefore w:val="0"/>
        <w:widowControl w:val="0"/>
        <w:numPr>
          <w:ilvl w:val="0"/>
          <w:numId w:val="4"/>
        </w:numPr>
        <w:kinsoku/>
        <w:wordWrap/>
        <w:overflowPunct/>
        <w:topLinePunct w:val="0"/>
        <w:autoSpaceDE/>
        <w:autoSpaceDN/>
        <w:bidi w:val="0"/>
        <w:adjustRightInd/>
        <w:snapToGrid/>
        <w:spacing w:line="460" w:lineRule="exact"/>
        <w:textAlignment w:val="auto"/>
        <w:outlineLvl w:val="2"/>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运营与交接要求</w:t>
      </w:r>
    </w:p>
    <w:p w14:paraId="6D5A61BF">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在特许经营期届满后，项目运营公司应按照正常运行的技术状态无条件的移交给政府</w:t>
      </w:r>
      <w:r>
        <w:rPr>
          <w:rFonts w:hint="eastAsia" w:ascii="宋体" w:hAnsi="宋体" w:eastAsia="宋体" w:cs="宋体"/>
          <w:color w:val="auto"/>
          <w:sz w:val="21"/>
          <w:szCs w:val="21"/>
          <w:lang w:val="en-US" w:eastAsia="zh-CN"/>
        </w:rPr>
        <w:t>单位或其</w:t>
      </w:r>
      <w:r>
        <w:rPr>
          <w:rFonts w:hint="eastAsia" w:ascii="宋体" w:hAnsi="宋体" w:eastAsia="宋体" w:cs="宋体"/>
          <w:color w:val="auto"/>
          <w:sz w:val="21"/>
          <w:szCs w:val="21"/>
        </w:rPr>
        <w:t>授权的接收单位，所移交的资产不得存在与资产有关的担保、租赁等债权债务关系。</w:t>
      </w:r>
    </w:p>
    <w:p w14:paraId="71A409FF">
      <w:pPr>
        <w:keepNext w:val="0"/>
        <w:keepLines w:val="0"/>
        <w:pageBreakBefore w:val="0"/>
        <w:numPr>
          <w:ilvl w:val="0"/>
          <w:numId w:val="4"/>
        </w:numPr>
        <w:kinsoku/>
        <w:wordWrap/>
        <w:topLinePunct w:val="0"/>
        <w:bidi w:val="0"/>
        <w:snapToGrid/>
        <w:spacing w:line="460" w:lineRule="exact"/>
        <w:outlineLvl w:val="2"/>
        <w:rPr>
          <w:rFonts w:hint="eastAsia" w:ascii="宋体" w:hAnsi="宋体" w:cs="宋体"/>
          <w:b/>
          <w:bCs/>
          <w:color w:val="auto"/>
          <w:kern w:val="0"/>
          <w:lang w:eastAsia="zh-CN"/>
        </w:rPr>
      </w:pPr>
      <w:r>
        <w:rPr>
          <w:rFonts w:hint="eastAsia" w:ascii="宋体" w:hAnsi="宋体" w:cs="宋体"/>
          <w:b/>
          <w:bCs/>
          <w:color w:val="auto"/>
          <w:kern w:val="0"/>
          <w:lang w:eastAsia="zh-CN"/>
        </w:rPr>
        <w:t>特许经营协议框架草案</w:t>
      </w:r>
    </w:p>
    <w:p w14:paraId="00422155">
      <w:pPr>
        <w:keepNext w:val="0"/>
        <w:keepLines w:val="0"/>
        <w:pageBreakBefore w:val="0"/>
        <w:kinsoku/>
        <w:wordWrap/>
        <w:topLinePunct w:val="0"/>
        <w:bidi w:val="0"/>
        <w:snapToGrid/>
        <w:spacing w:line="460" w:lineRule="exact"/>
        <w:jc w:val="center"/>
        <w:outlineLvl w:val="0"/>
        <w:rPr>
          <w:color w:val="auto"/>
        </w:rPr>
      </w:pPr>
      <w:r>
        <w:rPr>
          <w:rFonts w:hint="eastAsia" w:ascii="宋体" w:hAnsi="宋体" w:eastAsia="宋体" w:cs="宋体"/>
          <w:b/>
          <w:bCs/>
          <w:color w:val="auto"/>
          <w:sz w:val="28"/>
          <w:szCs w:val="28"/>
          <w:lang w:eastAsia="zh-CN"/>
        </w:rPr>
        <w:t>合同条款及格式</w:t>
      </w:r>
    </w:p>
    <w:p w14:paraId="1ACB2EF2">
      <w:pPr>
        <w:keepNext w:val="0"/>
        <w:keepLines w:val="0"/>
        <w:pageBreakBefore w:val="0"/>
        <w:kinsoku/>
        <w:wordWrap/>
        <w:topLinePunct w:val="0"/>
        <w:bidi w:val="0"/>
        <w:snapToGrid/>
        <w:spacing w:line="460" w:lineRule="exact"/>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甲方：</w:t>
      </w:r>
      <w:r>
        <w:rPr>
          <w:rFonts w:hint="eastAsia" w:ascii="宋体" w:hAnsi="宋体" w:eastAsia="宋体" w:cs="宋体"/>
          <w:color w:val="auto"/>
          <w:sz w:val="21"/>
          <w:szCs w:val="21"/>
          <w:u w:val="single"/>
          <w:lang w:eastAsia="zh-CN"/>
        </w:rPr>
        <w:t xml:space="preserve">               ，</w:t>
      </w:r>
      <w:r>
        <w:rPr>
          <w:rFonts w:hint="eastAsia" w:ascii="宋体" w:hAnsi="宋体" w:eastAsia="宋体" w:cs="宋体"/>
          <w:color w:val="auto"/>
          <w:sz w:val="21"/>
          <w:szCs w:val="21"/>
          <w:lang w:eastAsia="zh-CN"/>
        </w:rPr>
        <w:t>系按照中华人民共和国（下称“中国”）法律依法设立及存续的有限责任公司（下称“政府方”），并由阳江市海陵岛经济开发试验区城市管理和综合执法局授权作为本项目的实施机构。</w:t>
      </w:r>
    </w:p>
    <w:p w14:paraId="6713E656">
      <w:pPr>
        <w:keepNext w:val="0"/>
        <w:keepLines w:val="0"/>
        <w:pageBreakBefore w:val="0"/>
        <w:kinsoku/>
        <w:wordWrap/>
        <w:topLinePunct w:val="0"/>
        <w:bidi w:val="0"/>
        <w:snapToGrid/>
        <w:spacing w:line="460" w:lineRule="exact"/>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乙方：</w:t>
      </w:r>
      <w:r>
        <w:rPr>
          <w:rFonts w:hint="eastAsia" w:ascii="宋体" w:hAnsi="宋体" w:eastAsia="宋体" w:cs="宋体"/>
          <w:color w:val="auto"/>
          <w:sz w:val="21"/>
          <w:szCs w:val="21"/>
          <w:u w:val="single"/>
          <w:lang w:eastAsia="zh-CN"/>
        </w:rPr>
        <w:t xml:space="preserve">               ，</w:t>
      </w:r>
      <w:r>
        <w:rPr>
          <w:rFonts w:hint="eastAsia" w:ascii="宋体" w:hAnsi="宋体" w:eastAsia="宋体" w:cs="宋体"/>
          <w:color w:val="auto"/>
          <w:sz w:val="21"/>
          <w:szCs w:val="21"/>
          <w:lang w:eastAsia="zh-CN"/>
        </w:rPr>
        <w:t>系按照中华人民共和国（下称“中国”）法律依法设立及存续的有限责任公司。</w:t>
      </w:r>
    </w:p>
    <w:p w14:paraId="513A6CB9">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 xml:space="preserve">根据《中华人民共和国民法典》、《基础设施和公用事业特许经营管理办法》及相关法律、法规、标准和规范的要求，通过公开招标方式选取投资运营商，确定（供应商名称，以下称“乙方”）为本项目的投资运营商，负责本项目的全额投资建设及运营管理。现甲、乙双方就 </w:t>
      </w:r>
      <w:r>
        <w:rPr>
          <w:rFonts w:hint="eastAsia" w:ascii="宋体" w:hAnsi="宋体" w:eastAsia="宋体" w:cs="宋体"/>
          <w:color w:val="auto"/>
          <w:sz w:val="21"/>
          <w:szCs w:val="21"/>
          <w:u w:val="single"/>
          <w:lang w:eastAsia="zh-CN"/>
        </w:rPr>
        <w:t>海陵试验区智慧停车运营管理采购项目</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lang w:eastAsia="zh-CN"/>
        </w:rPr>
        <w:t>签订本合同（下称“本合同”）。</w:t>
      </w:r>
    </w:p>
    <w:p w14:paraId="654100E9">
      <w:pPr>
        <w:keepNext w:val="0"/>
        <w:keepLines w:val="0"/>
        <w:pageBreakBefore w:val="0"/>
        <w:kinsoku/>
        <w:wordWrap/>
        <w:topLinePunct w:val="0"/>
        <w:bidi w:val="0"/>
        <w:snapToGrid/>
        <w:spacing w:line="460" w:lineRule="exact"/>
        <w:jc w:val="center"/>
        <w:rPr>
          <w:rFonts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 xml:space="preserve">第一章 </w:t>
      </w:r>
      <w:r>
        <w:rPr>
          <w:rFonts w:hint="eastAsia" w:ascii="宋体" w:hAnsi="宋体" w:eastAsia="宋体" w:cs="宋体"/>
          <w:b/>
          <w:bCs/>
          <w:color w:val="auto"/>
          <w:sz w:val="21"/>
          <w:szCs w:val="21"/>
          <w:lang w:val="en-US" w:eastAsia="zh-CN"/>
        </w:rPr>
        <w:t xml:space="preserve"> </w:t>
      </w:r>
      <w:r>
        <w:rPr>
          <w:rFonts w:hint="eastAsia" w:ascii="宋体" w:hAnsi="宋体" w:eastAsia="宋体" w:cs="宋体"/>
          <w:b/>
          <w:bCs/>
          <w:color w:val="auto"/>
          <w:sz w:val="21"/>
          <w:szCs w:val="21"/>
          <w:lang w:eastAsia="zh-CN"/>
        </w:rPr>
        <w:t>总则</w:t>
      </w:r>
    </w:p>
    <w:p w14:paraId="1563E740">
      <w:pPr>
        <w:keepNext w:val="0"/>
        <w:keepLines w:val="0"/>
        <w:pageBreakBefore w:val="0"/>
        <w:kinsoku/>
        <w:wordWrap/>
        <w:topLinePunct w:val="0"/>
        <w:bidi w:val="0"/>
        <w:snapToGrid/>
        <w:spacing w:line="460" w:lineRule="exact"/>
        <w:ind w:firstLine="422" w:firstLineChars="200"/>
        <w:rPr>
          <w:rFonts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第一条 术语定义和解释</w:t>
      </w:r>
    </w:p>
    <w:p w14:paraId="2158E980">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val="en-US" w:eastAsia="zh-CN"/>
        </w:rPr>
        <w:t>一、</w:t>
      </w:r>
      <w:r>
        <w:rPr>
          <w:rFonts w:hint="eastAsia" w:ascii="宋体" w:hAnsi="宋体" w:eastAsia="宋体" w:cs="宋体"/>
          <w:color w:val="auto"/>
          <w:sz w:val="21"/>
          <w:szCs w:val="21"/>
          <w:lang w:eastAsia="zh-CN"/>
        </w:rPr>
        <w:t xml:space="preserve"> 合同中下述用词及用语将具有本条所指定的含义：</w:t>
      </w:r>
    </w:p>
    <w:p w14:paraId="4B429FD5">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cs="宋体"/>
          <w:color w:val="auto"/>
          <w:sz w:val="21"/>
          <w:szCs w:val="21"/>
          <w:lang w:val="en-US" w:eastAsia="zh-CN"/>
        </w:rPr>
        <w:t>一</w:t>
      </w:r>
      <w:r>
        <w:rPr>
          <w:rFonts w:hint="eastAsia" w:ascii="宋体" w:hAnsi="宋体" w:eastAsia="宋体" w:cs="宋体"/>
          <w:color w:val="auto"/>
          <w:sz w:val="21"/>
          <w:szCs w:val="21"/>
        </w:rPr>
        <w:t xml:space="preserve">）“甲方”： </w:t>
      </w:r>
    </w:p>
    <w:p w14:paraId="44181743">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cs="宋体"/>
          <w:color w:val="auto"/>
          <w:sz w:val="21"/>
          <w:szCs w:val="21"/>
          <w:lang w:val="en-US" w:eastAsia="zh-CN"/>
        </w:rPr>
        <w:t>二</w:t>
      </w:r>
      <w:r>
        <w:rPr>
          <w:rFonts w:hint="eastAsia" w:ascii="宋体" w:hAnsi="宋体" w:eastAsia="宋体" w:cs="宋体"/>
          <w:color w:val="auto"/>
          <w:sz w:val="21"/>
          <w:szCs w:val="21"/>
        </w:rPr>
        <w:t>）“乙方”：</w:t>
      </w:r>
    </w:p>
    <w:p w14:paraId="0AA6C3DF">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cs="宋体"/>
          <w:color w:val="auto"/>
          <w:sz w:val="21"/>
          <w:szCs w:val="21"/>
          <w:lang w:val="en-US" w:eastAsia="zh-CN"/>
        </w:rPr>
        <w:t>三</w:t>
      </w:r>
      <w:r>
        <w:rPr>
          <w:rFonts w:hint="eastAsia" w:ascii="宋体" w:hAnsi="宋体" w:eastAsia="宋体" w:cs="宋体"/>
          <w:color w:val="auto"/>
          <w:sz w:val="21"/>
          <w:szCs w:val="21"/>
          <w:lang w:eastAsia="zh-CN"/>
        </w:rPr>
        <w:t>）“本合同”：指甲方与乙方之间签订的</w:t>
      </w:r>
      <w:r>
        <w:rPr>
          <w:rFonts w:hint="eastAsia" w:ascii="宋体" w:hAnsi="宋体" w:eastAsia="宋体" w:cs="宋体"/>
          <w:color w:val="auto"/>
          <w:sz w:val="21"/>
          <w:szCs w:val="21"/>
          <w:u w:val="single"/>
          <w:lang w:eastAsia="zh-CN"/>
        </w:rPr>
        <w:t>海陵试验区智慧停车运营管理采购项目协议</w:t>
      </w:r>
      <w:r>
        <w:rPr>
          <w:rFonts w:hint="eastAsia" w:ascii="宋体" w:hAnsi="宋体" w:eastAsia="宋体" w:cs="宋体"/>
          <w:color w:val="auto"/>
          <w:sz w:val="21"/>
          <w:szCs w:val="21"/>
          <w:lang w:eastAsia="zh-CN"/>
        </w:rPr>
        <w:t>。</w:t>
      </w:r>
    </w:p>
    <w:p w14:paraId="2F21E47F">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cs="宋体"/>
          <w:color w:val="auto"/>
          <w:sz w:val="21"/>
          <w:szCs w:val="21"/>
          <w:lang w:val="en-US" w:eastAsia="zh-CN"/>
        </w:rPr>
        <w:t>四</w:t>
      </w:r>
      <w:r>
        <w:rPr>
          <w:rFonts w:hint="eastAsia" w:ascii="宋体" w:hAnsi="宋体" w:eastAsia="宋体" w:cs="宋体"/>
          <w:color w:val="auto"/>
          <w:sz w:val="21"/>
          <w:szCs w:val="21"/>
          <w:lang w:eastAsia="zh-CN"/>
        </w:rPr>
        <w:t>）“建设-运营-移交”：即国际上通用的项目投资建设管理模式，即项目的实施机构将项目授予另一方，由另一方负责项目的设计、投资、建设、在一定的年限内经营管理、收回投资和获得回报，并在运营期满后将项目无偿归还给实施机构的模式。</w:t>
      </w:r>
    </w:p>
    <w:p w14:paraId="51FB6E8D">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cs="宋体"/>
          <w:color w:val="auto"/>
          <w:sz w:val="21"/>
          <w:szCs w:val="21"/>
          <w:lang w:val="en-US" w:eastAsia="zh-CN"/>
        </w:rPr>
        <w:t>五</w:t>
      </w:r>
      <w:r>
        <w:rPr>
          <w:rFonts w:hint="eastAsia" w:ascii="宋体" w:hAnsi="宋体" w:eastAsia="宋体" w:cs="宋体"/>
          <w:color w:val="auto"/>
          <w:sz w:val="21"/>
          <w:szCs w:val="21"/>
          <w:lang w:eastAsia="zh-CN"/>
        </w:rPr>
        <w:t>）“本项目”：指上述项目设计、投资、建设、运营、维护、移交的</w:t>
      </w:r>
      <w:r>
        <w:rPr>
          <w:rFonts w:hint="eastAsia" w:ascii="宋体" w:hAnsi="宋体" w:eastAsia="宋体" w:cs="宋体"/>
          <w:color w:val="auto"/>
          <w:sz w:val="21"/>
          <w:szCs w:val="21"/>
          <w:u w:val="single"/>
          <w:lang w:eastAsia="zh-CN"/>
        </w:rPr>
        <w:t>海陵试验区智慧停车运营管理采购项目</w:t>
      </w:r>
      <w:r>
        <w:rPr>
          <w:rFonts w:hint="eastAsia" w:ascii="宋体" w:hAnsi="宋体" w:eastAsia="宋体" w:cs="宋体"/>
          <w:color w:val="auto"/>
          <w:sz w:val="21"/>
          <w:szCs w:val="21"/>
          <w:lang w:eastAsia="zh-CN"/>
        </w:rPr>
        <w:t>。</w:t>
      </w:r>
    </w:p>
    <w:p w14:paraId="001A5A43">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cs="宋体"/>
          <w:color w:val="auto"/>
          <w:sz w:val="21"/>
          <w:szCs w:val="21"/>
          <w:lang w:val="en-US" w:eastAsia="zh-CN"/>
        </w:rPr>
        <w:t>六</w:t>
      </w:r>
      <w:r>
        <w:rPr>
          <w:rFonts w:hint="eastAsia" w:ascii="宋体" w:hAnsi="宋体" w:eastAsia="宋体" w:cs="宋体"/>
          <w:color w:val="auto"/>
          <w:sz w:val="21"/>
          <w:szCs w:val="21"/>
          <w:lang w:eastAsia="zh-CN"/>
        </w:rPr>
        <w:t>）“项目公司”：指由乙方在阳江市海陵岛经济开发试验区组建的负责本项目投融资、设计、建设、运营和维护的公司。本合同中乙方的相关权利义务关系由相应的项目公司承继。</w:t>
      </w:r>
    </w:p>
    <w:p w14:paraId="59F918B8">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cs="宋体"/>
          <w:color w:val="auto"/>
          <w:sz w:val="21"/>
          <w:szCs w:val="21"/>
          <w:lang w:val="en-US" w:eastAsia="zh-CN"/>
        </w:rPr>
        <w:t>七</w:t>
      </w:r>
      <w:r>
        <w:rPr>
          <w:rFonts w:hint="eastAsia" w:ascii="宋体" w:hAnsi="宋体" w:eastAsia="宋体" w:cs="宋体"/>
          <w:color w:val="auto"/>
          <w:sz w:val="21"/>
          <w:szCs w:val="21"/>
          <w:lang w:eastAsia="zh-CN"/>
        </w:rPr>
        <w:t>）“本项目设施”：指本项目所涉及的停车场、路内停车位的相关设施。</w:t>
      </w:r>
    </w:p>
    <w:p w14:paraId="090722EB">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cs="宋体"/>
          <w:color w:val="auto"/>
          <w:sz w:val="21"/>
          <w:szCs w:val="21"/>
          <w:lang w:val="en-US" w:eastAsia="zh-CN"/>
        </w:rPr>
        <w:t>八</w:t>
      </w:r>
      <w:r>
        <w:rPr>
          <w:rFonts w:hint="eastAsia" w:ascii="宋体" w:hAnsi="宋体" w:eastAsia="宋体" w:cs="宋体"/>
          <w:color w:val="auto"/>
          <w:sz w:val="21"/>
          <w:szCs w:val="21"/>
          <w:lang w:eastAsia="zh-CN"/>
        </w:rPr>
        <w:t>）“运营期”：指本项目从签订合同之日起，到本项目运营结束后移交给甲方之日止。</w:t>
      </w:r>
    </w:p>
    <w:p w14:paraId="6514F847">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cs="宋体"/>
          <w:color w:val="auto"/>
          <w:sz w:val="21"/>
          <w:szCs w:val="21"/>
          <w:lang w:val="en-US" w:eastAsia="zh-CN"/>
        </w:rPr>
        <w:t>九</w:t>
      </w:r>
      <w:r>
        <w:rPr>
          <w:rFonts w:hint="eastAsia" w:ascii="宋体" w:hAnsi="宋体" w:eastAsia="宋体" w:cs="宋体"/>
          <w:color w:val="auto"/>
          <w:sz w:val="21"/>
          <w:szCs w:val="21"/>
          <w:lang w:eastAsia="zh-CN"/>
        </w:rPr>
        <w:t>）“本项目经营权”：指甲方根据本合同的规定，授予乙方及项目公司设计、投资、建设、运营及维护本项目以及与该项目有关的附属设施的权利。</w:t>
      </w:r>
    </w:p>
    <w:p w14:paraId="55C4501C">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cs="宋体"/>
          <w:color w:val="auto"/>
          <w:sz w:val="21"/>
          <w:szCs w:val="21"/>
          <w:lang w:val="en-US" w:eastAsia="zh-CN"/>
        </w:rPr>
        <w:t>十</w:t>
      </w:r>
      <w:r>
        <w:rPr>
          <w:rFonts w:hint="eastAsia" w:ascii="宋体" w:hAnsi="宋体" w:eastAsia="宋体" w:cs="宋体"/>
          <w:color w:val="auto"/>
          <w:sz w:val="21"/>
          <w:szCs w:val="21"/>
          <w:lang w:eastAsia="zh-CN"/>
        </w:rPr>
        <w:t>）“适用法律”：指所有适用的中国法律、法规、规章、地方法规和政府部门颁布的所有适用的技术标准、技术规范以及所有其他适用的强制性要求，及其有效的修改、更新或补充。</w:t>
      </w:r>
    </w:p>
    <w:p w14:paraId="68CA5CCF">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cs="宋体"/>
          <w:color w:val="auto"/>
          <w:sz w:val="21"/>
          <w:szCs w:val="21"/>
          <w:lang w:val="en-US" w:eastAsia="zh-CN"/>
        </w:rPr>
        <w:t>十一</w:t>
      </w:r>
      <w:r>
        <w:rPr>
          <w:rFonts w:hint="eastAsia" w:ascii="宋体" w:hAnsi="宋体" w:eastAsia="宋体" w:cs="宋体"/>
          <w:color w:val="auto"/>
          <w:sz w:val="21"/>
          <w:szCs w:val="21"/>
          <w:lang w:eastAsia="zh-CN"/>
        </w:rPr>
        <w:t>）“工程设备”：指本合同中规定的、由乙方或项目公司采购的临时构成或永久构成本项目产出中之一部分所需要的设备、设施、仪器仪表等。</w:t>
      </w:r>
    </w:p>
    <w:p w14:paraId="66C299A1">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cs="宋体"/>
          <w:color w:val="auto"/>
          <w:sz w:val="21"/>
          <w:szCs w:val="21"/>
          <w:lang w:val="en-US" w:eastAsia="zh-CN"/>
        </w:rPr>
        <w:t>十二</w:t>
      </w:r>
      <w:r>
        <w:rPr>
          <w:rFonts w:hint="eastAsia" w:ascii="宋体" w:hAnsi="宋体" w:eastAsia="宋体" w:cs="宋体"/>
          <w:color w:val="auto"/>
          <w:sz w:val="21"/>
          <w:szCs w:val="21"/>
          <w:lang w:eastAsia="zh-CN"/>
        </w:rPr>
        <w:t>）“违约”：指本合同签约任何一方未能履行其在本合同项下的任何义务，而且该违约行为不能归咎于另一方违反本合同的作为或不作为或不可抗力等。</w:t>
      </w:r>
    </w:p>
    <w:p w14:paraId="562FBD46">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cs="宋体"/>
          <w:color w:val="auto"/>
          <w:sz w:val="21"/>
          <w:szCs w:val="21"/>
          <w:lang w:val="en-US" w:eastAsia="zh-CN"/>
        </w:rPr>
        <w:t>十三</w:t>
      </w:r>
      <w:r>
        <w:rPr>
          <w:rFonts w:hint="eastAsia" w:ascii="宋体" w:hAnsi="宋体" w:eastAsia="宋体" w:cs="宋体"/>
          <w:color w:val="auto"/>
          <w:sz w:val="21"/>
          <w:szCs w:val="21"/>
          <w:lang w:eastAsia="zh-CN"/>
        </w:rPr>
        <w:t>）“不可抗力”：自然灾害、政府原因或法律政策变化等不可抗力因素。</w:t>
      </w:r>
    </w:p>
    <w:p w14:paraId="4808ACD6">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cs="宋体"/>
          <w:color w:val="auto"/>
          <w:sz w:val="21"/>
          <w:szCs w:val="21"/>
          <w:lang w:val="en-US" w:eastAsia="zh-CN"/>
        </w:rPr>
        <w:t>十四</w:t>
      </w:r>
      <w:r>
        <w:rPr>
          <w:rFonts w:hint="eastAsia" w:ascii="宋体" w:hAnsi="宋体" w:eastAsia="宋体" w:cs="宋体"/>
          <w:color w:val="auto"/>
          <w:sz w:val="21"/>
          <w:szCs w:val="21"/>
          <w:lang w:eastAsia="zh-CN"/>
        </w:rPr>
        <w:t>）“政府部门”：指</w:t>
      </w:r>
    </w:p>
    <w:p w14:paraId="7EC358FB">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val="en-US" w:eastAsia="zh-CN"/>
        </w:rPr>
        <w:t>1、</w:t>
      </w:r>
      <w:r>
        <w:rPr>
          <w:rFonts w:hint="eastAsia" w:ascii="宋体" w:hAnsi="宋体" w:eastAsia="宋体" w:cs="宋体"/>
          <w:color w:val="auto"/>
          <w:sz w:val="21"/>
          <w:szCs w:val="21"/>
          <w:lang w:eastAsia="zh-CN"/>
        </w:rPr>
        <w:t>国务院及其下属的部、委、局、署，或具有中央政府行政管理功能的其他行政实体；</w:t>
      </w:r>
    </w:p>
    <w:p w14:paraId="51DFB19B">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val="en-US" w:eastAsia="zh-CN"/>
        </w:rPr>
        <w:t>2、</w:t>
      </w:r>
      <w:r>
        <w:rPr>
          <w:rFonts w:hint="eastAsia" w:ascii="宋体" w:hAnsi="宋体" w:eastAsia="宋体" w:cs="宋体"/>
          <w:color w:val="auto"/>
          <w:sz w:val="21"/>
          <w:szCs w:val="21"/>
          <w:lang w:eastAsia="zh-CN"/>
        </w:rPr>
        <w:t>阳江市海陵岛经济开发试验区</w:t>
      </w:r>
      <w:r>
        <w:rPr>
          <w:rFonts w:hint="eastAsia" w:ascii="宋体" w:hAnsi="宋体" w:eastAsia="宋体" w:cs="宋体"/>
          <w:color w:val="auto"/>
          <w:sz w:val="21"/>
          <w:szCs w:val="21"/>
          <w:u w:val="single"/>
          <w:lang w:eastAsia="zh-CN"/>
        </w:rPr>
        <w:t xml:space="preserve">               </w:t>
      </w:r>
      <w:r>
        <w:rPr>
          <w:rFonts w:hint="eastAsia" w:ascii="宋体" w:hAnsi="宋体" w:cs="宋体"/>
          <w:color w:val="auto"/>
          <w:sz w:val="21"/>
          <w:szCs w:val="21"/>
          <w:u w:val="single"/>
          <w:lang w:val="en-US" w:eastAsia="zh-CN"/>
        </w:rPr>
        <w:t xml:space="preserve">   </w:t>
      </w:r>
      <w:r>
        <w:rPr>
          <w:rFonts w:hint="eastAsia" w:ascii="宋体" w:hAnsi="宋体" w:eastAsia="宋体" w:cs="宋体"/>
          <w:color w:val="auto"/>
          <w:sz w:val="21"/>
          <w:szCs w:val="21"/>
          <w:lang w:eastAsia="zh-CN"/>
        </w:rPr>
        <w:t>及其下辖政府职能部门；</w:t>
      </w:r>
    </w:p>
    <w:p w14:paraId="45AAF53B">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val="en-US" w:eastAsia="zh-CN"/>
        </w:rPr>
        <w:t>二、</w:t>
      </w:r>
      <w:r>
        <w:rPr>
          <w:rFonts w:hint="eastAsia" w:ascii="宋体" w:hAnsi="宋体" w:eastAsia="宋体" w:cs="宋体"/>
          <w:color w:val="auto"/>
          <w:sz w:val="21"/>
          <w:szCs w:val="21"/>
          <w:lang w:eastAsia="zh-CN"/>
        </w:rPr>
        <w:t>在合同中，无论何处及由任何人发出或颁发任何通知、同意、认可、批准、证明或决定，除另有说明外，均指书面文件；对于任何此类文件，双方都不得无故扣押或拖延，收件方应在回执上签署姓名和收件时间。</w:t>
      </w:r>
    </w:p>
    <w:p w14:paraId="271DAAFB">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val="en-US" w:eastAsia="zh-CN"/>
        </w:rPr>
        <w:t>三、</w:t>
      </w:r>
      <w:r>
        <w:rPr>
          <w:rFonts w:hint="eastAsia" w:ascii="宋体" w:hAnsi="宋体" w:eastAsia="宋体" w:cs="宋体"/>
          <w:color w:val="auto"/>
          <w:sz w:val="21"/>
          <w:szCs w:val="21"/>
          <w:lang w:eastAsia="zh-CN"/>
        </w:rPr>
        <w:t>释义</w:t>
      </w:r>
    </w:p>
    <w:p w14:paraId="4730436B">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在本合同中，除非另有明确规定，下述词语的释义如下：</w:t>
      </w:r>
    </w:p>
    <w:p w14:paraId="1F9330E7">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cs="宋体"/>
          <w:color w:val="auto"/>
          <w:sz w:val="21"/>
          <w:szCs w:val="21"/>
          <w:lang w:val="en-US" w:eastAsia="zh-CN"/>
        </w:rPr>
        <w:t>一</w:t>
      </w:r>
      <w:r>
        <w:rPr>
          <w:rFonts w:hint="eastAsia" w:ascii="宋体" w:hAnsi="宋体" w:eastAsia="宋体" w:cs="宋体"/>
          <w:color w:val="auto"/>
          <w:sz w:val="21"/>
          <w:szCs w:val="21"/>
          <w:lang w:eastAsia="zh-CN"/>
        </w:rPr>
        <w:t>）“日”、“月”、“年”均指公历的日、月、年；</w:t>
      </w:r>
    </w:p>
    <w:p w14:paraId="145F0840">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cs="宋体"/>
          <w:color w:val="auto"/>
          <w:sz w:val="21"/>
          <w:szCs w:val="21"/>
          <w:lang w:val="en-US" w:eastAsia="zh-CN"/>
        </w:rPr>
        <w:t>二</w:t>
      </w:r>
      <w:r>
        <w:rPr>
          <w:rFonts w:hint="eastAsia" w:ascii="宋体" w:hAnsi="宋体" w:eastAsia="宋体" w:cs="宋体"/>
          <w:color w:val="auto"/>
          <w:sz w:val="21"/>
          <w:szCs w:val="21"/>
          <w:lang w:eastAsia="zh-CN"/>
        </w:rPr>
        <w:t>）“一方”按适用情况分别指甲方或乙方，包括其继让者和获准的受让人；“双方”指甲方和乙方，包括其继让者和获准的受让人；</w:t>
      </w:r>
    </w:p>
    <w:p w14:paraId="238BDC9C">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cs="宋体"/>
          <w:color w:val="auto"/>
          <w:sz w:val="21"/>
          <w:szCs w:val="21"/>
          <w:lang w:val="en-US" w:eastAsia="zh-CN"/>
        </w:rPr>
        <w:t>三</w:t>
      </w:r>
      <w:r>
        <w:rPr>
          <w:rFonts w:hint="eastAsia" w:ascii="宋体" w:hAnsi="宋体" w:eastAsia="宋体" w:cs="宋体"/>
          <w:color w:val="auto"/>
          <w:sz w:val="21"/>
          <w:szCs w:val="21"/>
          <w:lang w:eastAsia="zh-CN"/>
        </w:rPr>
        <w:t>）除非上下文另有所指，“元”指人民币元；</w:t>
      </w:r>
    </w:p>
    <w:p w14:paraId="72705AD1">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cs="宋体"/>
          <w:color w:val="auto"/>
          <w:sz w:val="21"/>
          <w:szCs w:val="21"/>
          <w:lang w:val="en-US" w:eastAsia="zh-CN"/>
        </w:rPr>
        <w:t>四</w:t>
      </w:r>
      <w:r>
        <w:rPr>
          <w:rFonts w:hint="eastAsia" w:ascii="宋体" w:hAnsi="宋体" w:eastAsia="宋体" w:cs="宋体"/>
          <w:color w:val="auto"/>
          <w:sz w:val="21"/>
          <w:szCs w:val="21"/>
        </w:rPr>
        <w:t>）“包括”指包括但不限于；</w:t>
      </w:r>
    </w:p>
    <w:p w14:paraId="30A19430">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cs="宋体"/>
          <w:color w:val="auto"/>
          <w:sz w:val="21"/>
          <w:szCs w:val="21"/>
          <w:lang w:val="en-US" w:eastAsia="zh-CN"/>
        </w:rPr>
        <w:t>五</w:t>
      </w:r>
      <w:r>
        <w:rPr>
          <w:rFonts w:hint="eastAsia" w:ascii="宋体" w:hAnsi="宋体" w:eastAsia="宋体" w:cs="宋体"/>
          <w:color w:val="auto"/>
          <w:sz w:val="21"/>
          <w:szCs w:val="21"/>
          <w:lang w:eastAsia="zh-CN"/>
        </w:rPr>
        <w:t>）若规定支付任何款项或提交任何书面材料之日不是工作日，则应在该等日期后的第一个工作日支付或提交；</w:t>
      </w:r>
    </w:p>
    <w:p w14:paraId="41114038">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cs="宋体"/>
          <w:color w:val="auto"/>
          <w:sz w:val="21"/>
          <w:szCs w:val="21"/>
          <w:lang w:val="en-US" w:eastAsia="zh-CN"/>
        </w:rPr>
        <w:t>六</w:t>
      </w:r>
      <w:r>
        <w:rPr>
          <w:rFonts w:hint="eastAsia" w:ascii="宋体" w:hAnsi="宋体" w:eastAsia="宋体" w:cs="宋体"/>
          <w:color w:val="auto"/>
          <w:sz w:val="21"/>
          <w:szCs w:val="21"/>
          <w:lang w:eastAsia="zh-CN"/>
        </w:rPr>
        <w:t>）任何章、条款、段、附表或附件指本合同的章、条款、段、附表或附件。</w:t>
      </w:r>
    </w:p>
    <w:p w14:paraId="56AE3A6C">
      <w:pPr>
        <w:keepNext w:val="0"/>
        <w:keepLines w:val="0"/>
        <w:pageBreakBefore w:val="0"/>
        <w:kinsoku/>
        <w:wordWrap/>
        <w:topLinePunct w:val="0"/>
        <w:bidi w:val="0"/>
        <w:snapToGrid/>
        <w:spacing w:line="460" w:lineRule="exact"/>
        <w:ind w:firstLine="422" w:firstLineChars="200"/>
        <w:rPr>
          <w:rFonts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第二条 合同背景和目的</w:t>
      </w:r>
    </w:p>
    <w:p w14:paraId="6D4798C4">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为了促进市政公用事业健康发展，规范公用事业经营活动，通过公开招标方式选取投资商，由乙方负责本项目的全额投资及建设。</w:t>
      </w:r>
    </w:p>
    <w:p w14:paraId="48AC8A15">
      <w:pPr>
        <w:keepNext w:val="0"/>
        <w:keepLines w:val="0"/>
        <w:pageBreakBefore w:val="0"/>
        <w:kinsoku/>
        <w:wordWrap/>
        <w:topLinePunct w:val="0"/>
        <w:bidi w:val="0"/>
        <w:snapToGrid/>
        <w:spacing w:line="460" w:lineRule="exact"/>
        <w:ind w:firstLine="422" w:firstLineChars="200"/>
        <w:rPr>
          <w:rFonts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第三条 声明和保证</w:t>
      </w:r>
    </w:p>
    <w:p w14:paraId="6DB68C09">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val="en-US" w:eastAsia="zh-CN"/>
        </w:rPr>
        <w:t>一、</w:t>
      </w:r>
      <w:r>
        <w:rPr>
          <w:rFonts w:hint="eastAsia" w:ascii="宋体" w:hAnsi="宋体" w:eastAsia="宋体" w:cs="宋体"/>
          <w:color w:val="auto"/>
          <w:sz w:val="21"/>
          <w:szCs w:val="21"/>
          <w:lang w:eastAsia="zh-CN"/>
        </w:rPr>
        <w:t>甲方的声明和保证。甲方受</w:t>
      </w:r>
      <w:r>
        <w:rPr>
          <w:rFonts w:hint="eastAsia" w:ascii="宋体" w:hAnsi="宋体" w:eastAsia="宋体" w:cs="宋体"/>
          <w:color w:val="auto"/>
          <w:sz w:val="21"/>
          <w:szCs w:val="21"/>
          <w:u w:val="single"/>
          <w:lang w:eastAsia="zh-CN"/>
        </w:rPr>
        <w:t xml:space="preserve">  </w:t>
      </w:r>
      <w:r>
        <w:rPr>
          <w:rFonts w:hint="eastAsia" w:ascii="宋体" w:hAnsi="宋体" w:cs="宋体"/>
          <w:color w:val="auto"/>
          <w:sz w:val="21"/>
          <w:szCs w:val="21"/>
          <w:u w:val="single"/>
          <w:lang w:val="en-US" w:eastAsia="zh-CN"/>
        </w:rPr>
        <w:t xml:space="preserve">                </w:t>
      </w:r>
      <w:r>
        <w:rPr>
          <w:rFonts w:hint="eastAsia" w:ascii="宋体" w:hAnsi="宋体" w:eastAsia="宋体" w:cs="宋体"/>
          <w:color w:val="auto"/>
          <w:sz w:val="21"/>
          <w:szCs w:val="21"/>
          <w:u w:val="single"/>
          <w:lang w:eastAsia="zh-CN"/>
        </w:rPr>
        <w:t xml:space="preserve">  </w:t>
      </w:r>
      <w:r>
        <w:rPr>
          <w:rFonts w:hint="eastAsia" w:ascii="宋体" w:hAnsi="宋体" w:eastAsia="宋体" w:cs="宋体"/>
          <w:color w:val="auto"/>
          <w:sz w:val="21"/>
          <w:szCs w:val="21"/>
          <w:lang w:eastAsia="zh-CN"/>
        </w:rPr>
        <w:t>的授权，在此声明：</w:t>
      </w:r>
    </w:p>
    <w:p w14:paraId="56B2C8B9">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一</w:t>
      </w:r>
      <w:r>
        <w:rPr>
          <w:rFonts w:hint="eastAsia" w:ascii="宋体" w:hAnsi="宋体" w:cs="宋体"/>
          <w:color w:val="auto"/>
          <w:sz w:val="21"/>
          <w:szCs w:val="21"/>
          <w:lang w:eastAsia="zh-CN"/>
        </w:rPr>
        <w:t>）</w:t>
      </w:r>
      <w:r>
        <w:rPr>
          <w:rFonts w:hint="eastAsia" w:ascii="宋体" w:hAnsi="宋体" w:eastAsia="宋体" w:cs="宋体"/>
          <w:color w:val="auto"/>
          <w:sz w:val="21"/>
          <w:szCs w:val="21"/>
          <w:lang w:eastAsia="zh-CN"/>
        </w:rPr>
        <w:t>甲方完全有权签署本合同，并有能力履行本合同项下的义务。</w:t>
      </w:r>
    </w:p>
    <w:p w14:paraId="73A2BDD3">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cs="宋体"/>
          <w:color w:val="auto"/>
          <w:sz w:val="21"/>
          <w:szCs w:val="21"/>
          <w:lang w:val="en-US" w:eastAsia="zh-CN"/>
        </w:rPr>
        <w:t>二</w:t>
      </w:r>
      <w:r>
        <w:rPr>
          <w:rFonts w:hint="eastAsia" w:ascii="宋体" w:hAnsi="宋体" w:eastAsia="宋体" w:cs="宋体"/>
          <w:color w:val="auto"/>
          <w:sz w:val="21"/>
          <w:szCs w:val="21"/>
          <w:lang w:eastAsia="zh-CN"/>
        </w:rPr>
        <w:t>）本合同一经签订，即对甲方具有完全的法律约束力，签订和履行本合同不会导致甲方违反对其具有的约束力的任何法律、法规和合同文件的规定，或者与之有利益冲突。</w:t>
      </w:r>
    </w:p>
    <w:p w14:paraId="64D343A0">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cs="宋体"/>
          <w:color w:val="auto"/>
          <w:sz w:val="21"/>
          <w:szCs w:val="21"/>
          <w:lang w:val="en-US" w:eastAsia="zh-CN"/>
        </w:rPr>
        <w:t>三</w:t>
      </w:r>
      <w:r>
        <w:rPr>
          <w:rFonts w:hint="eastAsia" w:ascii="宋体" w:hAnsi="宋体" w:eastAsia="宋体" w:cs="宋体"/>
          <w:color w:val="auto"/>
          <w:sz w:val="21"/>
          <w:szCs w:val="21"/>
          <w:lang w:eastAsia="zh-CN"/>
        </w:rPr>
        <w:t>）不存在任何和本项目有关的由甲方作为一方签署、并可能对本项目产生重大不利影响的合同。</w:t>
      </w:r>
    </w:p>
    <w:p w14:paraId="173A204E">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cs="宋体"/>
          <w:color w:val="auto"/>
          <w:sz w:val="21"/>
          <w:szCs w:val="21"/>
          <w:lang w:val="en-US" w:eastAsia="zh-CN"/>
        </w:rPr>
        <w:t>四</w:t>
      </w:r>
      <w:r>
        <w:rPr>
          <w:rFonts w:hint="eastAsia" w:ascii="宋体" w:hAnsi="宋体" w:eastAsia="宋体" w:cs="宋体"/>
          <w:color w:val="auto"/>
          <w:sz w:val="21"/>
          <w:szCs w:val="21"/>
          <w:lang w:eastAsia="zh-CN"/>
        </w:rPr>
        <w:t>）为确保本合同的实施，而应由甲方取得的审批文件或授权，甲方应积极申请取得或协助乙方取得。</w:t>
      </w:r>
    </w:p>
    <w:p w14:paraId="23458FA3">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val="en-US" w:eastAsia="zh-CN"/>
        </w:rPr>
        <w:t>二、</w:t>
      </w:r>
      <w:r>
        <w:rPr>
          <w:rFonts w:hint="eastAsia" w:ascii="宋体" w:hAnsi="宋体" w:eastAsia="宋体" w:cs="宋体"/>
          <w:color w:val="auto"/>
          <w:sz w:val="21"/>
          <w:szCs w:val="21"/>
          <w:lang w:eastAsia="zh-CN"/>
        </w:rPr>
        <w:t>乙方的声明和保证。乙方在此声明：</w:t>
      </w:r>
    </w:p>
    <w:p w14:paraId="04965730">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cs="宋体"/>
          <w:color w:val="auto"/>
          <w:sz w:val="21"/>
          <w:szCs w:val="21"/>
          <w:lang w:val="en-US" w:eastAsia="zh-CN"/>
        </w:rPr>
        <w:t>一</w:t>
      </w:r>
      <w:r>
        <w:rPr>
          <w:rFonts w:hint="eastAsia" w:ascii="宋体" w:hAnsi="宋体" w:eastAsia="宋体" w:cs="宋体"/>
          <w:color w:val="auto"/>
          <w:sz w:val="21"/>
          <w:szCs w:val="21"/>
          <w:lang w:eastAsia="zh-CN"/>
        </w:rPr>
        <w:t>）乙方是依据中国法律正式成立的企业法人，具有签署和履行本合同的法人资格。</w:t>
      </w:r>
    </w:p>
    <w:p w14:paraId="4F301D16">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cs="宋体"/>
          <w:color w:val="auto"/>
          <w:sz w:val="21"/>
          <w:szCs w:val="21"/>
          <w:lang w:val="en-US" w:eastAsia="zh-CN"/>
        </w:rPr>
        <w:t>二</w:t>
      </w:r>
      <w:r>
        <w:rPr>
          <w:rFonts w:hint="eastAsia" w:ascii="宋体" w:hAnsi="宋体" w:eastAsia="宋体" w:cs="宋体"/>
          <w:color w:val="auto"/>
          <w:sz w:val="21"/>
          <w:szCs w:val="21"/>
          <w:lang w:eastAsia="zh-CN"/>
        </w:rPr>
        <w:t>）本合同一经签订即对乙方具有完全的法律约束力，签订和履行本合同不会导致乙方违反对其具有约束力的任何法律、法规和合同文件的规定，或者与之有利益冲突。</w:t>
      </w:r>
    </w:p>
    <w:p w14:paraId="4CE6664D">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cs="宋体"/>
          <w:color w:val="auto"/>
          <w:sz w:val="21"/>
          <w:szCs w:val="21"/>
          <w:lang w:val="en-US" w:eastAsia="zh-CN"/>
        </w:rPr>
        <w:t>三</w:t>
      </w:r>
      <w:r>
        <w:rPr>
          <w:rFonts w:hint="eastAsia" w:ascii="宋体" w:hAnsi="宋体" w:eastAsia="宋体" w:cs="宋体"/>
          <w:color w:val="auto"/>
          <w:sz w:val="21"/>
          <w:szCs w:val="21"/>
          <w:lang w:eastAsia="zh-CN"/>
        </w:rPr>
        <w:t>）乙方在签署本合同前，不存在任何和本项目有关的由乙方作为一方签署、并可能对本项目或甲方产生重大不利影响的合同。</w:t>
      </w:r>
    </w:p>
    <w:p w14:paraId="582F0242">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cs="宋体"/>
          <w:color w:val="auto"/>
          <w:sz w:val="21"/>
          <w:szCs w:val="21"/>
          <w:lang w:val="en-US" w:eastAsia="zh-CN"/>
        </w:rPr>
        <w:t>四</w:t>
      </w:r>
      <w:r>
        <w:rPr>
          <w:rFonts w:hint="eastAsia" w:ascii="宋体" w:hAnsi="宋体" w:eastAsia="宋体" w:cs="宋体"/>
          <w:color w:val="auto"/>
          <w:sz w:val="21"/>
          <w:szCs w:val="21"/>
          <w:lang w:eastAsia="zh-CN"/>
        </w:rPr>
        <w:t>）乙方具备相应的技术能力及运营能力，实施本项目并履行其在本合同下的每一项义务。</w:t>
      </w:r>
    </w:p>
    <w:p w14:paraId="54057004">
      <w:pPr>
        <w:keepNext w:val="0"/>
        <w:keepLines w:val="0"/>
        <w:pageBreakBefore w:val="0"/>
        <w:kinsoku/>
        <w:wordWrap/>
        <w:topLinePunct w:val="0"/>
        <w:bidi w:val="0"/>
        <w:snapToGrid/>
        <w:spacing w:line="460" w:lineRule="exact"/>
        <w:ind w:firstLine="422" w:firstLineChars="200"/>
        <w:rPr>
          <w:rFonts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第四条 合同的生效条件</w:t>
      </w:r>
    </w:p>
    <w:p w14:paraId="72D1D1A4">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本合同经甲乙双方签字盖章生效后,即可视为甲方已经授予本项目经营权给乙方。</w:t>
      </w:r>
    </w:p>
    <w:p w14:paraId="239C301E">
      <w:pPr>
        <w:keepNext w:val="0"/>
        <w:keepLines w:val="0"/>
        <w:pageBreakBefore w:val="0"/>
        <w:kinsoku/>
        <w:wordWrap/>
        <w:topLinePunct w:val="0"/>
        <w:bidi w:val="0"/>
        <w:snapToGrid/>
        <w:spacing w:line="460" w:lineRule="exact"/>
        <w:ind w:firstLine="422" w:firstLineChars="200"/>
        <w:rPr>
          <w:rFonts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第五条 合同构成及优先次序</w:t>
      </w:r>
    </w:p>
    <w:p w14:paraId="756CB05B">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val="en-US" w:eastAsia="zh-CN"/>
        </w:rPr>
        <w:t>一、</w:t>
      </w:r>
      <w:r>
        <w:rPr>
          <w:rFonts w:hint="eastAsia" w:ascii="宋体" w:hAnsi="宋体" w:eastAsia="宋体" w:cs="宋体"/>
          <w:color w:val="auto"/>
          <w:sz w:val="21"/>
          <w:szCs w:val="21"/>
          <w:lang w:eastAsia="zh-CN"/>
        </w:rPr>
        <w:t>构成合同的文件应是相互说明和相互补充的，如果合同文件之间出现歧义、矛盾或明显错误时，其优先解释顺序如下：</w:t>
      </w:r>
    </w:p>
    <w:p w14:paraId="074C5A7E">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cs="宋体"/>
          <w:color w:val="auto"/>
          <w:sz w:val="21"/>
          <w:szCs w:val="21"/>
          <w:lang w:val="en-US" w:eastAsia="zh-CN"/>
        </w:rPr>
        <w:t>一</w:t>
      </w:r>
      <w:r>
        <w:rPr>
          <w:rFonts w:hint="eastAsia" w:ascii="宋体" w:hAnsi="宋体" w:eastAsia="宋体" w:cs="宋体"/>
          <w:color w:val="auto"/>
          <w:sz w:val="21"/>
          <w:szCs w:val="21"/>
          <w:lang w:eastAsia="zh-CN"/>
        </w:rPr>
        <w:t>）本合同</w:t>
      </w:r>
    </w:p>
    <w:p w14:paraId="2B2BE5DB">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cs="宋体"/>
          <w:color w:val="auto"/>
          <w:sz w:val="21"/>
          <w:szCs w:val="21"/>
          <w:lang w:val="en-US" w:eastAsia="zh-CN"/>
        </w:rPr>
        <w:t>二</w:t>
      </w:r>
      <w:r>
        <w:rPr>
          <w:rFonts w:hint="eastAsia" w:ascii="宋体" w:hAnsi="宋体" w:eastAsia="宋体" w:cs="宋体"/>
          <w:color w:val="auto"/>
          <w:sz w:val="21"/>
          <w:szCs w:val="21"/>
          <w:lang w:eastAsia="zh-CN"/>
        </w:rPr>
        <w:t>）《补充合同》（如有）；</w:t>
      </w:r>
    </w:p>
    <w:p w14:paraId="576393CB">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cs="宋体"/>
          <w:color w:val="auto"/>
          <w:sz w:val="21"/>
          <w:szCs w:val="21"/>
          <w:lang w:val="en-US" w:eastAsia="zh-CN"/>
        </w:rPr>
        <w:t>三</w:t>
      </w:r>
      <w:r>
        <w:rPr>
          <w:rFonts w:hint="eastAsia" w:ascii="宋体" w:hAnsi="宋体" w:eastAsia="宋体" w:cs="宋体"/>
          <w:color w:val="auto"/>
          <w:sz w:val="21"/>
          <w:szCs w:val="21"/>
          <w:lang w:eastAsia="zh-CN"/>
        </w:rPr>
        <w:t>）中标通知书；</w:t>
      </w:r>
    </w:p>
    <w:p w14:paraId="6C91FC0C">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cs="宋体"/>
          <w:color w:val="auto"/>
          <w:sz w:val="21"/>
          <w:szCs w:val="21"/>
          <w:lang w:val="en-US" w:eastAsia="zh-CN"/>
        </w:rPr>
        <w:t>四</w:t>
      </w:r>
      <w:r>
        <w:rPr>
          <w:rFonts w:hint="eastAsia" w:ascii="宋体" w:hAnsi="宋体" w:eastAsia="宋体" w:cs="宋体"/>
          <w:color w:val="auto"/>
          <w:sz w:val="21"/>
          <w:szCs w:val="21"/>
          <w:lang w:eastAsia="zh-CN"/>
        </w:rPr>
        <w:t>）投标书及附件；</w:t>
      </w:r>
    </w:p>
    <w:p w14:paraId="713D558C">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cs="宋体"/>
          <w:color w:val="auto"/>
          <w:sz w:val="21"/>
          <w:szCs w:val="21"/>
          <w:lang w:val="en-US" w:eastAsia="zh-CN"/>
        </w:rPr>
        <w:t>五</w:t>
      </w:r>
      <w:r>
        <w:rPr>
          <w:rFonts w:hint="eastAsia" w:ascii="宋体" w:hAnsi="宋体" w:eastAsia="宋体" w:cs="宋体"/>
          <w:color w:val="auto"/>
          <w:sz w:val="21"/>
          <w:szCs w:val="21"/>
          <w:lang w:eastAsia="zh-CN"/>
        </w:rPr>
        <w:t>）招标文件；</w:t>
      </w:r>
    </w:p>
    <w:p w14:paraId="47522605">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cs="宋体"/>
          <w:color w:val="auto"/>
          <w:sz w:val="21"/>
          <w:szCs w:val="21"/>
          <w:lang w:val="en-US" w:eastAsia="zh-CN"/>
        </w:rPr>
        <w:t>六</w:t>
      </w:r>
      <w:r>
        <w:rPr>
          <w:rFonts w:hint="eastAsia" w:ascii="宋体" w:hAnsi="宋体" w:eastAsia="宋体" w:cs="宋体"/>
          <w:color w:val="auto"/>
          <w:sz w:val="21"/>
          <w:szCs w:val="21"/>
          <w:lang w:eastAsia="zh-CN"/>
        </w:rPr>
        <w:t>）政府或其相关部门批准实施本项目的相关文件；</w:t>
      </w:r>
    </w:p>
    <w:p w14:paraId="63E0E4A8">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cs="宋体"/>
          <w:color w:val="auto"/>
          <w:sz w:val="21"/>
          <w:szCs w:val="21"/>
          <w:lang w:val="en-US" w:eastAsia="zh-CN"/>
        </w:rPr>
        <w:t>七</w:t>
      </w:r>
      <w:r>
        <w:rPr>
          <w:rFonts w:hint="eastAsia" w:ascii="宋体" w:hAnsi="宋体" w:eastAsia="宋体" w:cs="宋体"/>
          <w:color w:val="auto"/>
          <w:sz w:val="21"/>
          <w:szCs w:val="21"/>
          <w:lang w:eastAsia="zh-CN"/>
        </w:rPr>
        <w:t>）其他按规定应作为本合同的组成部分的附件。</w:t>
      </w:r>
    </w:p>
    <w:p w14:paraId="493C9402">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val="en-US" w:eastAsia="zh-CN"/>
        </w:rPr>
        <w:t>二、</w:t>
      </w:r>
      <w:r>
        <w:rPr>
          <w:rFonts w:hint="eastAsia" w:ascii="宋体" w:hAnsi="宋体" w:eastAsia="宋体" w:cs="宋体"/>
          <w:color w:val="auto"/>
          <w:sz w:val="21"/>
          <w:szCs w:val="21"/>
          <w:lang w:eastAsia="zh-CN"/>
        </w:rPr>
        <w:t>合同的任何一部分若出现字或字符错排、增添、遗漏或文字矛盾或歧义，均不应改变合同作为一个整体所本应赋予它的含义。</w:t>
      </w:r>
    </w:p>
    <w:p w14:paraId="7E6073EA">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val="en-US" w:eastAsia="zh-CN"/>
        </w:rPr>
        <w:t>三、</w:t>
      </w:r>
      <w:r>
        <w:rPr>
          <w:rFonts w:hint="eastAsia" w:ascii="宋体" w:hAnsi="宋体" w:eastAsia="宋体" w:cs="宋体"/>
          <w:color w:val="auto"/>
          <w:sz w:val="21"/>
          <w:szCs w:val="21"/>
          <w:lang w:eastAsia="zh-CN"/>
        </w:rPr>
        <w:t>本合同各标题仅为方便起见而加入，不能用于解释本合同效力或任何条款。</w:t>
      </w:r>
    </w:p>
    <w:p w14:paraId="2EFFA6E1">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val="en-US" w:eastAsia="zh-CN"/>
        </w:rPr>
        <w:t>四、</w:t>
      </w:r>
      <w:r>
        <w:rPr>
          <w:rFonts w:hint="eastAsia" w:ascii="宋体" w:hAnsi="宋体" w:eastAsia="宋体" w:cs="宋体"/>
          <w:color w:val="auto"/>
          <w:sz w:val="21"/>
          <w:szCs w:val="21"/>
          <w:lang w:eastAsia="zh-CN"/>
        </w:rPr>
        <w:t>原则上后期签订的其他合同，不违背本项目招标文件与本合同精神。</w:t>
      </w:r>
    </w:p>
    <w:p w14:paraId="1314B9C7">
      <w:pPr>
        <w:keepNext w:val="0"/>
        <w:keepLines w:val="0"/>
        <w:pageBreakBefore w:val="0"/>
        <w:kinsoku/>
        <w:wordWrap/>
        <w:topLinePunct w:val="0"/>
        <w:bidi w:val="0"/>
        <w:snapToGrid/>
        <w:spacing w:line="460" w:lineRule="exact"/>
        <w:jc w:val="center"/>
        <w:rPr>
          <w:rFonts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 xml:space="preserve">第二章 </w:t>
      </w:r>
      <w:r>
        <w:rPr>
          <w:rFonts w:hint="eastAsia" w:ascii="宋体" w:hAnsi="宋体" w:eastAsia="宋体" w:cs="宋体"/>
          <w:b/>
          <w:bCs/>
          <w:color w:val="auto"/>
          <w:sz w:val="21"/>
          <w:szCs w:val="21"/>
          <w:lang w:val="en-US" w:eastAsia="zh-CN"/>
        </w:rPr>
        <w:t xml:space="preserve"> </w:t>
      </w:r>
      <w:r>
        <w:rPr>
          <w:rFonts w:hint="eastAsia" w:ascii="宋体" w:hAnsi="宋体" w:eastAsia="宋体" w:cs="宋体"/>
          <w:b/>
          <w:bCs/>
          <w:color w:val="auto"/>
          <w:sz w:val="21"/>
          <w:szCs w:val="21"/>
          <w:lang w:eastAsia="zh-CN"/>
        </w:rPr>
        <w:t>双方的权利义务</w:t>
      </w:r>
    </w:p>
    <w:p w14:paraId="675C5F41">
      <w:pPr>
        <w:keepNext w:val="0"/>
        <w:keepLines w:val="0"/>
        <w:pageBreakBefore w:val="0"/>
        <w:kinsoku/>
        <w:wordWrap/>
        <w:topLinePunct w:val="0"/>
        <w:bidi w:val="0"/>
        <w:snapToGrid/>
        <w:spacing w:line="460" w:lineRule="exact"/>
        <w:ind w:firstLine="422" w:firstLineChars="200"/>
        <w:rPr>
          <w:rFonts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第六条 甲方的权利义务</w:t>
      </w:r>
    </w:p>
    <w:p w14:paraId="364588A2">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val="en-US" w:eastAsia="zh-CN"/>
        </w:rPr>
        <w:t>一、</w:t>
      </w:r>
      <w:r>
        <w:rPr>
          <w:rFonts w:hint="eastAsia" w:ascii="宋体" w:hAnsi="宋体" w:eastAsia="宋体" w:cs="宋体"/>
          <w:color w:val="auto"/>
          <w:sz w:val="21"/>
          <w:szCs w:val="21"/>
          <w:lang w:eastAsia="zh-CN"/>
        </w:rPr>
        <w:t>甲方在合同履行过程中拥有以下权利：</w:t>
      </w:r>
    </w:p>
    <w:p w14:paraId="11D530C7">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cs="宋体"/>
          <w:color w:val="auto"/>
          <w:sz w:val="21"/>
          <w:szCs w:val="21"/>
          <w:lang w:val="en-US" w:eastAsia="zh-CN"/>
        </w:rPr>
        <w:t>一</w:t>
      </w:r>
      <w:r>
        <w:rPr>
          <w:rFonts w:hint="eastAsia" w:ascii="宋体" w:hAnsi="宋体" w:eastAsia="宋体" w:cs="宋体"/>
          <w:color w:val="auto"/>
          <w:sz w:val="21"/>
          <w:szCs w:val="21"/>
          <w:lang w:eastAsia="zh-CN"/>
        </w:rPr>
        <w:t>）监督乙方的建设进度和质量。</w:t>
      </w:r>
    </w:p>
    <w:p w14:paraId="0EAE068B">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cs="宋体"/>
          <w:color w:val="auto"/>
          <w:sz w:val="21"/>
          <w:szCs w:val="21"/>
          <w:lang w:val="en-US" w:eastAsia="zh-CN"/>
        </w:rPr>
        <w:t>二</w:t>
      </w:r>
      <w:r>
        <w:rPr>
          <w:rFonts w:hint="eastAsia" w:ascii="宋体" w:hAnsi="宋体" w:eastAsia="宋体" w:cs="宋体"/>
          <w:color w:val="auto"/>
          <w:sz w:val="21"/>
          <w:szCs w:val="21"/>
          <w:lang w:eastAsia="zh-CN"/>
        </w:rPr>
        <w:t>）做好项目施工外部环境协调工程，督促乙方抓好现场安全文明施工管理。</w:t>
      </w:r>
    </w:p>
    <w:p w14:paraId="1555501A">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cs="宋体"/>
          <w:color w:val="auto"/>
          <w:sz w:val="21"/>
          <w:szCs w:val="21"/>
          <w:lang w:val="en-US" w:eastAsia="zh-CN"/>
        </w:rPr>
        <w:t>三</w:t>
      </w:r>
      <w:r>
        <w:rPr>
          <w:rFonts w:hint="eastAsia" w:ascii="宋体" w:hAnsi="宋体" w:eastAsia="宋体" w:cs="宋体"/>
          <w:color w:val="auto"/>
          <w:sz w:val="21"/>
          <w:szCs w:val="21"/>
          <w:lang w:eastAsia="zh-CN"/>
        </w:rPr>
        <w:t>）监督乙方履行经营合同规定的义务；</w:t>
      </w:r>
    </w:p>
    <w:p w14:paraId="58F1ADEB">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cs="宋体"/>
          <w:color w:val="auto"/>
          <w:sz w:val="21"/>
          <w:szCs w:val="21"/>
          <w:lang w:val="en-US" w:eastAsia="zh-CN"/>
        </w:rPr>
        <w:t>四</w:t>
      </w:r>
      <w:r>
        <w:rPr>
          <w:rFonts w:hint="eastAsia" w:ascii="宋体" w:hAnsi="宋体" w:eastAsia="宋体" w:cs="宋体"/>
          <w:color w:val="auto"/>
          <w:sz w:val="21"/>
          <w:szCs w:val="21"/>
          <w:lang w:eastAsia="zh-CN"/>
        </w:rPr>
        <w:t>）受理公众对乙方的投诉；</w:t>
      </w:r>
    </w:p>
    <w:p w14:paraId="2D7B3DCE">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cs="宋体"/>
          <w:color w:val="auto"/>
          <w:sz w:val="21"/>
          <w:szCs w:val="21"/>
          <w:lang w:val="en-US" w:eastAsia="zh-CN"/>
        </w:rPr>
        <w:t>五</w:t>
      </w:r>
      <w:r>
        <w:rPr>
          <w:rFonts w:hint="eastAsia" w:ascii="宋体" w:hAnsi="宋体" w:eastAsia="宋体" w:cs="宋体"/>
          <w:color w:val="auto"/>
          <w:sz w:val="21"/>
          <w:szCs w:val="21"/>
          <w:lang w:eastAsia="zh-CN"/>
        </w:rPr>
        <w:t>）监督检查乙方提供的服务质量；</w:t>
      </w:r>
    </w:p>
    <w:p w14:paraId="50B37CC0">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cs="宋体"/>
          <w:color w:val="auto"/>
          <w:sz w:val="21"/>
          <w:szCs w:val="21"/>
          <w:lang w:val="en-US" w:eastAsia="zh-CN"/>
        </w:rPr>
        <w:t>六</w:t>
      </w:r>
      <w:r>
        <w:rPr>
          <w:rFonts w:hint="eastAsia" w:ascii="宋体" w:hAnsi="宋体" w:eastAsia="宋体" w:cs="宋体"/>
          <w:color w:val="auto"/>
          <w:sz w:val="21"/>
          <w:szCs w:val="21"/>
          <w:lang w:eastAsia="zh-CN"/>
        </w:rPr>
        <w:t>）如果发生乙方违约的情况，要求乙方纠正违约、向乙方收取违约金、特许经营协议提前终止（向乙方发出特许经营协议提前终止通知）或采取其他措施维护甲方权益。</w:t>
      </w:r>
    </w:p>
    <w:p w14:paraId="41BCEC3A">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cs="宋体"/>
          <w:color w:val="auto"/>
          <w:sz w:val="21"/>
          <w:szCs w:val="21"/>
          <w:lang w:val="en-US" w:eastAsia="zh-CN"/>
        </w:rPr>
        <w:t>七</w:t>
      </w:r>
      <w:r>
        <w:rPr>
          <w:rFonts w:hint="eastAsia" w:ascii="宋体" w:hAnsi="宋体" w:eastAsia="宋体" w:cs="宋体"/>
          <w:color w:val="auto"/>
          <w:sz w:val="21"/>
          <w:szCs w:val="21"/>
          <w:lang w:eastAsia="zh-CN"/>
        </w:rPr>
        <w:t>）在特许经营期期满后，无偿获得乙方移交的约定部分设施及相关权益。</w:t>
      </w:r>
    </w:p>
    <w:p w14:paraId="4AAA138F">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cs="宋体"/>
          <w:color w:val="auto"/>
          <w:sz w:val="21"/>
          <w:szCs w:val="21"/>
          <w:lang w:val="en-US" w:eastAsia="zh-CN"/>
        </w:rPr>
        <w:t>八</w:t>
      </w:r>
      <w:r>
        <w:rPr>
          <w:rFonts w:hint="eastAsia" w:ascii="宋体" w:hAnsi="宋体" w:eastAsia="宋体" w:cs="宋体"/>
          <w:color w:val="auto"/>
          <w:sz w:val="21"/>
          <w:szCs w:val="21"/>
          <w:lang w:eastAsia="zh-CN"/>
        </w:rPr>
        <w:t>）在发生本协议约定的乙方严重违约或发生紧急事件时，甲方或政府指定机构有权利（但不得被要求）介入，接管乙方运营管理和维护项目设施。</w:t>
      </w:r>
    </w:p>
    <w:p w14:paraId="0F66907E">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cs="宋体"/>
          <w:color w:val="auto"/>
          <w:sz w:val="21"/>
          <w:szCs w:val="21"/>
          <w:lang w:val="en-US" w:eastAsia="zh-CN"/>
        </w:rPr>
        <w:t>九</w:t>
      </w:r>
      <w:r>
        <w:rPr>
          <w:rFonts w:hint="eastAsia" w:ascii="宋体" w:hAnsi="宋体" w:eastAsia="宋体" w:cs="宋体"/>
          <w:color w:val="auto"/>
          <w:sz w:val="21"/>
          <w:szCs w:val="21"/>
          <w:lang w:eastAsia="zh-CN"/>
        </w:rPr>
        <w:t>）在特许经营期内，如乙方违反或拒绝履行本协议下规定的义务，甲方可依据本协议的相关规定兑取该项目建设履约保函的相应金额。</w:t>
      </w:r>
    </w:p>
    <w:p w14:paraId="002BDD7D">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cs="宋体"/>
          <w:color w:val="auto"/>
          <w:sz w:val="21"/>
          <w:szCs w:val="21"/>
          <w:lang w:val="en-US" w:eastAsia="zh-CN"/>
        </w:rPr>
        <w:t>十</w:t>
      </w:r>
      <w:r>
        <w:rPr>
          <w:rFonts w:hint="eastAsia" w:ascii="宋体" w:hAnsi="宋体" w:eastAsia="宋体" w:cs="宋体"/>
          <w:color w:val="auto"/>
          <w:sz w:val="21"/>
          <w:szCs w:val="21"/>
          <w:lang w:eastAsia="zh-CN"/>
        </w:rPr>
        <w:t>）法律、法规和规章规定的其他职责。</w:t>
      </w:r>
    </w:p>
    <w:p w14:paraId="0F031D51">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val="en-US" w:eastAsia="zh-CN"/>
        </w:rPr>
        <w:t>二、</w:t>
      </w:r>
      <w:r>
        <w:rPr>
          <w:rFonts w:hint="eastAsia" w:ascii="宋体" w:hAnsi="宋体" w:eastAsia="宋体" w:cs="宋体"/>
          <w:color w:val="auto"/>
          <w:sz w:val="21"/>
          <w:szCs w:val="21"/>
          <w:lang w:eastAsia="zh-CN"/>
        </w:rPr>
        <w:t>在运营期间，甲方应在乙方所需的水、电、气等基础条件手续办理和现场施工管理上提供相应的支持。</w:t>
      </w:r>
    </w:p>
    <w:p w14:paraId="662382BF">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val="en-US" w:eastAsia="zh-CN"/>
        </w:rPr>
        <w:t>三、</w:t>
      </w:r>
      <w:r>
        <w:rPr>
          <w:rFonts w:hint="eastAsia" w:ascii="宋体" w:hAnsi="宋体" w:eastAsia="宋体" w:cs="宋体"/>
          <w:color w:val="auto"/>
          <w:sz w:val="21"/>
          <w:szCs w:val="21"/>
          <w:lang w:eastAsia="zh-CN"/>
        </w:rPr>
        <w:t>甲方应按照法律法规，在其权限和管辖范围内协助乙方及时获得设立项目公司以及项目公司进行项目建设、运营、维护及管理所必需的批文。</w:t>
      </w:r>
    </w:p>
    <w:p w14:paraId="718A62F2">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val="en-US" w:eastAsia="zh-CN"/>
        </w:rPr>
        <w:t>四、</w:t>
      </w:r>
      <w:r>
        <w:rPr>
          <w:rFonts w:hint="eastAsia" w:ascii="宋体" w:hAnsi="宋体" w:eastAsia="宋体" w:cs="宋体"/>
          <w:color w:val="auto"/>
          <w:sz w:val="21"/>
          <w:szCs w:val="21"/>
          <w:lang w:eastAsia="zh-CN"/>
        </w:rPr>
        <w:t>甲方保证按本合同的规定授予乙方的本项目经营权具有独占性，即甲方不得将本项目的经营权全部或部分地授予第三方，或就本项目停车场及停车场经营权以租赁、质押、承包、托管等任何方式与任何第三方开展合作、提供担保或设置其他权利（乙方事先违约的除外），否则视为严重违约，必须向乙方赔偿直接及间接损失。</w:t>
      </w:r>
    </w:p>
    <w:p w14:paraId="2CBFF004">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val="en-US" w:eastAsia="zh-CN"/>
        </w:rPr>
        <w:t>五、</w:t>
      </w:r>
      <w:r>
        <w:rPr>
          <w:rFonts w:hint="eastAsia" w:ascii="宋体" w:hAnsi="宋体" w:eastAsia="宋体" w:cs="宋体"/>
          <w:color w:val="auto"/>
          <w:sz w:val="21"/>
          <w:szCs w:val="21"/>
          <w:lang w:eastAsia="zh-CN"/>
        </w:rPr>
        <w:t>协助乙方办理项目公司经营授权许可。平台、系统以及硬件设备安装完成后，具备收费条件，允许项目公司试运营并进行收费。</w:t>
      </w:r>
    </w:p>
    <w:p w14:paraId="186C6075">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val="en-US" w:eastAsia="zh-CN"/>
        </w:rPr>
        <w:t>六、</w:t>
      </w:r>
      <w:r>
        <w:rPr>
          <w:rFonts w:hint="eastAsia" w:ascii="宋体" w:hAnsi="宋体" w:eastAsia="宋体" w:cs="宋体"/>
          <w:color w:val="auto"/>
          <w:sz w:val="21"/>
          <w:szCs w:val="21"/>
          <w:lang w:eastAsia="zh-CN"/>
        </w:rPr>
        <w:t>甲方通过政府官网、政府公众号、广播电台等宣传途径，协助乙方向阳江市海陵岛经济开发试验区居民进行智慧停车收费宣传（宣传内容：智慧停车政策、收费必要性、收费目的、智慧停车改造宣传、停车收费通知）。</w:t>
      </w:r>
    </w:p>
    <w:p w14:paraId="6E84045C">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val="en-US" w:eastAsia="zh-CN"/>
        </w:rPr>
        <w:t>七、</w:t>
      </w:r>
      <w:r>
        <w:rPr>
          <w:rFonts w:hint="eastAsia" w:ascii="宋体" w:hAnsi="宋体" w:eastAsia="宋体" w:cs="宋体"/>
          <w:color w:val="auto"/>
          <w:sz w:val="21"/>
          <w:szCs w:val="21"/>
          <w:lang w:eastAsia="zh-CN"/>
        </w:rPr>
        <w:t>甲方负责组织协调政府相关部门协助乙方开展建设、运营相关工作，保证乙方依法享有独立的经营自主权，并积极落实乙方应享受的有关优惠政策。</w:t>
      </w:r>
    </w:p>
    <w:p w14:paraId="7F5603EE">
      <w:pPr>
        <w:keepNext w:val="0"/>
        <w:keepLines w:val="0"/>
        <w:pageBreakBefore w:val="0"/>
        <w:kinsoku/>
        <w:wordWrap/>
        <w:topLinePunct w:val="0"/>
        <w:bidi w:val="0"/>
        <w:snapToGrid/>
        <w:spacing w:line="460" w:lineRule="exact"/>
        <w:ind w:firstLine="422" w:firstLineChars="200"/>
        <w:rPr>
          <w:rFonts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第七条 乙方的权利义务</w:t>
      </w:r>
    </w:p>
    <w:p w14:paraId="7DE7DDCF">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val="en-US" w:eastAsia="zh-CN"/>
        </w:rPr>
        <w:t>一、</w:t>
      </w:r>
      <w:r>
        <w:rPr>
          <w:rFonts w:hint="eastAsia" w:ascii="宋体" w:hAnsi="宋体" w:eastAsia="宋体" w:cs="宋体"/>
          <w:color w:val="auto"/>
          <w:sz w:val="21"/>
          <w:szCs w:val="21"/>
          <w:lang w:eastAsia="zh-CN"/>
        </w:rPr>
        <w:t>乙方在本合同签订后</w:t>
      </w:r>
      <w:r>
        <w:rPr>
          <w:rFonts w:hint="eastAsia" w:ascii="宋体" w:hAnsi="宋体" w:eastAsia="宋体" w:cs="宋体"/>
          <w:color w:val="auto"/>
          <w:sz w:val="21"/>
          <w:szCs w:val="21"/>
          <w:u w:val="single"/>
          <w:lang w:eastAsia="zh-CN"/>
        </w:rPr>
        <w:t xml:space="preserve">   </w:t>
      </w:r>
      <w:r>
        <w:rPr>
          <w:rFonts w:hint="eastAsia" w:ascii="宋体" w:hAnsi="宋体" w:cs="宋体"/>
          <w:color w:val="auto"/>
          <w:sz w:val="21"/>
          <w:szCs w:val="21"/>
          <w:u w:val="single"/>
          <w:lang w:val="en-US" w:eastAsia="zh-CN"/>
        </w:rPr>
        <w:t xml:space="preserve">         </w:t>
      </w:r>
      <w:r>
        <w:rPr>
          <w:rFonts w:hint="eastAsia" w:ascii="宋体" w:hAnsi="宋体" w:eastAsia="宋体" w:cs="宋体"/>
          <w:color w:val="auto"/>
          <w:sz w:val="21"/>
          <w:szCs w:val="21"/>
          <w:u w:val="none"/>
          <w:lang w:eastAsia="zh-CN"/>
        </w:rPr>
        <w:t>日</w:t>
      </w:r>
      <w:r>
        <w:rPr>
          <w:rFonts w:hint="eastAsia" w:ascii="宋体" w:hAnsi="宋体" w:eastAsia="宋体" w:cs="宋体"/>
          <w:color w:val="auto"/>
          <w:sz w:val="21"/>
          <w:szCs w:val="21"/>
          <w:lang w:eastAsia="zh-CN"/>
        </w:rPr>
        <w:t>内应依法在阳江市海陵岛经济开发试验区组建项目公司，负责项目公司的投融资、建设及运营。</w:t>
      </w:r>
    </w:p>
    <w:p w14:paraId="79B21ECE">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val="en-US" w:eastAsia="zh-CN"/>
        </w:rPr>
        <w:t>二、</w:t>
      </w:r>
      <w:r>
        <w:rPr>
          <w:rFonts w:hint="eastAsia" w:ascii="宋体" w:hAnsi="宋体" w:eastAsia="宋体" w:cs="宋体"/>
          <w:color w:val="auto"/>
          <w:sz w:val="21"/>
          <w:szCs w:val="21"/>
          <w:lang w:eastAsia="zh-CN"/>
        </w:rPr>
        <w:t>乙方应遵守国家及地方的有关法律、法规、规章、规范性文件及与本项目有关的建设、运营、维护的规定。</w:t>
      </w:r>
    </w:p>
    <w:p w14:paraId="1EA5626A">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val="en-US" w:eastAsia="zh-CN"/>
        </w:rPr>
        <w:t>三、</w:t>
      </w:r>
      <w:r>
        <w:rPr>
          <w:rFonts w:hint="eastAsia" w:ascii="宋体" w:hAnsi="宋体" w:eastAsia="宋体" w:cs="宋体"/>
          <w:color w:val="auto"/>
          <w:sz w:val="21"/>
          <w:szCs w:val="21"/>
          <w:lang w:eastAsia="zh-CN"/>
        </w:rPr>
        <w:t>乙方有权对私自拆、改、破坏项目设施影响乙方设施正常运行的行为进行合法维权。</w:t>
      </w:r>
    </w:p>
    <w:p w14:paraId="48BCCDC9">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val="en-US" w:eastAsia="zh-CN"/>
        </w:rPr>
        <w:t>四、</w:t>
      </w:r>
      <w:r>
        <w:rPr>
          <w:rFonts w:hint="eastAsia" w:ascii="宋体" w:hAnsi="宋体" w:eastAsia="宋体" w:cs="宋体"/>
          <w:color w:val="auto"/>
          <w:sz w:val="21"/>
          <w:szCs w:val="21"/>
          <w:lang w:eastAsia="zh-CN"/>
        </w:rPr>
        <w:t>乙方负责与政府或相关部门工作对接、沟通、运营期间停车项目的收费经营推广等工作，并承担提供给阳江市海陵岛经济开发试验区官方媒体宣传所需资料和素材的相关费用，所提供的资料素材由媒体单位统一整理发布。</w:t>
      </w:r>
    </w:p>
    <w:p w14:paraId="0A433F27">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val="en-US" w:eastAsia="zh-CN"/>
        </w:rPr>
        <w:t>五、</w:t>
      </w:r>
      <w:r>
        <w:rPr>
          <w:rFonts w:hint="eastAsia" w:ascii="宋体" w:hAnsi="宋体" w:eastAsia="宋体" w:cs="宋体"/>
          <w:color w:val="auto"/>
          <w:sz w:val="21"/>
          <w:szCs w:val="21"/>
          <w:lang w:eastAsia="zh-CN"/>
        </w:rPr>
        <w:t>在运营期限内，甲方授权乙方对路内临时停车位及公共停车场进行停车收费和管理，在不影响停车服务和市容管理的前提下在公共停车场内开展如设置充电桩等停车衍生的便服务；获取的停车脱敏数据开发和运营等，并取得收益，乙方不得改变停车场用途。合同期满后，在同等条件下，乙方享有继续经营的优先权。</w:t>
      </w:r>
    </w:p>
    <w:p w14:paraId="534E4AAB">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val="en-US" w:eastAsia="zh-CN"/>
        </w:rPr>
        <w:t>六、</w:t>
      </w:r>
      <w:r>
        <w:rPr>
          <w:rFonts w:hint="eastAsia" w:ascii="宋体" w:hAnsi="宋体" w:eastAsia="宋体" w:cs="宋体"/>
          <w:color w:val="auto"/>
          <w:sz w:val="21"/>
          <w:szCs w:val="21"/>
          <w:lang w:eastAsia="zh-CN"/>
        </w:rPr>
        <w:t>乙方可根据实际情况，按照相关规定对路内临时停车位进行相应的调整，报请甲方同意后，由乙方实施。</w:t>
      </w:r>
    </w:p>
    <w:p w14:paraId="33450740">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val="en-US" w:eastAsia="zh-CN"/>
        </w:rPr>
        <w:t>七、</w:t>
      </w:r>
      <w:r>
        <w:rPr>
          <w:rFonts w:hint="eastAsia" w:ascii="宋体" w:hAnsi="宋体" w:eastAsia="宋体" w:cs="宋体"/>
          <w:color w:val="auto"/>
          <w:sz w:val="21"/>
          <w:szCs w:val="21"/>
          <w:lang w:eastAsia="zh-CN"/>
        </w:rPr>
        <w:t>乙方在项目运营期间，出现物价上涨等因素导致运营成本增加的，乙方及项目公司有权向甲方及政府相关部门提出调价的建议。</w:t>
      </w:r>
    </w:p>
    <w:p w14:paraId="1960ECC2">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val="en-US" w:eastAsia="zh-CN"/>
        </w:rPr>
        <w:t>八、</w:t>
      </w:r>
      <w:r>
        <w:rPr>
          <w:rFonts w:hint="eastAsia" w:ascii="宋体" w:hAnsi="宋体" w:eastAsia="宋体" w:cs="宋体"/>
          <w:color w:val="auto"/>
          <w:sz w:val="21"/>
          <w:szCs w:val="21"/>
          <w:lang w:eastAsia="zh-CN"/>
        </w:rPr>
        <w:t>在委托运营期限内，乙方应接受甲方的监督、检查、指导。</w:t>
      </w:r>
    </w:p>
    <w:p w14:paraId="41640413">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val="en-US" w:eastAsia="zh-CN"/>
        </w:rPr>
        <w:t>九、</w:t>
      </w:r>
      <w:r>
        <w:rPr>
          <w:rFonts w:hint="eastAsia" w:ascii="宋体" w:hAnsi="宋体" w:eastAsia="宋体" w:cs="宋体"/>
          <w:color w:val="auto"/>
          <w:sz w:val="21"/>
          <w:szCs w:val="21"/>
          <w:lang w:eastAsia="zh-CN"/>
        </w:rPr>
        <w:t>乙方在项目实施过程中的施工及其他行为，需要进行行政审批或备案的，须按照相应程序完成审批或备案后方可进行，甲方予以积极协助。乙方在项目实施前，将项目勘察设计、监理等单位的选定方案报甲方批准后实施，并将与勘察设计、监理等单位签订的合同报甲方备案，实施过程中接受甲方监督。</w:t>
      </w:r>
    </w:p>
    <w:p w14:paraId="414769F1">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val="en-US" w:eastAsia="zh-CN"/>
        </w:rPr>
        <w:t>十、</w:t>
      </w:r>
      <w:r>
        <w:rPr>
          <w:rFonts w:hint="eastAsia" w:ascii="宋体" w:hAnsi="宋体" w:eastAsia="宋体" w:cs="宋体"/>
          <w:color w:val="auto"/>
          <w:sz w:val="21"/>
          <w:szCs w:val="21"/>
          <w:lang w:eastAsia="zh-CN"/>
        </w:rPr>
        <w:t>乙方在经营过程中应制定停车场（位）管理细则，依法依规制定和落实好安全管理规范，组织管理人员岗位培训，完善车辆登记资料，收费标准上公示牌公示，规范收费程序，建立收费档案。</w:t>
      </w:r>
    </w:p>
    <w:p w14:paraId="508E5DBE">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val="en-US" w:eastAsia="zh-CN"/>
        </w:rPr>
        <w:t>十一、</w:t>
      </w:r>
      <w:r>
        <w:rPr>
          <w:rFonts w:hint="eastAsia" w:ascii="宋体" w:hAnsi="宋体" w:eastAsia="宋体" w:cs="宋体"/>
          <w:color w:val="auto"/>
          <w:sz w:val="21"/>
          <w:szCs w:val="21"/>
          <w:lang w:eastAsia="zh-CN"/>
        </w:rPr>
        <w:t>乙方经营管理过程中，因城区建设或管理需要导致路内临时停车位急剧减少或无法实施收费的，应及时告知甲方，经双方协商后，可按实际减少的车位数比例减少相应管理服务费。</w:t>
      </w:r>
    </w:p>
    <w:p w14:paraId="235A5D15">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val="en-US" w:eastAsia="zh-CN"/>
        </w:rPr>
        <w:t>十二、</w:t>
      </w:r>
      <w:r>
        <w:rPr>
          <w:rFonts w:hint="eastAsia" w:ascii="宋体" w:hAnsi="宋体" w:eastAsia="宋体" w:cs="宋体"/>
          <w:color w:val="auto"/>
          <w:sz w:val="21"/>
          <w:szCs w:val="21"/>
          <w:lang w:eastAsia="zh-CN"/>
        </w:rPr>
        <w:t>运营期间内，在保证系统功能正常使用的情况下，乙方可自行选择适宜的设备进行替代升级并保持系统的先进性。</w:t>
      </w:r>
    </w:p>
    <w:p w14:paraId="61EE5D67">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val="en-US" w:eastAsia="zh-CN"/>
        </w:rPr>
        <w:t>十三、</w:t>
      </w:r>
      <w:r>
        <w:rPr>
          <w:rFonts w:hint="eastAsia" w:ascii="宋体" w:hAnsi="宋体" w:eastAsia="宋体" w:cs="宋体"/>
          <w:color w:val="auto"/>
          <w:sz w:val="21"/>
          <w:szCs w:val="21"/>
          <w:lang w:eastAsia="zh-CN"/>
        </w:rPr>
        <w:t>乙方在施工及后期运营期间，因管理和经营产生的人事纠纷和其他民事纠纷，以及违反相关行政管理规定造成的纠纷，由乙方自行负责解决，并承担全部法律责任。</w:t>
      </w:r>
    </w:p>
    <w:p w14:paraId="46DCBA2A">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val="en-US" w:eastAsia="zh-CN"/>
        </w:rPr>
        <w:t>十四、</w:t>
      </w:r>
      <w:r>
        <w:rPr>
          <w:rFonts w:hint="eastAsia" w:ascii="宋体" w:hAnsi="宋体" w:eastAsia="宋体" w:cs="宋体"/>
          <w:color w:val="auto"/>
          <w:sz w:val="21"/>
          <w:szCs w:val="21"/>
          <w:lang w:eastAsia="zh-CN"/>
        </w:rPr>
        <w:t>在运营期内，乙方必须遵守国家和省、市及区政府的各项法规政策，自行承担费用、责任和风险，管理、运营和维护本项目设施，依法经营，认真履行经营管理责任，应确保符合相关技术标准。运营期内未经甲方同意，乙方不得擅自决定中断项目设施运营和维护、解散、歇业。</w:t>
      </w:r>
    </w:p>
    <w:p w14:paraId="611B5D03">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val="en-US" w:eastAsia="zh-CN"/>
        </w:rPr>
        <w:t>十五、</w:t>
      </w:r>
      <w:r>
        <w:rPr>
          <w:rFonts w:hint="eastAsia" w:ascii="宋体" w:hAnsi="宋体" w:eastAsia="宋体" w:cs="宋体"/>
          <w:color w:val="auto"/>
          <w:sz w:val="21"/>
          <w:szCs w:val="21"/>
          <w:lang w:eastAsia="zh-CN"/>
        </w:rPr>
        <w:t>执行因甲方要求或法律变更导致的项目建设、运营规定和办法的变更。</w:t>
      </w:r>
    </w:p>
    <w:p w14:paraId="5634EC43">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val="en-US" w:eastAsia="zh-CN"/>
        </w:rPr>
        <w:t>十六、</w:t>
      </w:r>
      <w:r>
        <w:rPr>
          <w:rFonts w:hint="eastAsia" w:ascii="宋体" w:hAnsi="宋体" w:eastAsia="宋体" w:cs="宋体"/>
          <w:color w:val="auto"/>
          <w:sz w:val="21"/>
          <w:szCs w:val="21"/>
          <w:lang w:eastAsia="zh-CN"/>
        </w:rPr>
        <w:t>非经甲方同意，不得将收费权转让给第三方，不得将乙方在本协议项下的权利和利益及之上设置担保权益。</w:t>
      </w:r>
    </w:p>
    <w:p w14:paraId="3C2A4DEF">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val="en-US" w:eastAsia="zh-CN"/>
        </w:rPr>
        <w:t>十七、</w:t>
      </w:r>
      <w:r>
        <w:rPr>
          <w:rFonts w:hint="eastAsia" w:ascii="宋体" w:hAnsi="宋体" w:eastAsia="宋体" w:cs="宋体"/>
          <w:color w:val="auto"/>
          <w:sz w:val="21"/>
          <w:szCs w:val="21"/>
          <w:lang w:eastAsia="zh-CN"/>
        </w:rPr>
        <w:t>在项目特许经营期期满后，乙方按照本协议约定将项目设施完好无偿移交给甲方或政府指定机构，保证项目设施处于良好可使用状态，且其拥有的项目设施上未设有任何抵押、质押等担保权益或产权约束，亦不得存在任何种类和性质的索赔权。此外，乙方应行使法律、法规、当地政府的政策和文件及本协议赋予的其他权利并履行规定的其他义</w:t>
      </w:r>
      <w:bookmarkStart w:id="8" w:name="_GoBack"/>
      <w:bookmarkEnd w:id="8"/>
      <w:r>
        <w:rPr>
          <w:rFonts w:hint="eastAsia" w:ascii="宋体" w:hAnsi="宋体" w:eastAsia="宋体" w:cs="宋体"/>
          <w:color w:val="auto"/>
          <w:sz w:val="21"/>
          <w:szCs w:val="21"/>
          <w:lang w:eastAsia="zh-CN"/>
        </w:rPr>
        <w:t>务。</w:t>
      </w:r>
    </w:p>
    <w:p w14:paraId="72B53980">
      <w:pPr>
        <w:keepNext w:val="0"/>
        <w:keepLines w:val="0"/>
        <w:pageBreakBefore w:val="0"/>
        <w:kinsoku/>
        <w:wordWrap/>
        <w:topLinePunct w:val="0"/>
        <w:bidi w:val="0"/>
        <w:snapToGrid/>
        <w:spacing w:line="460" w:lineRule="exact"/>
        <w:jc w:val="center"/>
        <w:rPr>
          <w:rFonts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 xml:space="preserve">第三章 </w:t>
      </w:r>
      <w:r>
        <w:rPr>
          <w:rFonts w:hint="eastAsia" w:ascii="宋体" w:hAnsi="宋体" w:eastAsia="宋体" w:cs="宋体"/>
          <w:b/>
          <w:bCs/>
          <w:color w:val="auto"/>
          <w:sz w:val="21"/>
          <w:szCs w:val="21"/>
          <w:lang w:val="en-US" w:eastAsia="zh-CN"/>
        </w:rPr>
        <w:t xml:space="preserve"> </w:t>
      </w:r>
      <w:r>
        <w:rPr>
          <w:rFonts w:hint="eastAsia" w:ascii="宋体" w:hAnsi="宋体" w:eastAsia="宋体" w:cs="宋体"/>
          <w:b/>
          <w:bCs/>
          <w:color w:val="auto"/>
          <w:sz w:val="21"/>
          <w:szCs w:val="21"/>
          <w:lang w:eastAsia="zh-CN"/>
        </w:rPr>
        <w:t>经营范围、期限及管理服务费</w:t>
      </w:r>
    </w:p>
    <w:p w14:paraId="1E507B7F">
      <w:pPr>
        <w:keepNext w:val="0"/>
        <w:keepLines w:val="0"/>
        <w:pageBreakBefore w:val="0"/>
        <w:kinsoku/>
        <w:wordWrap/>
        <w:topLinePunct w:val="0"/>
        <w:bidi w:val="0"/>
        <w:snapToGrid/>
        <w:spacing w:line="460" w:lineRule="exact"/>
        <w:ind w:firstLine="422" w:firstLineChars="200"/>
        <w:rPr>
          <w:rFonts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第八条 经营范围</w:t>
      </w:r>
    </w:p>
    <w:p w14:paraId="20741F3C">
      <w:pPr>
        <w:keepNext w:val="0"/>
        <w:keepLines w:val="0"/>
        <w:pageBreakBefore w:val="0"/>
        <w:kinsoku/>
        <w:wordWrap/>
        <w:topLinePunct w:val="0"/>
        <w:bidi w:val="0"/>
        <w:snapToGrid/>
        <w:spacing w:line="460" w:lineRule="exact"/>
        <w:ind w:firstLine="420" w:firstLineChars="200"/>
        <w:rPr>
          <w:rFonts w:hint="eastAsia" w:ascii="宋体" w:hAnsi="宋体" w:eastAsia="宋体" w:cs="宋体"/>
          <w:color w:val="auto"/>
          <w:sz w:val="21"/>
          <w:szCs w:val="21"/>
          <w:u w:val="single"/>
          <w:lang w:val="en-US" w:eastAsia="zh-CN"/>
        </w:rPr>
      </w:pPr>
      <w:r>
        <w:rPr>
          <w:rFonts w:hint="eastAsia" w:ascii="宋体" w:hAnsi="宋体" w:cs="宋体"/>
          <w:color w:val="auto"/>
          <w:sz w:val="21"/>
          <w:szCs w:val="21"/>
          <w:lang w:val="en-US" w:eastAsia="zh-CN"/>
        </w:rPr>
        <w:t>一、</w:t>
      </w:r>
      <w:r>
        <w:rPr>
          <w:rFonts w:hint="eastAsia" w:ascii="宋体" w:hAnsi="宋体" w:eastAsia="宋体" w:cs="宋体"/>
          <w:color w:val="auto"/>
          <w:sz w:val="21"/>
          <w:szCs w:val="21"/>
          <w:lang w:eastAsia="zh-CN"/>
        </w:rPr>
        <w:t>经营范围：</w:t>
      </w:r>
      <w:r>
        <w:rPr>
          <w:rFonts w:hint="eastAsia" w:ascii="宋体" w:hAnsi="宋体" w:eastAsia="宋体" w:cs="宋体"/>
          <w:color w:val="auto"/>
          <w:sz w:val="21"/>
          <w:szCs w:val="21"/>
          <w:u w:val="single"/>
          <w:lang w:val="en-US" w:eastAsia="zh-CN"/>
        </w:rPr>
        <w:t xml:space="preserve">                </w:t>
      </w:r>
    </w:p>
    <w:p w14:paraId="091ECD48">
      <w:pPr>
        <w:keepNext w:val="0"/>
        <w:keepLines w:val="0"/>
        <w:pageBreakBefore w:val="0"/>
        <w:kinsoku/>
        <w:wordWrap/>
        <w:topLinePunct w:val="0"/>
        <w:bidi w:val="0"/>
        <w:snapToGrid/>
        <w:spacing w:line="460" w:lineRule="exact"/>
        <w:ind w:firstLine="420" w:firstLineChars="200"/>
        <w:rPr>
          <w:rFonts w:hint="eastAsia" w:ascii="宋体" w:hAnsi="宋体" w:eastAsia="宋体" w:cs="宋体"/>
          <w:color w:val="auto"/>
          <w:sz w:val="21"/>
          <w:szCs w:val="21"/>
          <w:u w:val="single"/>
          <w:lang w:val="en-US" w:eastAsia="zh-CN"/>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一</w:t>
      </w:r>
      <w:r>
        <w:rPr>
          <w:rFonts w:hint="eastAsia" w:ascii="宋体" w:hAnsi="宋体" w:cs="宋体"/>
          <w:color w:val="auto"/>
          <w:sz w:val="21"/>
          <w:szCs w:val="21"/>
          <w:lang w:eastAsia="zh-CN"/>
        </w:rPr>
        <w:t>）</w:t>
      </w:r>
      <w:r>
        <w:rPr>
          <w:rFonts w:hint="eastAsia" w:ascii="宋体" w:hAnsi="宋体" w:eastAsia="宋体" w:cs="宋体"/>
          <w:color w:val="auto"/>
          <w:sz w:val="21"/>
          <w:szCs w:val="21"/>
          <w:lang w:eastAsia="zh-CN"/>
        </w:rPr>
        <w:t>注册资本：</w:t>
      </w:r>
      <w:r>
        <w:rPr>
          <w:rFonts w:hint="eastAsia" w:ascii="宋体" w:hAnsi="宋体" w:eastAsia="宋体" w:cs="宋体"/>
          <w:color w:val="auto"/>
          <w:sz w:val="21"/>
          <w:szCs w:val="21"/>
          <w:u w:val="single"/>
          <w:lang w:val="en-US" w:eastAsia="zh-CN"/>
        </w:rPr>
        <w:t xml:space="preserve">                </w:t>
      </w:r>
      <w:r>
        <w:rPr>
          <w:rFonts w:hint="eastAsia" w:ascii="宋体" w:hAnsi="宋体" w:cs="宋体"/>
          <w:color w:val="auto"/>
          <w:sz w:val="21"/>
          <w:szCs w:val="21"/>
          <w:u w:val="single"/>
          <w:lang w:val="en-US" w:eastAsia="zh-CN"/>
        </w:rPr>
        <w:t>，</w:t>
      </w:r>
      <w:r>
        <w:rPr>
          <w:rFonts w:hint="eastAsia" w:ascii="宋体" w:hAnsi="宋体" w:eastAsia="宋体" w:cs="宋体"/>
          <w:color w:val="auto"/>
          <w:sz w:val="21"/>
          <w:szCs w:val="21"/>
          <w:lang w:eastAsia="zh-CN"/>
        </w:rPr>
        <w:t>股东出资方式：</w:t>
      </w:r>
      <w:r>
        <w:rPr>
          <w:rFonts w:hint="eastAsia" w:ascii="宋体" w:hAnsi="宋体" w:eastAsia="宋体" w:cs="宋体"/>
          <w:color w:val="auto"/>
          <w:sz w:val="21"/>
          <w:szCs w:val="21"/>
          <w:u w:val="single"/>
          <w:lang w:val="en-US" w:eastAsia="zh-CN"/>
        </w:rPr>
        <w:t xml:space="preserve">            </w:t>
      </w:r>
    </w:p>
    <w:p w14:paraId="28AC3C2F">
      <w:pPr>
        <w:keepNext w:val="0"/>
        <w:keepLines w:val="0"/>
        <w:pageBreakBefore w:val="0"/>
        <w:kinsoku/>
        <w:wordWrap/>
        <w:topLinePunct w:val="0"/>
        <w:bidi w:val="0"/>
        <w:snapToGrid/>
        <w:spacing w:line="460" w:lineRule="exact"/>
        <w:ind w:firstLine="420" w:firstLineChars="200"/>
        <w:rPr>
          <w:rFonts w:hint="eastAsia" w:ascii="宋体" w:hAnsi="宋体" w:eastAsia="宋体" w:cs="宋体"/>
          <w:color w:val="auto"/>
          <w:sz w:val="21"/>
          <w:szCs w:val="21"/>
          <w:lang w:eastAsia="zh-CN"/>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二</w:t>
      </w:r>
      <w:r>
        <w:rPr>
          <w:rFonts w:hint="eastAsia" w:ascii="宋体" w:hAnsi="宋体" w:cs="宋体"/>
          <w:color w:val="auto"/>
          <w:sz w:val="21"/>
          <w:szCs w:val="21"/>
          <w:lang w:eastAsia="zh-CN"/>
        </w:rPr>
        <w:t>）</w:t>
      </w:r>
      <w:r>
        <w:rPr>
          <w:rFonts w:hint="eastAsia" w:ascii="宋体" w:hAnsi="宋体" w:eastAsia="宋体" w:cs="宋体"/>
          <w:color w:val="auto"/>
          <w:sz w:val="21"/>
          <w:szCs w:val="21"/>
          <w:lang w:eastAsia="zh-CN"/>
        </w:rPr>
        <w:t>出资比例：</w:t>
      </w:r>
      <w:r>
        <w:rPr>
          <w:rFonts w:hint="eastAsia" w:ascii="宋体" w:hAnsi="宋体" w:eastAsia="宋体" w:cs="宋体"/>
          <w:color w:val="auto"/>
          <w:sz w:val="21"/>
          <w:szCs w:val="21"/>
          <w:u w:val="single"/>
          <w:lang w:val="en-US" w:eastAsia="zh-CN"/>
        </w:rPr>
        <w:t xml:space="preserve">                </w:t>
      </w:r>
      <w:r>
        <w:rPr>
          <w:rFonts w:hint="eastAsia" w:ascii="宋体" w:hAnsi="宋体" w:cs="宋体"/>
          <w:color w:val="auto"/>
          <w:sz w:val="21"/>
          <w:szCs w:val="21"/>
          <w:u w:val="single"/>
          <w:lang w:val="en-US" w:eastAsia="zh-CN"/>
        </w:rPr>
        <w:t>，</w:t>
      </w:r>
      <w:r>
        <w:rPr>
          <w:rFonts w:hint="eastAsia" w:ascii="宋体" w:hAnsi="宋体" w:eastAsia="宋体" w:cs="宋体"/>
          <w:color w:val="auto"/>
          <w:sz w:val="21"/>
          <w:szCs w:val="21"/>
          <w:lang w:eastAsia="zh-CN"/>
        </w:rPr>
        <w:t>股权转让：</w:t>
      </w:r>
      <w:r>
        <w:rPr>
          <w:rFonts w:hint="eastAsia" w:ascii="宋体" w:hAnsi="宋体" w:eastAsia="宋体" w:cs="宋体"/>
          <w:color w:val="auto"/>
          <w:sz w:val="21"/>
          <w:szCs w:val="21"/>
          <w:u w:val="single"/>
          <w:lang w:val="en-US" w:eastAsia="zh-CN"/>
        </w:rPr>
        <w:t xml:space="preserve">                </w:t>
      </w:r>
    </w:p>
    <w:p w14:paraId="5040F7E3">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三</w:t>
      </w:r>
      <w:r>
        <w:rPr>
          <w:rFonts w:hint="eastAsia" w:ascii="宋体" w:hAnsi="宋体" w:cs="宋体"/>
          <w:color w:val="auto"/>
          <w:sz w:val="21"/>
          <w:szCs w:val="21"/>
          <w:lang w:eastAsia="zh-CN"/>
        </w:rPr>
        <w:t>）</w:t>
      </w:r>
      <w:r>
        <w:rPr>
          <w:rFonts w:hint="eastAsia" w:ascii="宋体" w:hAnsi="宋体" w:eastAsia="宋体" w:cs="宋体"/>
          <w:color w:val="auto"/>
          <w:sz w:val="21"/>
          <w:szCs w:val="21"/>
          <w:lang w:eastAsia="zh-CN"/>
        </w:rPr>
        <w:t>项目地点：</w:t>
      </w:r>
      <w:r>
        <w:rPr>
          <w:rFonts w:hint="eastAsia" w:ascii="宋体" w:hAnsi="宋体" w:eastAsia="宋体" w:cs="宋体"/>
          <w:color w:val="auto"/>
          <w:sz w:val="21"/>
          <w:szCs w:val="21"/>
          <w:u w:val="single"/>
          <w:lang w:val="en-US" w:eastAsia="zh-CN"/>
        </w:rPr>
        <w:t xml:space="preserve">                </w:t>
      </w:r>
    </w:p>
    <w:p w14:paraId="6031EDCD">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u w:val="single"/>
          <w:lang w:eastAsia="zh-CN"/>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四</w:t>
      </w:r>
      <w:r>
        <w:rPr>
          <w:rFonts w:hint="eastAsia" w:ascii="宋体" w:hAnsi="宋体" w:cs="宋体"/>
          <w:color w:val="auto"/>
          <w:sz w:val="21"/>
          <w:szCs w:val="21"/>
          <w:lang w:eastAsia="zh-CN"/>
        </w:rPr>
        <w:t>）</w:t>
      </w:r>
      <w:r>
        <w:rPr>
          <w:rFonts w:hint="eastAsia" w:ascii="宋体" w:hAnsi="宋体" w:eastAsia="宋体" w:cs="宋体"/>
          <w:color w:val="auto"/>
          <w:sz w:val="21"/>
          <w:szCs w:val="21"/>
          <w:lang w:eastAsia="zh-CN"/>
        </w:rPr>
        <w:t>项目主要建设内容：</w:t>
      </w:r>
      <w:r>
        <w:rPr>
          <w:rFonts w:hint="eastAsia" w:ascii="宋体" w:hAnsi="宋体" w:eastAsia="宋体" w:cs="宋体"/>
          <w:color w:val="auto"/>
          <w:sz w:val="21"/>
          <w:szCs w:val="21"/>
          <w:u w:val="single"/>
          <w:lang w:val="en-US" w:eastAsia="zh-CN"/>
        </w:rPr>
        <w:t xml:space="preserve">                </w:t>
      </w:r>
    </w:p>
    <w:p w14:paraId="43EA4871">
      <w:pPr>
        <w:keepNext w:val="0"/>
        <w:keepLines w:val="0"/>
        <w:pageBreakBefore w:val="0"/>
        <w:kinsoku/>
        <w:wordWrap/>
        <w:topLinePunct w:val="0"/>
        <w:bidi w:val="0"/>
        <w:snapToGrid/>
        <w:spacing w:line="460" w:lineRule="exact"/>
        <w:ind w:firstLine="42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本项目由中标人或其指定的下属公司成立的项目运营公司投资建设和运营。特许经营期</w:t>
      </w:r>
    </w:p>
    <w:p w14:paraId="0F7D8532">
      <w:pPr>
        <w:keepNext w:val="0"/>
        <w:keepLines w:val="0"/>
        <w:pageBreakBefore w:val="0"/>
        <w:kinsoku/>
        <w:wordWrap/>
        <w:topLinePunct w:val="0"/>
        <w:bidi w:val="0"/>
        <w:snapToGrid/>
        <w:spacing w:line="460" w:lineRule="exact"/>
        <w:rPr>
          <w:rFonts w:ascii="宋体" w:hAnsi="宋体" w:eastAsia="宋体" w:cs="宋体"/>
          <w:color w:val="auto"/>
          <w:sz w:val="21"/>
          <w:szCs w:val="21"/>
          <w:lang w:eastAsia="zh-CN"/>
        </w:rPr>
      </w:pPr>
      <w:r>
        <w:rPr>
          <w:rFonts w:hint="eastAsia" w:ascii="宋体" w:hAnsi="宋体" w:eastAsia="宋体" w:cs="宋体"/>
          <w:color w:val="auto"/>
          <w:sz w:val="21"/>
          <w:szCs w:val="21"/>
          <w:u w:val="single"/>
          <w:lang w:eastAsia="zh-CN"/>
        </w:rPr>
        <w:t xml:space="preserve">限 </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single"/>
          <w:lang w:eastAsia="zh-CN"/>
        </w:rPr>
        <w:t>年（其中建设期</w:t>
      </w:r>
      <w:r>
        <w:rPr>
          <w:rFonts w:hint="eastAsia" w:ascii="宋体" w:hAnsi="宋体" w:eastAsia="宋体" w:cs="宋体"/>
          <w:color w:val="auto"/>
          <w:sz w:val="21"/>
          <w:szCs w:val="21"/>
          <w:u w:val="single"/>
          <w:lang w:val="en-US" w:eastAsia="zh-CN"/>
        </w:rPr>
        <w:t xml:space="preserve">  </w:t>
      </w:r>
      <w:r>
        <w:rPr>
          <w:rFonts w:hint="eastAsia" w:ascii="宋体" w:hAnsi="宋体" w:cs="宋体"/>
          <w:color w:val="auto"/>
          <w:sz w:val="21"/>
          <w:szCs w:val="21"/>
          <w:u w:val="single"/>
          <w:lang w:val="en-US" w:eastAsia="zh-CN"/>
        </w:rPr>
        <w:t xml:space="preserve">     </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single"/>
          <w:lang w:eastAsia="zh-CN"/>
        </w:rPr>
        <w:t>年，运营期</w:t>
      </w:r>
      <w:r>
        <w:rPr>
          <w:rFonts w:hint="eastAsia" w:ascii="宋体" w:hAnsi="宋体" w:eastAsia="宋体" w:cs="宋体"/>
          <w:color w:val="auto"/>
          <w:sz w:val="21"/>
          <w:szCs w:val="21"/>
          <w:u w:val="single"/>
          <w:lang w:val="en-US" w:eastAsia="zh-CN"/>
        </w:rPr>
        <w:t xml:space="preserve">  </w:t>
      </w:r>
      <w:r>
        <w:rPr>
          <w:rFonts w:hint="eastAsia" w:ascii="宋体" w:hAnsi="宋体" w:cs="宋体"/>
          <w:color w:val="auto"/>
          <w:sz w:val="21"/>
          <w:szCs w:val="21"/>
          <w:u w:val="single"/>
          <w:lang w:val="en-US" w:eastAsia="zh-CN"/>
        </w:rPr>
        <w:t xml:space="preserve">     </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single"/>
          <w:lang w:eastAsia="zh-CN"/>
        </w:rPr>
        <w:t>年）</w:t>
      </w:r>
      <w:r>
        <w:rPr>
          <w:rFonts w:hint="eastAsia" w:ascii="宋体" w:hAnsi="宋体" w:eastAsia="宋体" w:cs="宋体"/>
          <w:color w:val="auto"/>
          <w:sz w:val="21"/>
          <w:szCs w:val="21"/>
          <w:lang w:eastAsia="zh-CN"/>
        </w:rPr>
        <w:t>，合同经营期限届满时，投资建设的所有资产及设施设备经检测完好后无偿归甲方所有。</w:t>
      </w:r>
    </w:p>
    <w:p w14:paraId="615631B8">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val="en-US" w:eastAsia="zh-CN"/>
        </w:rPr>
        <w:t>二、</w:t>
      </w:r>
      <w:r>
        <w:rPr>
          <w:rFonts w:hint="eastAsia" w:ascii="宋体" w:hAnsi="宋体" w:eastAsia="宋体" w:cs="宋体"/>
          <w:color w:val="auto"/>
          <w:sz w:val="21"/>
          <w:szCs w:val="21"/>
          <w:lang w:eastAsia="zh-CN"/>
        </w:rPr>
        <w:t>甲方提供的条件</w:t>
      </w:r>
    </w:p>
    <w:p w14:paraId="638B9554">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一</w:t>
      </w:r>
      <w:r>
        <w:rPr>
          <w:rFonts w:hint="eastAsia" w:ascii="宋体" w:hAnsi="宋体" w:cs="宋体"/>
          <w:color w:val="auto"/>
          <w:sz w:val="21"/>
          <w:szCs w:val="21"/>
          <w:lang w:eastAsia="zh-CN"/>
        </w:rPr>
        <w:t>）</w:t>
      </w:r>
      <w:r>
        <w:rPr>
          <w:rFonts w:hint="eastAsia" w:ascii="宋体" w:hAnsi="宋体" w:eastAsia="宋体" w:cs="宋体"/>
          <w:color w:val="auto"/>
          <w:sz w:val="21"/>
          <w:szCs w:val="21"/>
          <w:lang w:eastAsia="zh-CN"/>
        </w:rPr>
        <w:t>甲方授予乙方实施项目设计、投资、建设、运营和维护本项目的经营权，乙方通过组建项目公司实施经营项目。</w:t>
      </w:r>
    </w:p>
    <w:p w14:paraId="1F8D9514">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二</w:t>
      </w:r>
      <w:r>
        <w:rPr>
          <w:rFonts w:hint="eastAsia" w:ascii="宋体" w:hAnsi="宋体" w:cs="宋体"/>
          <w:color w:val="auto"/>
          <w:sz w:val="21"/>
          <w:szCs w:val="21"/>
          <w:lang w:eastAsia="zh-CN"/>
        </w:rPr>
        <w:t>）</w:t>
      </w:r>
      <w:r>
        <w:rPr>
          <w:rFonts w:hint="eastAsia" w:ascii="宋体" w:hAnsi="宋体" w:eastAsia="宋体" w:cs="宋体"/>
          <w:color w:val="auto"/>
          <w:sz w:val="21"/>
          <w:szCs w:val="21"/>
          <w:lang w:eastAsia="zh-CN"/>
        </w:rPr>
        <w:t>合作期内，本项目土地由政府批准提供使用权；</w:t>
      </w:r>
    </w:p>
    <w:p w14:paraId="3B225831">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三</w:t>
      </w:r>
      <w:r>
        <w:rPr>
          <w:rFonts w:hint="eastAsia" w:ascii="宋体" w:hAnsi="宋体" w:cs="宋体"/>
          <w:color w:val="auto"/>
          <w:sz w:val="21"/>
          <w:szCs w:val="21"/>
          <w:lang w:eastAsia="zh-CN"/>
        </w:rPr>
        <w:t>）</w:t>
      </w:r>
      <w:r>
        <w:rPr>
          <w:rFonts w:hint="eastAsia" w:ascii="宋体" w:hAnsi="宋体" w:eastAsia="宋体" w:cs="宋体"/>
          <w:color w:val="auto"/>
          <w:sz w:val="21"/>
          <w:szCs w:val="21"/>
          <w:lang w:eastAsia="zh-CN"/>
        </w:rPr>
        <w:t>合作期内，为提高项目实施效率及正常运营，甲方在合法合规的前提下为乙方提供必要的协助工作。</w:t>
      </w:r>
    </w:p>
    <w:p w14:paraId="3B678C23">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四</w:t>
      </w:r>
      <w:r>
        <w:rPr>
          <w:rFonts w:hint="eastAsia" w:ascii="宋体" w:hAnsi="宋体" w:cs="宋体"/>
          <w:color w:val="auto"/>
          <w:sz w:val="21"/>
          <w:szCs w:val="21"/>
          <w:lang w:eastAsia="zh-CN"/>
        </w:rPr>
        <w:t>）</w:t>
      </w:r>
      <w:r>
        <w:rPr>
          <w:rFonts w:hint="eastAsia" w:ascii="宋体" w:hAnsi="宋体" w:eastAsia="宋体" w:cs="宋体"/>
          <w:color w:val="auto"/>
          <w:sz w:val="21"/>
          <w:szCs w:val="21"/>
          <w:lang w:eastAsia="zh-CN"/>
        </w:rPr>
        <w:t>合作期内，甲方可协助乙方在合法合规的前提下，最大限度获得政策优惠。</w:t>
      </w:r>
    </w:p>
    <w:p w14:paraId="26261774">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val="en-US" w:eastAsia="zh-CN"/>
        </w:rPr>
        <w:t>三、</w:t>
      </w:r>
      <w:r>
        <w:rPr>
          <w:rFonts w:hint="eastAsia" w:ascii="宋体" w:hAnsi="宋体" w:eastAsia="宋体" w:cs="宋体"/>
          <w:color w:val="auto"/>
          <w:sz w:val="21"/>
          <w:szCs w:val="21"/>
          <w:lang w:eastAsia="zh-CN"/>
        </w:rPr>
        <w:t>经营权的内容</w:t>
      </w:r>
    </w:p>
    <w:p w14:paraId="675CCDE2">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按照本合同的规定，甲方授予乙方的经营权的内容为：</w:t>
      </w:r>
    </w:p>
    <w:p w14:paraId="51C53E3D">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一</w:t>
      </w:r>
      <w:r>
        <w:rPr>
          <w:rFonts w:hint="eastAsia" w:ascii="宋体" w:hAnsi="宋体" w:cs="宋体"/>
          <w:color w:val="auto"/>
          <w:sz w:val="21"/>
          <w:szCs w:val="21"/>
          <w:lang w:eastAsia="zh-CN"/>
        </w:rPr>
        <w:t>）</w:t>
      </w:r>
      <w:r>
        <w:rPr>
          <w:rFonts w:hint="eastAsia" w:ascii="宋体" w:hAnsi="宋体" w:eastAsia="宋体" w:cs="宋体"/>
          <w:color w:val="auto"/>
          <w:sz w:val="21"/>
          <w:szCs w:val="21"/>
          <w:lang w:eastAsia="zh-CN"/>
        </w:rPr>
        <w:t xml:space="preserve">在运营期内，对停车场、路边停车位及相关配套设施进行设计、投融资、建设、运营和维护的权利。 </w:t>
      </w:r>
    </w:p>
    <w:p w14:paraId="07E5B018">
      <w:pPr>
        <w:keepNext w:val="0"/>
        <w:keepLines w:val="0"/>
        <w:pageBreakBefore w:val="0"/>
        <w:kinsoku/>
        <w:wordWrap/>
        <w:topLinePunct w:val="0"/>
        <w:bidi w:val="0"/>
        <w:snapToGrid/>
        <w:spacing w:line="460" w:lineRule="exact"/>
        <w:ind w:firstLine="420" w:firstLineChars="200"/>
        <w:rPr>
          <w:rFonts w:hint="eastAsia" w:ascii="宋体" w:hAnsi="宋体" w:cs="宋体"/>
          <w:color w:val="auto"/>
          <w:sz w:val="21"/>
          <w:szCs w:val="21"/>
          <w:lang w:val="en-US" w:eastAsia="zh-CN"/>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二</w:t>
      </w:r>
      <w:r>
        <w:rPr>
          <w:rFonts w:hint="eastAsia" w:ascii="宋体" w:hAnsi="宋体" w:cs="宋体"/>
          <w:color w:val="auto"/>
          <w:sz w:val="21"/>
          <w:szCs w:val="21"/>
          <w:lang w:eastAsia="zh-CN"/>
        </w:rPr>
        <w:t>）</w:t>
      </w:r>
      <w:r>
        <w:rPr>
          <w:rFonts w:hint="eastAsia" w:ascii="宋体" w:hAnsi="宋体" w:eastAsia="宋体" w:cs="宋体"/>
          <w:color w:val="auto"/>
          <w:sz w:val="21"/>
          <w:szCs w:val="21"/>
          <w:lang w:eastAsia="zh-CN"/>
        </w:rPr>
        <w:t>在运营期内向停车场、路边停车位及相关配套设施的使用者收取使用费或其他有偿使用费用（如停车费、财政补贴收入（如有）等服务费）。收费标准由政府制定后执行。</w:t>
      </w:r>
      <w:r>
        <w:rPr>
          <w:rFonts w:hint="eastAsia" w:ascii="宋体" w:hAnsi="宋体" w:cs="宋体"/>
          <w:color w:val="auto"/>
          <w:sz w:val="21"/>
          <w:szCs w:val="21"/>
          <w:lang w:val="en-US" w:eastAsia="zh-CN"/>
        </w:rPr>
        <w:t xml:space="preserve">  </w:t>
      </w:r>
    </w:p>
    <w:p w14:paraId="07C37256">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三</w:t>
      </w:r>
      <w:r>
        <w:rPr>
          <w:rFonts w:hint="eastAsia" w:ascii="宋体" w:hAnsi="宋体" w:cs="宋体"/>
          <w:color w:val="auto"/>
          <w:sz w:val="21"/>
          <w:szCs w:val="21"/>
          <w:lang w:eastAsia="zh-CN"/>
        </w:rPr>
        <w:t>）</w:t>
      </w:r>
      <w:r>
        <w:rPr>
          <w:rFonts w:hint="eastAsia" w:ascii="宋体" w:hAnsi="宋体" w:eastAsia="宋体" w:cs="宋体"/>
          <w:color w:val="auto"/>
          <w:sz w:val="21"/>
          <w:szCs w:val="21"/>
          <w:lang w:eastAsia="zh-CN"/>
        </w:rPr>
        <w:t>运营期限满后，按照本合同的约定，无偿将本项目全部资产、设施和经营权移交给甲方。</w:t>
      </w:r>
    </w:p>
    <w:p w14:paraId="109A6B8F">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四</w:t>
      </w:r>
      <w:r>
        <w:rPr>
          <w:rFonts w:hint="eastAsia" w:ascii="宋体" w:hAnsi="宋体" w:cs="宋体"/>
          <w:color w:val="auto"/>
          <w:sz w:val="21"/>
          <w:szCs w:val="21"/>
          <w:lang w:eastAsia="zh-CN"/>
        </w:rPr>
        <w:t>）</w:t>
      </w:r>
      <w:r>
        <w:rPr>
          <w:rFonts w:hint="eastAsia" w:ascii="宋体" w:hAnsi="宋体" w:eastAsia="宋体" w:cs="宋体"/>
          <w:color w:val="auto"/>
          <w:sz w:val="21"/>
          <w:szCs w:val="21"/>
          <w:lang w:eastAsia="zh-CN"/>
        </w:rPr>
        <w:t>经甲方批准的其他经营活动。</w:t>
      </w:r>
    </w:p>
    <w:p w14:paraId="73FC2B4E">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val="en-US" w:eastAsia="zh-CN"/>
        </w:rPr>
        <w:t>四、</w:t>
      </w:r>
      <w:r>
        <w:rPr>
          <w:rFonts w:hint="eastAsia" w:ascii="宋体" w:hAnsi="宋体" w:eastAsia="宋体" w:cs="宋体"/>
          <w:color w:val="auto"/>
          <w:sz w:val="21"/>
          <w:szCs w:val="21"/>
          <w:lang w:eastAsia="zh-CN"/>
        </w:rPr>
        <w:t>项目资产权属</w:t>
      </w:r>
    </w:p>
    <w:p w14:paraId="2EEB9061">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一</w:t>
      </w:r>
      <w:r>
        <w:rPr>
          <w:rFonts w:hint="eastAsia" w:ascii="宋体" w:hAnsi="宋体" w:cs="宋体"/>
          <w:color w:val="auto"/>
          <w:sz w:val="21"/>
          <w:szCs w:val="21"/>
          <w:lang w:eastAsia="zh-CN"/>
        </w:rPr>
        <w:t>）</w:t>
      </w:r>
      <w:r>
        <w:rPr>
          <w:rFonts w:hint="eastAsia" w:ascii="宋体" w:hAnsi="宋体" w:eastAsia="宋体" w:cs="宋体"/>
          <w:color w:val="auto"/>
          <w:sz w:val="21"/>
          <w:szCs w:val="21"/>
          <w:lang w:eastAsia="zh-CN"/>
        </w:rPr>
        <w:t>本项目土地使用权归属于甲方或政府方指定机构。在运营期内，乙方使用本项目用地。</w:t>
      </w:r>
    </w:p>
    <w:p w14:paraId="2DDB56CB">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二</w:t>
      </w:r>
      <w:r>
        <w:rPr>
          <w:rFonts w:hint="eastAsia" w:ascii="宋体" w:hAnsi="宋体" w:cs="宋体"/>
          <w:color w:val="auto"/>
          <w:sz w:val="21"/>
          <w:szCs w:val="21"/>
          <w:lang w:eastAsia="zh-CN"/>
        </w:rPr>
        <w:t>）</w:t>
      </w:r>
      <w:r>
        <w:rPr>
          <w:rFonts w:hint="eastAsia" w:ascii="宋体" w:hAnsi="宋体" w:eastAsia="宋体" w:cs="宋体"/>
          <w:color w:val="auto"/>
          <w:sz w:val="21"/>
          <w:szCs w:val="21"/>
          <w:lang w:eastAsia="zh-CN"/>
        </w:rPr>
        <w:t>乙方在项目运营期内投资建设形成的项目资产，在运营期限内归乙方所有；运营期限满后将所有权移交给甲方。</w:t>
      </w:r>
    </w:p>
    <w:p w14:paraId="008B861C">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三</w:t>
      </w:r>
      <w:r>
        <w:rPr>
          <w:rFonts w:hint="eastAsia" w:ascii="宋体" w:hAnsi="宋体" w:cs="宋体"/>
          <w:color w:val="auto"/>
          <w:sz w:val="21"/>
          <w:szCs w:val="21"/>
          <w:lang w:eastAsia="zh-CN"/>
        </w:rPr>
        <w:t>）</w:t>
      </w:r>
      <w:r>
        <w:rPr>
          <w:rFonts w:hint="eastAsia" w:ascii="宋体" w:hAnsi="宋体" w:eastAsia="宋体" w:cs="宋体"/>
          <w:color w:val="auto"/>
          <w:sz w:val="21"/>
          <w:szCs w:val="21"/>
          <w:lang w:eastAsia="zh-CN"/>
        </w:rPr>
        <w:t>在运营期内甲方或政府授权的其他第三方根据重大国家政策规定需对停车场进行征收、征用或进行其他处分，乙方须服从，同时由征用拆迁方按照乙方投资残值补偿。</w:t>
      </w:r>
    </w:p>
    <w:p w14:paraId="56AF7240">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四</w:t>
      </w:r>
      <w:r>
        <w:rPr>
          <w:rFonts w:hint="eastAsia" w:ascii="宋体" w:hAnsi="宋体" w:cs="宋体"/>
          <w:color w:val="auto"/>
          <w:sz w:val="21"/>
          <w:szCs w:val="21"/>
          <w:lang w:eastAsia="zh-CN"/>
        </w:rPr>
        <w:t>）</w:t>
      </w:r>
      <w:r>
        <w:rPr>
          <w:rFonts w:hint="eastAsia" w:ascii="宋体" w:hAnsi="宋体" w:eastAsia="宋体" w:cs="宋体"/>
          <w:color w:val="auto"/>
          <w:sz w:val="21"/>
          <w:szCs w:val="21"/>
          <w:lang w:eastAsia="zh-CN"/>
        </w:rPr>
        <w:t>运营期限届满后，甲方无偿收回该公共停车场项目资产经营权及资产设备所有权。经营权及资产设备所有权移交给甲方的日期为经营权合同履行期限届满之日。</w:t>
      </w:r>
    </w:p>
    <w:p w14:paraId="132C7BB8">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五</w:t>
      </w:r>
      <w:r>
        <w:rPr>
          <w:rFonts w:hint="eastAsia" w:ascii="宋体" w:hAnsi="宋体" w:cs="宋体"/>
          <w:color w:val="auto"/>
          <w:sz w:val="21"/>
          <w:szCs w:val="21"/>
          <w:lang w:eastAsia="zh-CN"/>
        </w:rPr>
        <w:t>）</w:t>
      </w:r>
      <w:r>
        <w:rPr>
          <w:rFonts w:hint="eastAsia" w:ascii="宋体" w:hAnsi="宋体" w:eastAsia="宋体" w:cs="宋体"/>
          <w:color w:val="auto"/>
          <w:sz w:val="21"/>
          <w:szCs w:val="21"/>
          <w:lang w:eastAsia="zh-CN"/>
        </w:rPr>
        <w:t>甲方应积极协助乙方进行融资，提供融资过程中应由政府方提供的相关合规性资料。</w:t>
      </w:r>
    </w:p>
    <w:p w14:paraId="4C751500">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val="en-US" w:eastAsia="zh-CN"/>
        </w:rPr>
        <w:t>五、</w:t>
      </w:r>
      <w:r>
        <w:rPr>
          <w:rFonts w:hint="eastAsia" w:ascii="宋体" w:hAnsi="宋体" w:eastAsia="宋体" w:cs="宋体"/>
          <w:color w:val="auto"/>
          <w:sz w:val="21"/>
          <w:szCs w:val="21"/>
          <w:lang w:eastAsia="zh-CN"/>
        </w:rPr>
        <w:t>政府管理服务费</w:t>
      </w:r>
    </w:p>
    <w:p w14:paraId="790A8A49">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乙方应在每个运营年度结束后</w:t>
      </w:r>
      <w:r>
        <w:rPr>
          <w:rFonts w:hint="eastAsia" w:ascii="宋体" w:hAnsi="宋体" w:eastAsia="宋体" w:cs="宋体"/>
          <w:color w:val="auto"/>
          <w:sz w:val="21"/>
          <w:szCs w:val="21"/>
          <w:u w:val="single"/>
          <w:lang w:eastAsia="zh-CN"/>
        </w:rPr>
        <w:t xml:space="preserve">    </w:t>
      </w:r>
      <w:r>
        <w:rPr>
          <w:rFonts w:hint="eastAsia" w:ascii="宋体" w:hAnsi="宋体" w:eastAsia="宋体" w:cs="宋体"/>
          <w:color w:val="auto"/>
          <w:sz w:val="21"/>
          <w:szCs w:val="21"/>
          <w:lang w:eastAsia="zh-CN"/>
        </w:rPr>
        <w:t>个工作日内上报该年度停车费收费明细资料，甲方委托具备相应资质的第三方对上报的资料进行审核，审核完成后向乙方出具审核报告，并在审核报告签发后</w:t>
      </w:r>
      <w:r>
        <w:rPr>
          <w:rFonts w:hint="eastAsia" w:ascii="宋体" w:hAnsi="宋体" w:eastAsia="宋体" w:cs="宋体"/>
          <w:color w:val="auto"/>
          <w:sz w:val="21"/>
          <w:szCs w:val="21"/>
          <w:u w:val="single"/>
          <w:lang w:eastAsia="zh-CN"/>
        </w:rPr>
        <w:t xml:space="preserve">    </w:t>
      </w:r>
      <w:r>
        <w:rPr>
          <w:rFonts w:hint="eastAsia" w:ascii="宋体" w:hAnsi="宋体" w:eastAsia="宋体" w:cs="宋体"/>
          <w:color w:val="auto"/>
          <w:sz w:val="21"/>
          <w:szCs w:val="21"/>
          <w:lang w:eastAsia="zh-CN"/>
        </w:rPr>
        <w:t>个工作日内向乙方收取管理费，路内泊位管理费按该年度停车费流水为基数按一定比例收取，</w:t>
      </w:r>
      <w:r>
        <w:rPr>
          <w:rFonts w:hint="eastAsia" w:ascii="宋体" w:hAnsi="宋体" w:eastAsia="宋体" w:cs="宋体"/>
          <w:color w:val="auto"/>
          <w:sz w:val="21"/>
          <w:szCs w:val="21"/>
          <w:u w:val="single"/>
          <w:lang w:eastAsia="zh-CN"/>
        </w:rPr>
        <w:t>前    年（建设期   年除外）    %，第    年     %，第    年    %</w:t>
      </w:r>
      <w:r>
        <w:rPr>
          <w:rFonts w:hint="eastAsia" w:ascii="宋体" w:hAnsi="宋体" w:eastAsia="宋体" w:cs="宋体"/>
          <w:color w:val="auto"/>
          <w:sz w:val="21"/>
          <w:szCs w:val="21"/>
          <w:lang w:eastAsia="zh-CN"/>
        </w:rPr>
        <w:t>。公共停车场管理费按该年度停车费流水为基数按一定比例收取，</w:t>
      </w:r>
      <w:r>
        <w:rPr>
          <w:rFonts w:hint="eastAsia" w:ascii="宋体" w:hAnsi="宋体" w:eastAsia="宋体" w:cs="宋体"/>
          <w:color w:val="auto"/>
          <w:sz w:val="21"/>
          <w:szCs w:val="21"/>
          <w:u w:val="single"/>
          <w:lang w:eastAsia="zh-CN"/>
        </w:rPr>
        <w:t xml:space="preserve">    年   </w:t>
      </w:r>
      <w:r>
        <w:rPr>
          <w:rFonts w:hint="eastAsia" w:ascii="宋体" w:hAnsi="宋体" w:cs="宋体"/>
          <w:color w:val="auto"/>
          <w:sz w:val="21"/>
          <w:szCs w:val="21"/>
          <w:u w:val="single"/>
          <w:lang w:val="en-US" w:eastAsia="zh-CN"/>
        </w:rPr>
        <w:t xml:space="preserve"> </w:t>
      </w:r>
      <w:r>
        <w:rPr>
          <w:rFonts w:hint="eastAsia" w:ascii="宋体" w:hAnsi="宋体" w:eastAsia="宋体" w:cs="宋体"/>
          <w:color w:val="auto"/>
          <w:sz w:val="21"/>
          <w:szCs w:val="21"/>
          <w:u w:val="single"/>
          <w:lang w:eastAsia="zh-CN"/>
        </w:rPr>
        <w:t>%，  年    %，第    年    %</w:t>
      </w:r>
      <w:r>
        <w:rPr>
          <w:rFonts w:hint="eastAsia" w:ascii="宋体" w:hAnsi="宋体" w:eastAsia="宋体" w:cs="宋体"/>
          <w:color w:val="auto"/>
          <w:sz w:val="21"/>
          <w:szCs w:val="21"/>
          <w:lang w:eastAsia="zh-CN"/>
        </w:rPr>
        <w:t>。</w:t>
      </w:r>
    </w:p>
    <w:p w14:paraId="4207ADE5">
      <w:pPr>
        <w:keepNext w:val="0"/>
        <w:keepLines w:val="0"/>
        <w:pageBreakBefore w:val="0"/>
        <w:kinsoku/>
        <w:wordWrap/>
        <w:topLinePunct w:val="0"/>
        <w:bidi w:val="0"/>
        <w:snapToGrid/>
        <w:spacing w:line="460" w:lineRule="exact"/>
        <w:ind w:firstLine="422" w:firstLineChars="200"/>
        <w:rPr>
          <w:rFonts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第九条 运营期限</w:t>
      </w:r>
    </w:p>
    <w:p w14:paraId="64240A77">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本项目运营期限</w:t>
      </w:r>
      <w:r>
        <w:rPr>
          <w:rFonts w:hint="eastAsia" w:ascii="宋体" w:hAnsi="宋体" w:eastAsia="宋体" w:cs="宋体"/>
          <w:color w:val="auto"/>
          <w:sz w:val="21"/>
          <w:szCs w:val="21"/>
          <w:u w:val="single"/>
          <w:lang w:eastAsia="zh-CN"/>
        </w:rPr>
        <w:t>自   年  月  日起至  年  月  日止。</w:t>
      </w:r>
    </w:p>
    <w:p w14:paraId="07E1AAF5">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val="en-US" w:eastAsia="zh-CN"/>
        </w:rPr>
        <w:t>一、</w:t>
      </w:r>
      <w:r>
        <w:rPr>
          <w:rFonts w:hint="eastAsia" w:ascii="宋体" w:hAnsi="宋体" w:eastAsia="宋体" w:cs="宋体"/>
          <w:color w:val="auto"/>
          <w:sz w:val="21"/>
          <w:szCs w:val="21"/>
          <w:lang w:eastAsia="zh-CN"/>
        </w:rPr>
        <w:t>拟投资</w:t>
      </w:r>
      <w:r>
        <w:rPr>
          <w:rFonts w:hint="eastAsia" w:ascii="宋体" w:hAnsi="宋体" w:eastAsia="宋体" w:cs="宋体"/>
          <w:color w:val="auto"/>
          <w:sz w:val="21"/>
          <w:szCs w:val="21"/>
          <w:u w:val="single"/>
          <w:lang w:eastAsia="zh-CN"/>
        </w:rPr>
        <w:t xml:space="preserve">      万元</w:t>
      </w:r>
      <w:r>
        <w:rPr>
          <w:rFonts w:hint="eastAsia" w:ascii="宋体" w:hAnsi="宋体" w:eastAsia="宋体" w:cs="宋体"/>
          <w:color w:val="auto"/>
          <w:sz w:val="21"/>
          <w:szCs w:val="21"/>
          <w:lang w:eastAsia="zh-CN"/>
        </w:rPr>
        <w:t>。</w:t>
      </w:r>
    </w:p>
    <w:p w14:paraId="78F3530B">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val="en-US" w:eastAsia="zh-CN"/>
        </w:rPr>
        <w:t>二、</w:t>
      </w:r>
      <w:r>
        <w:rPr>
          <w:rFonts w:hint="eastAsia" w:ascii="宋体" w:hAnsi="宋体" w:eastAsia="宋体" w:cs="宋体"/>
          <w:color w:val="auto"/>
          <w:sz w:val="21"/>
          <w:szCs w:val="21"/>
          <w:lang w:eastAsia="zh-CN"/>
        </w:rPr>
        <w:t>在运营期内如因城市建设与管理需要增加停车位，甲方将新增车位交由乙方负责安装相关监控设施、电子收费设施，并交给乙方进行经营管理，每个经营停车位按照同期管理费标准向甲方增加缴纳管理费。新增道路停车泊位和公共停车场等停车资源的运营期限自该具体新增项目正式投入停车场建设开工之日起算，运营期限满为止。</w:t>
      </w:r>
    </w:p>
    <w:p w14:paraId="3D7270D7">
      <w:pPr>
        <w:keepNext w:val="0"/>
        <w:keepLines w:val="0"/>
        <w:pageBreakBefore w:val="0"/>
        <w:kinsoku/>
        <w:wordWrap/>
        <w:topLinePunct w:val="0"/>
        <w:bidi w:val="0"/>
        <w:snapToGrid/>
        <w:spacing w:line="460" w:lineRule="exact"/>
        <w:jc w:val="center"/>
        <w:rPr>
          <w:rFonts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 xml:space="preserve">第四章 </w:t>
      </w:r>
      <w:r>
        <w:rPr>
          <w:rFonts w:hint="eastAsia" w:ascii="宋体" w:hAnsi="宋体" w:eastAsia="宋体" w:cs="宋体"/>
          <w:b/>
          <w:bCs/>
          <w:color w:val="auto"/>
          <w:sz w:val="21"/>
          <w:szCs w:val="21"/>
          <w:lang w:val="en-US" w:eastAsia="zh-CN"/>
        </w:rPr>
        <w:t xml:space="preserve"> </w:t>
      </w:r>
      <w:r>
        <w:rPr>
          <w:rFonts w:hint="eastAsia" w:ascii="宋体" w:hAnsi="宋体" w:eastAsia="宋体" w:cs="宋体"/>
          <w:b/>
          <w:bCs/>
          <w:color w:val="auto"/>
          <w:sz w:val="21"/>
          <w:szCs w:val="21"/>
          <w:lang w:eastAsia="zh-CN"/>
        </w:rPr>
        <w:t>项目建设</w:t>
      </w:r>
    </w:p>
    <w:p w14:paraId="14B8AA9D">
      <w:pPr>
        <w:keepNext w:val="0"/>
        <w:keepLines w:val="0"/>
        <w:pageBreakBefore w:val="0"/>
        <w:kinsoku/>
        <w:wordWrap/>
        <w:topLinePunct w:val="0"/>
        <w:bidi w:val="0"/>
        <w:snapToGrid/>
        <w:spacing w:line="460" w:lineRule="exact"/>
        <w:ind w:firstLine="422" w:firstLineChars="200"/>
        <w:rPr>
          <w:rFonts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第十条 审批事项和质量安全</w:t>
      </w:r>
    </w:p>
    <w:p w14:paraId="7A5344B8">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val="en-US" w:eastAsia="zh-CN"/>
        </w:rPr>
        <w:t>一、</w:t>
      </w:r>
      <w:r>
        <w:rPr>
          <w:rFonts w:hint="eastAsia" w:ascii="宋体" w:hAnsi="宋体" w:eastAsia="宋体" w:cs="宋体"/>
          <w:color w:val="auto"/>
          <w:sz w:val="21"/>
          <w:szCs w:val="21"/>
          <w:lang w:eastAsia="zh-CN"/>
        </w:rPr>
        <w:t>在本项目运营期内，甲方拥有进入本项目建设的权利，并有权检查、监督施工过程，乙方应积极予以配合及提供方便。</w:t>
      </w:r>
    </w:p>
    <w:p w14:paraId="301CC6B7">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val="en-US" w:eastAsia="zh-CN"/>
        </w:rPr>
        <w:t>二、</w:t>
      </w:r>
      <w:r>
        <w:rPr>
          <w:rFonts w:hint="eastAsia" w:ascii="宋体" w:hAnsi="宋体" w:eastAsia="宋体" w:cs="宋体"/>
          <w:color w:val="auto"/>
          <w:sz w:val="21"/>
          <w:szCs w:val="21"/>
          <w:lang w:eastAsia="zh-CN"/>
        </w:rPr>
        <w:t>乙方须按基本建设程序办理各种手续，甲方予以协助，所需费用由乙方承担。</w:t>
      </w:r>
    </w:p>
    <w:p w14:paraId="13A07FD6">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val="en-US" w:eastAsia="zh-CN"/>
        </w:rPr>
        <w:t>三、</w:t>
      </w:r>
      <w:r>
        <w:rPr>
          <w:rFonts w:hint="eastAsia" w:ascii="宋体" w:hAnsi="宋体" w:eastAsia="宋体" w:cs="宋体"/>
          <w:color w:val="auto"/>
          <w:sz w:val="21"/>
          <w:szCs w:val="21"/>
          <w:lang w:eastAsia="zh-CN"/>
        </w:rPr>
        <w:t>乙方在该项目建设经营过程中应加强质量和安全管理，并承担一切质量及安全责任。</w:t>
      </w:r>
    </w:p>
    <w:p w14:paraId="355D269F">
      <w:pPr>
        <w:keepNext w:val="0"/>
        <w:keepLines w:val="0"/>
        <w:pageBreakBefore w:val="0"/>
        <w:kinsoku/>
        <w:wordWrap/>
        <w:topLinePunct w:val="0"/>
        <w:bidi w:val="0"/>
        <w:snapToGrid/>
        <w:spacing w:line="460" w:lineRule="exact"/>
        <w:ind w:firstLine="422" w:firstLineChars="200"/>
        <w:rPr>
          <w:rFonts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第十一条 项目设计</w:t>
      </w:r>
    </w:p>
    <w:p w14:paraId="55CAC708">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val="en-US" w:eastAsia="zh-CN"/>
        </w:rPr>
        <w:t>一、</w:t>
      </w:r>
      <w:r>
        <w:rPr>
          <w:rFonts w:hint="eastAsia" w:ascii="宋体" w:hAnsi="宋体" w:eastAsia="宋体" w:cs="宋体"/>
          <w:color w:val="auto"/>
          <w:sz w:val="21"/>
          <w:szCs w:val="21"/>
          <w:lang w:eastAsia="zh-CN"/>
        </w:rPr>
        <w:t>由乙方委托具有相应资质、经验、能力的勘察设计单位按相应的技术规范和技术要求以及适用的法律、法规和规范进行规划设计，与勘察设计单位签订的合同须报甲方备案，由此产生的各类前期费用将纳入总投资，并由乙方承担。</w:t>
      </w:r>
    </w:p>
    <w:p w14:paraId="3A4DB907">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val="en-US" w:eastAsia="zh-CN"/>
        </w:rPr>
        <w:t>二、</w:t>
      </w:r>
      <w:r>
        <w:rPr>
          <w:rFonts w:hint="eastAsia" w:ascii="宋体" w:hAnsi="宋体" w:eastAsia="宋体" w:cs="宋体"/>
          <w:color w:val="auto"/>
          <w:sz w:val="21"/>
          <w:szCs w:val="21"/>
          <w:lang w:eastAsia="zh-CN"/>
        </w:rPr>
        <w:t>乙方设计需经相关部门审批后方可进行项目建设。</w:t>
      </w:r>
    </w:p>
    <w:p w14:paraId="6E8849D0">
      <w:pPr>
        <w:keepNext w:val="0"/>
        <w:keepLines w:val="0"/>
        <w:pageBreakBefore w:val="0"/>
        <w:kinsoku/>
        <w:wordWrap/>
        <w:topLinePunct w:val="0"/>
        <w:bidi w:val="0"/>
        <w:snapToGrid/>
        <w:spacing w:line="460" w:lineRule="exact"/>
        <w:ind w:firstLine="422" w:firstLineChars="200"/>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第十二条 项目施工</w:t>
      </w:r>
    </w:p>
    <w:p w14:paraId="0583C9F4">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val="en-US" w:eastAsia="zh-CN"/>
        </w:rPr>
        <w:t>一、</w:t>
      </w:r>
      <w:r>
        <w:rPr>
          <w:rFonts w:hint="eastAsia" w:ascii="宋体" w:hAnsi="宋体" w:eastAsia="宋体" w:cs="宋体"/>
          <w:color w:val="auto"/>
          <w:sz w:val="21"/>
          <w:szCs w:val="21"/>
          <w:lang w:eastAsia="zh-CN"/>
        </w:rPr>
        <w:t>开工通知</w:t>
      </w:r>
    </w:p>
    <w:p w14:paraId="74864103">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乙方须在接到开工令后十（10）日内，开始项目工程的施工建设。乙方正式开工建设之日为“开工日”。</w:t>
      </w:r>
    </w:p>
    <w:p w14:paraId="64486EE9">
      <w:pPr>
        <w:keepNext w:val="0"/>
        <w:keepLines w:val="0"/>
        <w:pageBreakBefore w:val="0"/>
        <w:kinsoku/>
        <w:wordWrap/>
        <w:topLinePunct w:val="0"/>
        <w:bidi w:val="0"/>
        <w:snapToGrid/>
        <w:spacing w:line="460" w:lineRule="exact"/>
        <w:ind w:firstLine="420" w:firstLineChars="200"/>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二、</w:t>
      </w:r>
      <w:r>
        <w:rPr>
          <w:rFonts w:hint="eastAsia" w:ascii="宋体" w:hAnsi="宋体" w:eastAsia="宋体" w:cs="宋体"/>
          <w:color w:val="auto"/>
          <w:sz w:val="21"/>
          <w:szCs w:val="21"/>
          <w:lang w:eastAsia="zh-CN"/>
        </w:rPr>
        <w:t>乙方的主要责任</w:t>
      </w:r>
    </w:p>
    <w:p w14:paraId="5ABDFD70">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一</w:t>
      </w:r>
      <w:r>
        <w:rPr>
          <w:rFonts w:hint="eastAsia" w:ascii="宋体" w:hAnsi="宋体" w:cs="宋体"/>
          <w:color w:val="auto"/>
          <w:sz w:val="21"/>
          <w:szCs w:val="21"/>
          <w:lang w:eastAsia="zh-CN"/>
        </w:rPr>
        <w:t>）</w:t>
      </w:r>
      <w:r>
        <w:rPr>
          <w:rFonts w:hint="eastAsia" w:ascii="宋体" w:hAnsi="宋体" w:eastAsia="宋体" w:cs="宋体"/>
          <w:color w:val="auto"/>
          <w:sz w:val="21"/>
          <w:szCs w:val="21"/>
          <w:lang w:eastAsia="zh-CN"/>
        </w:rPr>
        <w:t>按照下述文件的规定和要求进行项目建设：</w:t>
      </w:r>
    </w:p>
    <w:p w14:paraId="24E32EBD">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val="en-US" w:eastAsia="zh-CN"/>
        </w:rPr>
        <w:t>1、</w:t>
      </w:r>
      <w:r>
        <w:rPr>
          <w:rFonts w:hint="eastAsia" w:ascii="宋体" w:hAnsi="宋体" w:eastAsia="宋体" w:cs="宋体"/>
          <w:color w:val="auto"/>
          <w:sz w:val="21"/>
          <w:szCs w:val="21"/>
          <w:lang w:eastAsia="zh-CN"/>
        </w:rPr>
        <w:t>所有适用的中国法律、法规、标准和批复文件；</w:t>
      </w:r>
    </w:p>
    <w:p w14:paraId="0F01A4F6">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val="en-US" w:eastAsia="zh-CN"/>
        </w:rPr>
        <w:t>2、</w:t>
      </w:r>
      <w:r>
        <w:rPr>
          <w:rFonts w:hint="eastAsia" w:ascii="宋体" w:hAnsi="宋体" w:eastAsia="宋体" w:cs="宋体"/>
          <w:color w:val="auto"/>
          <w:sz w:val="21"/>
          <w:szCs w:val="21"/>
          <w:lang w:eastAsia="zh-CN"/>
        </w:rPr>
        <w:t>经甲方批准或准予开工的时间（前提是符合本协议及法律、法规的要求）；</w:t>
      </w:r>
    </w:p>
    <w:p w14:paraId="1F005182">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val="en-US" w:eastAsia="zh-CN"/>
        </w:rPr>
        <w:t>3、</w:t>
      </w:r>
      <w:r>
        <w:rPr>
          <w:rFonts w:hint="eastAsia" w:ascii="宋体" w:hAnsi="宋体" w:eastAsia="宋体" w:cs="宋体"/>
          <w:color w:val="auto"/>
          <w:sz w:val="21"/>
          <w:szCs w:val="21"/>
          <w:lang w:eastAsia="zh-CN"/>
        </w:rPr>
        <w:t>本协议的其他要求。</w:t>
      </w:r>
    </w:p>
    <w:p w14:paraId="3F3EEED9">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cs="宋体"/>
          <w:color w:val="auto"/>
          <w:sz w:val="21"/>
          <w:szCs w:val="21"/>
          <w:lang w:val="en-US" w:eastAsia="zh-CN"/>
        </w:rPr>
        <w:t>二</w:t>
      </w:r>
      <w:r>
        <w:rPr>
          <w:rFonts w:hint="eastAsia" w:ascii="宋体" w:hAnsi="宋体" w:eastAsia="宋体" w:cs="宋体"/>
          <w:color w:val="auto"/>
          <w:sz w:val="21"/>
          <w:szCs w:val="21"/>
          <w:lang w:eastAsia="zh-CN"/>
        </w:rPr>
        <w:t>）在其施工方法和过程中注重安全以保护生命、健康、财产和环境；</w:t>
      </w:r>
    </w:p>
    <w:p w14:paraId="0EB0FC30">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cs="宋体"/>
          <w:color w:val="auto"/>
          <w:sz w:val="21"/>
          <w:szCs w:val="21"/>
          <w:lang w:val="en-US" w:eastAsia="zh-CN"/>
        </w:rPr>
        <w:t>三</w:t>
      </w:r>
      <w:r>
        <w:rPr>
          <w:rFonts w:hint="eastAsia" w:ascii="宋体" w:hAnsi="宋体" w:eastAsia="宋体" w:cs="宋体"/>
          <w:color w:val="auto"/>
          <w:sz w:val="21"/>
          <w:szCs w:val="21"/>
          <w:lang w:eastAsia="zh-CN"/>
        </w:rPr>
        <w:t>）在施工期间采取一切合理措施减少对公众、居民和商业的干扰和不便并需达到政府的有关标准；</w:t>
      </w:r>
    </w:p>
    <w:p w14:paraId="5F4FA9A4">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cs="宋体"/>
          <w:color w:val="auto"/>
          <w:sz w:val="21"/>
          <w:szCs w:val="21"/>
          <w:lang w:val="en-US" w:eastAsia="zh-CN"/>
        </w:rPr>
        <w:t>四</w:t>
      </w:r>
      <w:r>
        <w:rPr>
          <w:rFonts w:hint="eastAsia" w:ascii="宋体" w:hAnsi="宋体" w:eastAsia="宋体" w:cs="宋体"/>
          <w:color w:val="auto"/>
          <w:sz w:val="21"/>
          <w:szCs w:val="21"/>
          <w:lang w:eastAsia="zh-CN"/>
        </w:rPr>
        <w:t>）负责按适用法律的要求及时申请并获得项目工程所需要的批准，并使其保持有效，同时支付所有获得上述批准所需的费用和支出；</w:t>
      </w:r>
    </w:p>
    <w:p w14:paraId="051B457E">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cs="宋体"/>
          <w:color w:val="auto"/>
          <w:sz w:val="21"/>
          <w:szCs w:val="21"/>
          <w:lang w:val="en-US" w:eastAsia="zh-CN"/>
        </w:rPr>
        <w:t>五</w:t>
      </w:r>
      <w:r>
        <w:rPr>
          <w:rFonts w:hint="eastAsia" w:ascii="宋体" w:hAnsi="宋体" w:eastAsia="宋体" w:cs="宋体"/>
          <w:color w:val="auto"/>
          <w:sz w:val="21"/>
          <w:szCs w:val="21"/>
          <w:lang w:eastAsia="zh-CN"/>
        </w:rPr>
        <w:t>）向甲方提供与工程建设相关的一切机构（承包商、施工商、设备制造商、监理公司等）和相关人员的资质文件或资格证明副本；</w:t>
      </w:r>
    </w:p>
    <w:p w14:paraId="600DAA7C">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cs="宋体"/>
          <w:color w:val="auto"/>
          <w:sz w:val="21"/>
          <w:szCs w:val="21"/>
          <w:lang w:val="en-US" w:eastAsia="zh-CN"/>
        </w:rPr>
        <w:t>六</w:t>
      </w:r>
      <w:r>
        <w:rPr>
          <w:rFonts w:hint="eastAsia" w:ascii="宋体" w:hAnsi="宋体" w:eastAsia="宋体" w:cs="宋体"/>
          <w:color w:val="auto"/>
          <w:sz w:val="21"/>
          <w:szCs w:val="21"/>
          <w:lang w:eastAsia="zh-CN"/>
        </w:rPr>
        <w:t>）确保项目工程的设计和施工方案符合要求，并取得审批机关的批准；</w:t>
      </w:r>
    </w:p>
    <w:p w14:paraId="1DDE52DD">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cs="宋体"/>
          <w:color w:val="auto"/>
          <w:sz w:val="21"/>
          <w:szCs w:val="21"/>
          <w:lang w:val="en-US" w:eastAsia="zh-CN"/>
        </w:rPr>
        <w:t>七</w:t>
      </w:r>
      <w:r>
        <w:rPr>
          <w:rFonts w:hint="eastAsia" w:ascii="宋体" w:hAnsi="宋体" w:eastAsia="宋体" w:cs="宋体"/>
          <w:color w:val="auto"/>
          <w:sz w:val="21"/>
          <w:szCs w:val="21"/>
          <w:lang w:eastAsia="zh-CN"/>
        </w:rPr>
        <w:t>）乙方应负责完成项目的建设，包括项目的土建施工和设备安装、调试，并承担与建设相关的全部费用；</w:t>
      </w:r>
    </w:p>
    <w:p w14:paraId="7497E90E">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val="en-US" w:eastAsia="zh-CN"/>
        </w:rPr>
        <w:t>三、</w:t>
      </w:r>
      <w:r>
        <w:rPr>
          <w:rFonts w:hint="eastAsia" w:ascii="宋体" w:hAnsi="宋体" w:eastAsia="宋体" w:cs="宋体"/>
          <w:color w:val="auto"/>
          <w:sz w:val="21"/>
          <w:szCs w:val="21"/>
          <w:lang w:eastAsia="zh-CN"/>
        </w:rPr>
        <w:t>甲方的主要责任</w:t>
      </w:r>
    </w:p>
    <w:p w14:paraId="3346800C">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cs="宋体"/>
          <w:color w:val="auto"/>
          <w:sz w:val="21"/>
          <w:szCs w:val="21"/>
          <w:lang w:val="en-US" w:eastAsia="zh-CN"/>
        </w:rPr>
        <w:t>一</w:t>
      </w:r>
      <w:r>
        <w:rPr>
          <w:rFonts w:hint="eastAsia" w:ascii="宋体" w:hAnsi="宋体" w:eastAsia="宋体" w:cs="宋体"/>
          <w:color w:val="auto"/>
          <w:sz w:val="21"/>
          <w:szCs w:val="21"/>
          <w:lang w:eastAsia="zh-CN"/>
        </w:rPr>
        <w:t>）在建设期间协调和推进乙方所有与有关政府部门相关的事宜；</w:t>
      </w:r>
    </w:p>
    <w:p w14:paraId="705048DD">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cs="宋体"/>
          <w:color w:val="auto"/>
          <w:sz w:val="21"/>
          <w:szCs w:val="21"/>
          <w:lang w:val="en-US" w:eastAsia="zh-CN"/>
        </w:rPr>
        <w:t>二</w:t>
      </w:r>
      <w:r>
        <w:rPr>
          <w:rFonts w:hint="eastAsia" w:ascii="宋体" w:hAnsi="宋体" w:eastAsia="宋体" w:cs="宋体"/>
          <w:color w:val="auto"/>
          <w:sz w:val="21"/>
          <w:szCs w:val="21"/>
          <w:lang w:eastAsia="zh-CN"/>
        </w:rPr>
        <w:t>）及时获得并保持只能由甲方得到的对工程建设所要求的批准；</w:t>
      </w:r>
    </w:p>
    <w:p w14:paraId="6C5043B5">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cs="宋体"/>
          <w:color w:val="auto"/>
          <w:sz w:val="21"/>
          <w:szCs w:val="21"/>
          <w:lang w:val="en-US" w:eastAsia="zh-CN"/>
        </w:rPr>
        <w:t>三</w:t>
      </w:r>
      <w:r>
        <w:rPr>
          <w:rFonts w:hint="eastAsia" w:ascii="宋体" w:hAnsi="宋体" w:eastAsia="宋体" w:cs="宋体"/>
          <w:color w:val="auto"/>
          <w:sz w:val="21"/>
          <w:szCs w:val="21"/>
          <w:lang w:eastAsia="zh-CN"/>
        </w:rPr>
        <w:t>）尽其所有合理的努力协助乙方获得本项目建设所须的相关批准。</w:t>
      </w:r>
    </w:p>
    <w:p w14:paraId="700EDB4B">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cs="宋体"/>
          <w:color w:val="auto"/>
          <w:sz w:val="21"/>
          <w:szCs w:val="21"/>
          <w:lang w:val="en-US" w:eastAsia="zh-CN"/>
        </w:rPr>
        <w:t>四</w:t>
      </w:r>
      <w:r>
        <w:rPr>
          <w:rFonts w:hint="eastAsia" w:ascii="宋体" w:hAnsi="宋体" w:eastAsia="宋体" w:cs="宋体"/>
          <w:color w:val="auto"/>
          <w:sz w:val="21"/>
          <w:szCs w:val="21"/>
          <w:lang w:eastAsia="zh-CN"/>
        </w:rPr>
        <w:t>）在建设期间，甲方需协调项目建设所涉及的用水、用电及协调等事宜。</w:t>
      </w:r>
    </w:p>
    <w:p w14:paraId="0408B861">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val="en-US" w:eastAsia="zh-CN"/>
        </w:rPr>
        <w:t>四、</w:t>
      </w:r>
      <w:r>
        <w:rPr>
          <w:rFonts w:hint="eastAsia" w:ascii="宋体" w:hAnsi="宋体" w:eastAsia="宋体" w:cs="宋体"/>
          <w:color w:val="auto"/>
          <w:sz w:val="21"/>
          <w:szCs w:val="21"/>
          <w:lang w:eastAsia="zh-CN"/>
        </w:rPr>
        <w:t>施工单位的选择</w:t>
      </w:r>
    </w:p>
    <w:p w14:paraId="0AB1DC11">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&lt;乙方或其一方名称&gt;具有施工资质，由其负责项目工程施工，并接受甲方和阳江市海陵岛经济开发试验区相关职能部门审核和监督。</w:t>
      </w:r>
    </w:p>
    <w:p w14:paraId="6FF83F61">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val="en-US" w:eastAsia="zh-CN"/>
        </w:rPr>
        <w:t>五、</w:t>
      </w:r>
      <w:r>
        <w:rPr>
          <w:rFonts w:hint="eastAsia" w:ascii="宋体" w:hAnsi="宋体" w:eastAsia="宋体" w:cs="宋体"/>
          <w:color w:val="auto"/>
          <w:sz w:val="21"/>
          <w:szCs w:val="21"/>
          <w:lang w:eastAsia="zh-CN"/>
        </w:rPr>
        <w:t>设备及材料的采购</w:t>
      </w:r>
    </w:p>
    <w:p w14:paraId="33F68F87">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乙方自行承担本项目的设备供应，并接受甲方和阳江市海陵岛经济开发试验区相关职能部门审核和监督。</w:t>
      </w:r>
    </w:p>
    <w:p w14:paraId="79373030">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val="en-US" w:eastAsia="zh-CN"/>
        </w:rPr>
        <w:t>六、</w:t>
      </w:r>
      <w:r>
        <w:rPr>
          <w:rFonts w:hint="eastAsia" w:ascii="宋体" w:hAnsi="宋体" w:eastAsia="宋体" w:cs="宋体"/>
          <w:color w:val="auto"/>
          <w:sz w:val="21"/>
          <w:szCs w:val="21"/>
          <w:lang w:eastAsia="zh-CN"/>
        </w:rPr>
        <w:t>施工注意事项</w:t>
      </w:r>
    </w:p>
    <w:p w14:paraId="3DC27168">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cs="宋体"/>
          <w:color w:val="auto"/>
          <w:sz w:val="21"/>
          <w:szCs w:val="21"/>
          <w:lang w:val="en-US" w:eastAsia="zh-CN"/>
        </w:rPr>
        <w:t>一</w:t>
      </w:r>
      <w:r>
        <w:rPr>
          <w:rFonts w:hint="eastAsia" w:ascii="宋体" w:hAnsi="宋体" w:eastAsia="宋体" w:cs="宋体"/>
          <w:color w:val="auto"/>
          <w:sz w:val="21"/>
          <w:szCs w:val="21"/>
          <w:lang w:eastAsia="zh-CN"/>
        </w:rPr>
        <w:t>）工程的质量</w:t>
      </w:r>
    </w:p>
    <w:p w14:paraId="7B75AD2C">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乙方应保证建设工程的施工符合批准的设计、技术规范、要求和技术方案，或者如没有</w:t>
      </w:r>
    </w:p>
    <w:p w14:paraId="76C44BFE">
      <w:pPr>
        <w:keepNext w:val="0"/>
        <w:keepLines w:val="0"/>
        <w:pageBreakBefore w:val="0"/>
        <w:kinsoku/>
        <w:wordWrap/>
        <w:topLinePunct w:val="0"/>
        <w:bidi w:val="0"/>
        <w:snapToGrid/>
        <w:spacing w:line="460" w:lineRule="exact"/>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上述规定，应运用适当的工艺方式，使用新型的且保证质量的材料和设备。工程质量标准要</w:t>
      </w:r>
    </w:p>
    <w:p w14:paraId="1A74CD12">
      <w:pPr>
        <w:keepNext w:val="0"/>
        <w:keepLines w:val="0"/>
        <w:pageBreakBefore w:val="0"/>
        <w:kinsoku/>
        <w:wordWrap/>
        <w:topLinePunct w:val="0"/>
        <w:bidi w:val="0"/>
        <w:snapToGrid/>
        <w:spacing w:line="460" w:lineRule="exact"/>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求一次性验收合格。</w:t>
      </w:r>
    </w:p>
    <w:p w14:paraId="0C1D108E">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cs="宋体"/>
          <w:color w:val="auto"/>
          <w:sz w:val="21"/>
          <w:szCs w:val="21"/>
          <w:lang w:val="en-US" w:eastAsia="zh-CN"/>
        </w:rPr>
        <w:t>二</w:t>
      </w:r>
      <w:r>
        <w:rPr>
          <w:rFonts w:hint="eastAsia" w:ascii="宋体" w:hAnsi="宋体" w:eastAsia="宋体" w:cs="宋体"/>
          <w:color w:val="auto"/>
          <w:sz w:val="21"/>
          <w:szCs w:val="21"/>
          <w:lang w:eastAsia="zh-CN"/>
        </w:rPr>
        <w:t>）质量保证和质量控制</w:t>
      </w:r>
    </w:p>
    <w:p w14:paraId="283FDE33">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乙方应制定符合本协议规定的质量保证和质量控制计划。乙方应及时向甲方提供完整的有关已完成或正在进行的建设工程质量控制结果的文件。在不影响乙方本协议项下义务的情况下，甲方有权参加或检查乙方及任何施工单位和工程监理公司的质量控制过程及方法，以确保建设工程符合规定的质量要求。乙方应全力保证协助进行这类定期检查。</w:t>
      </w:r>
    </w:p>
    <w:p w14:paraId="128C165C">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cs="宋体"/>
          <w:color w:val="auto"/>
          <w:sz w:val="21"/>
          <w:szCs w:val="21"/>
          <w:lang w:val="en-US" w:eastAsia="zh-CN"/>
        </w:rPr>
        <w:t>三</w:t>
      </w:r>
      <w:r>
        <w:rPr>
          <w:rFonts w:hint="eastAsia" w:ascii="宋体" w:hAnsi="宋体" w:eastAsia="宋体" w:cs="宋体"/>
          <w:color w:val="auto"/>
          <w:sz w:val="21"/>
          <w:szCs w:val="21"/>
          <w:lang w:eastAsia="zh-CN"/>
        </w:rPr>
        <w:t>）施工人员</w:t>
      </w:r>
    </w:p>
    <w:p w14:paraId="55176EFA">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乙方应提供或确保施工单位提供所有必要的、具有一定技能和规定证书的人员从事建设工程。在建设工程开工之前，乙方应向甲方提交乙方和项目承包商的所有人员名单及其资格概要，以便获得甲方的批准。</w:t>
      </w:r>
    </w:p>
    <w:p w14:paraId="6FED1CAC">
      <w:pPr>
        <w:keepNext w:val="0"/>
        <w:keepLines w:val="0"/>
        <w:pageBreakBefore w:val="0"/>
        <w:kinsoku/>
        <w:wordWrap/>
        <w:topLinePunct w:val="0"/>
        <w:bidi w:val="0"/>
        <w:snapToGrid/>
        <w:spacing w:line="460" w:lineRule="exact"/>
        <w:ind w:firstLine="422" w:firstLineChars="200"/>
        <w:rPr>
          <w:rFonts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第十三条 项目监理</w:t>
      </w:r>
    </w:p>
    <w:p w14:paraId="3D5CE6ED">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乙方将根据适用法律的要求，选定有相应资质的监理公司进行项目工程施工全过程的监理，相应的监理费用由乙方承担。乙方将与监理公司签订的合同报甲方备案，监理接受甲方的监督和管理。</w:t>
      </w:r>
    </w:p>
    <w:p w14:paraId="097E3D19">
      <w:pPr>
        <w:keepNext w:val="0"/>
        <w:keepLines w:val="0"/>
        <w:pageBreakBefore w:val="0"/>
        <w:kinsoku/>
        <w:wordWrap/>
        <w:topLinePunct w:val="0"/>
        <w:bidi w:val="0"/>
        <w:snapToGrid/>
        <w:spacing w:line="460" w:lineRule="exact"/>
        <w:ind w:firstLine="422" w:firstLineChars="200"/>
        <w:rPr>
          <w:rFonts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第十四条 项目变更</w:t>
      </w:r>
    </w:p>
    <w:p w14:paraId="2E284837">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val="en-US" w:eastAsia="zh-CN"/>
        </w:rPr>
        <w:t>一、</w:t>
      </w:r>
      <w:r>
        <w:rPr>
          <w:rFonts w:hint="eastAsia" w:ascii="宋体" w:hAnsi="宋体" w:eastAsia="宋体" w:cs="宋体"/>
          <w:color w:val="auto"/>
          <w:sz w:val="21"/>
          <w:szCs w:val="21"/>
          <w:lang w:eastAsia="zh-CN"/>
        </w:rPr>
        <w:t>建设方案重大调整（包括但不限于项目范围、技术方案、设计标准、建设标准）、土地规划变更等实质性的改变建设结果的行为，视为对建设方案的变更。</w:t>
      </w:r>
    </w:p>
    <w:p w14:paraId="60ED6CB1">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val="en-US" w:eastAsia="zh-CN"/>
        </w:rPr>
        <w:t>二、</w:t>
      </w:r>
      <w:r>
        <w:rPr>
          <w:rFonts w:hint="eastAsia" w:ascii="宋体" w:hAnsi="宋体" w:eastAsia="宋体" w:cs="宋体"/>
          <w:color w:val="auto"/>
          <w:sz w:val="21"/>
          <w:szCs w:val="21"/>
          <w:lang w:eastAsia="zh-CN"/>
        </w:rPr>
        <w:t>建设方案的变更须经双方达成一致并协商解决。</w:t>
      </w:r>
    </w:p>
    <w:p w14:paraId="5639A21F">
      <w:pPr>
        <w:keepNext w:val="0"/>
        <w:keepLines w:val="0"/>
        <w:pageBreakBefore w:val="0"/>
        <w:kinsoku/>
        <w:wordWrap/>
        <w:topLinePunct w:val="0"/>
        <w:bidi w:val="0"/>
        <w:snapToGrid/>
        <w:spacing w:line="460" w:lineRule="exact"/>
        <w:jc w:val="center"/>
        <w:rPr>
          <w:rFonts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 xml:space="preserve">第五章 </w:t>
      </w:r>
      <w:r>
        <w:rPr>
          <w:rFonts w:hint="eastAsia" w:ascii="宋体" w:hAnsi="宋体" w:eastAsia="宋体" w:cs="宋体"/>
          <w:b/>
          <w:bCs/>
          <w:color w:val="auto"/>
          <w:sz w:val="21"/>
          <w:szCs w:val="21"/>
          <w:lang w:val="en-US" w:eastAsia="zh-CN"/>
        </w:rPr>
        <w:t xml:space="preserve"> </w:t>
      </w:r>
      <w:r>
        <w:rPr>
          <w:rFonts w:hint="eastAsia" w:ascii="宋体" w:hAnsi="宋体" w:eastAsia="宋体" w:cs="宋体"/>
          <w:b/>
          <w:bCs/>
          <w:color w:val="auto"/>
          <w:sz w:val="21"/>
          <w:szCs w:val="21"/>
          <w:lang w:eastAsia="zh-CN"/>
        </w:rPr>
        <w:t>运营和服务</w:t>
      </w:r>
    </w:p>
    <w:p w14:paraId="02CED7D9">
      <w:pPr>
        <w:keepNext w:val="0"/>
        <w:keepLines w:val="0"/>
        <w:pageBreakBefore w:val="0"/>
        <w:kinsoku/>
        <w:wordWrap/>
        <w:topLinePunct w:val="0"/>
        <w:bidi w:val="0"/>
        <w:snapToGrid/>
        <w:spacing w:line="460" w:lineRule="exact"/>
        <w:ind w:firstLine="422" w:firstLineChars="200"/>
        <w:rPr>
          <w:rFonts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第十五条 运营和服务</w:t>
      </w:r>
    </w:p>
    <w:p w14:paraId="479E0F4C">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val="en-US" w:eastAsia="zh-CN"/>
        </w:rPr>
        <w:t>一、</w:t>
      </w:r>
      <w:r>
        <w:rPr>
          <w:rFonts w:hint="eastAsia" w:ascii="宋体" w:hAnsi="宋体" w:eastAsia="宋体" w:cs="宋体"/>
          <w:color w:val="auto"/>
          <w:sz w:val="21"/>
          <w:szCs w:val="21"/>
          <w:lang w:eastAsia="zh-CN"/>
        </w:rPr>
        <w:t>乙方在本合同约定的运营期期限内应自行承担运营服务的责任和风险，管理、运营和维护项目设施，负责整个工程和全部设备的日常维护和维修，使项目设施处于良好的使用状态。</w:t>
      </w:r>
    </w:p>
    <w:p w14:paraId="13AA4B6E">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val="en-US" w:eastAsia="zh-CN"/>
        </w:rPr>
        <w:t>二、</w:t>
      </w:r>
      <w:r>
        <w:rPr>
          <w:rFonts w:hint="eastAsia" w:ascii="宋体" w:hAnsi="宋体" w:eastAsia="宋体" w:cs="宋体"/>
          <w:color w:val="auto"/>
          <w:sz w:val="21"/>
          <w:szCs w:val="21"/>
          <w:lang w:eastAsia="zh-CN"/>
        </w:rPr>
        <w:t>甲方在职权范围内应负责提供包括但不限于文件、证明等手续以保证乙方充分享有本合同项下的经营权，以最大限度保证经营权的充分行使。</w:t>
      </w:r>
    </w:p>
    <w:p w14:paraId="7A1B712D">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val="en-US" w:eastAsia="zh-CN"/>
        </w:rPr>
        <w:t>三、</w:t>
      </w:r>
      <w:r>
        <w:rPr>
          <w:rFonts w:hint="eastAsia" w:ascii="宋体" w:hAnsi="宋体" w:eastAsia="宋体" w:cs="宋体"/>
          <w:color w:val="auto"/>
          <w:sz w:val="21"/>
          <w:szCs w:val="21"/>
          <w:lang w:eastAsia="zh-CN"/>
        </w:rPr>
        <w:t>运营期间，乙方负责完成运营期间的各项整改、维修、调试、试运营管理工作，以及员工的管理培训、技术培训、特殊岗位的上岗培训等工作，逐步建立起运营服务技术规范与操作规程。</w:t>
      </w:r>
    </w:p>
    <w:p w14:paraId="6DB740FA">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val="en-US" w:eastAsia="zh-CN"/>
        </w:rPr>
        <w:t>四、</w:t>
      </w:r>
      <w:r>
        <w:rPr>
          <w:rFonts w:hint="eastAsia" w:ascii="宋体" w:hAnsi="宋体" w:eastAsia="宋体" w:cs="宋体"/>
          <w:color w:val="auto"/>
          <w:sz w:val="21"/>
          <w:szCs w:val="21"/>
          <w:lang w:eastAsia="zh-CN"/>
        </w:rPr>
        <w:t>乙方有权独立行使对本项目中停车场、路边停车位及其附属设施的经营权，合法经营不受干涉。乙方有权获得合理收益，同时应自行承担运营成本，并承担运营期间的亏损风险和责任。</w:t>
      </w:r>
    </w:p>
    <w:p w14:paraId="6BF30135">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val="en-US" w:eastAsia="zh-CN"/>
        </w:rPr>
        <w:t>五、</w:t>
      </w:r>
      <w:r>
        <w:rPr>
          <w:rFonts w:hint="eastAsia" w:ascii="宋体" w:hAnsi="宋体" w:eastAsia="宋体" w:cs="宋体"/>
          <w:color w:val="auto"/>
          <w:sz w:val="21"/>
          <w:szCs w:val="21"/>
          <w:lang w:eastAsia="zh-CN"/>
        </w:rPr>
        <w:t>公共停车场项目建成投用后，未经甲方及相关部门批准不得擅自改变用途。</w:t>
      </w:r>
    </w:p>
    <w:p w14:paraId="5CD7E29A">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val="en-US" w:eastAsia="zh-CN"/>
        </w:rPr>
        <w:t>六、</w:t>
      </w:r>
      <w:r>
        <w:rPr>
          <w:rFonts w:hint="eastAsia" w:ascii="宋体" w:hAnsi="宋体" w:eastAsia="宋体" w:cs="宋体"/>
          <w:color w:val="auto"/>
          <w:sz w:val="21"/>
          <w:szCs w:val="21"/>
          <w:lang w:eastAsia="zh-CN"/>
        </w:rPr>
        <w:t>乙方有责任维护该项目所有设施，运营期满，所有设备设施应保持良好的运行状态移交至甲方。</w:t>
      </w:r>
    </w:p>
    <w:p w14:paraId="2B011056">
      <w:pPr>
        <w:keepNext w:val="0"/>
        <w:keepLines w:val="0"/>
        <w:pageBreakBefore w:val="0"/>
        <w:kinsoku/>
        <w:wordWrap/>
        <w:topLinePunct w:val="0"/>
        <w:bidi w:val="0"/>
        <w:snapToGrid/>
        <w:spacing w:line="460" w:lineRule="exact"/>
        <w:ind w:firstLine="422" w:firstLineChars="200"/>
        <w:rPr>
          <w:rFonts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第十六条 项目运营管理要求</w:t>
      </w:r>
    </w:p>
    <w:p w14:paraId="70C30109">
      <w:pPr>
        <w:keepNext w:val="0"/>
        <w:keepLines w:val="0"/>
        <w:pageBreakBefore w:val="0"/>
        <w:kinsoku/>
        <w:wordWrap/>
        <w:topLinePunct w:val="0"/>
        <w:bidi w:val="0"/>
        <w:snapToGrid/>
        <w:spacing w:line="460" w:lineRule="exact"/>
        <w:ind w:firstLine="422" w:firstLineChars="200"/>
        <w:rPr>
          <w:rFonts w:ascii="宋体" w:hAnsi="宋体" w:eastAsia="宋体" w:cs="宋体"/>
          <w:b/>
          <w:bCs/>
          <w:color w:val="auto"/>
          <w:sz w:val="21"/>
          <w:szCs w:val="21"/>
          <w:lang w:eastAsia="zh-CN"/>
        </w:rPr>
      </w:pPr>
      <w:r>
        <w:rPr>
          <w:rFonts w:hint="eastAsia" w:ascii="宋体" w:hAnsi="宋体" w:cs="宋体"/>
          <w:b/>
          <w:bCs/>
          <w:color w:val="auto"/>
          <w:sz w:val="21"/>
          <w:szCs w:val="21"/>
          <w:lang w:val="en-US" w:eastAsia="zh-CN"/>
        </w:rPr>
        <w:t>一、</w:t>
      </w:r>
      <w:r>
        <w:rPr>
          <w:rFonts w:hint="eastAsia" w:ascii="宋体" w:hAnsi="宋体" w:eastAsia="宋体" w:cs="宋体"/>
          <w:b/>
          <w:bCs/>
          <w:color w:val="auto"/>
          <w:sz w:val="21"/>
          <w:szCs w:val="21"/>
          <w:lang w:eastAsia="zh-CN"/>
        </w:rPr>
        <w:t>通用要求</w:t>
      </w:r>
    </w:p>
    <w:p w14:paraId="37C417D0">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一</w:t>
      </w:r>
      <w:r>
        <w:rPr>
          <w:rFonts w:hint="eastAsia" w:ascii="宋体" w:hAnsi="宋体" w:cs="宋体"/>
          <w:color w:val="auto"/>
          <w:sz w:val="21"/>
          <w:szCs w:val="21"/>
          <w:lang w:eastAsia="zh-CN"/>
        </w:rPr>
        <w:t>）</w:t>
      </w:r>
      <w:r>
        <w:rPr>
          <w:rFonts w:hint="eastAsia" w:ascii="宋体" w:hAnsi="宋体" w:eastAsia="宋体" w:cs="宋体"/>
          <w:color w:val="auto"/>
          <w:sz w:val="21"/>
          <w:szCs w:val="21"/>
          <w:lang w:eastAsia="zh-CN"/>
        </w:rPr>
        <w:t>人员及场地要求</w:t>
      </w:r>
    </w:p>
    <w:p w14:paraId="52012A4C">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val="en-US" w:eastAsia="zh-CN"/>
        </w:rPr>
        <w:t>1、</w:t>
      </w:r>
      <w:r>
        <w:rPr>
          <w:rFonts w:hint="eastAsia" w:ascii="宋体" w:hAnsi="宋体" w:eastAsia="宋体" w:cs="宋体"/>
          <w:color w:val="auto"/>
          <w:sz w:val="21"/>
          <w:szCs w:val="21"/>
          <w:lang w:eastAsia="zh-CN"/>
        </w:rPr>
        <w:t>项目公司须在当地成立项目公司，组建专业的运营团队，实施专业化的运营管理，在项目推广、企业内部管理、车位（场）现场管理、应急措施与预案等方面应具有丰富的运营管理经验。</w:t>
      </w:r>
    </w:p>
    <w:p w14:paraId="0AC570F2">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2</w:t>
      </w:r>
      <w:r>
        <w:rPr>
          <w:rFonts w:hint="eastAsia" w:ascii="宋体" w:hAnsi="宋体" w:cs="宋体"/>
          <w:color w:val="auto"/>
          <w:sz w:val="21"/>
          <w:szCs w:val="21"/>
          <w:lang w:eastAsia="zh-CN"/>
        </w:rPr>
        <w:t>、</w:t>
      </w:r>
      <w:r>
        <w:rPr>
          <w:rFonts w:hint="eastAsia" w:ascii="宋体" w:hAnsi="宋体" w:eastAsia="宋体" w:cs="宋体"/>
          <w:color w:val="auto"/>
          <w:sz w:val="21"/>
          <w:szCs w:val="21"/>
          <w:lang w:eastAsia="zh-CN"/>
        </w:rPr>
        <w:t>用工要求符合《中华人民共和国民法典》及相关规定，为所招用的工作人员根据法律法规规定办理相关的社会保险，负责工作人员的劳动保护和人身安全。</w:t>
      </w:r>
    </w:p>
    <w:p w14:paraId="1148948D">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3</w:t>
      </w:r>
      <w:r>
        <w:rPr>
          <w:rFonts w:hint="eastAsia" w:ascii="宋体" w:hAnsi="宋体" w:cs="宋体"/>
          <w:color w:val="auto"/>
          <w:sz w:val="21"/>
          <w:szCs w:val="21"/>
          <w:lang w:eastAsia="zh-CN"/>
        </w:rPr>
        <w:t>、</w:t>
      </w:r>
      <w:r>
        <w:rPr>
          <w:rFonts w:hint="eastAsia" w:ascii="宋体" w:hAnsi="宋体" w:eastAsia="宋体" w:cs="宋体"/>
          <w:color w:val="auto"/>
          <w:sz w:val="21"/>
          <w:szCs w:val="21"/>
          <w:lang w:eastAsia="zh-CN"/>
        </w:rPr>
        <w:t>从事停车管理的人员，必须经过岗前培训合格后上岗，必须熟知相应收费标准以及各类收费操作流程，需佩戴工作证，注意个人仪容和礼貌，有良好的职业道德和服务态度，语言、动作规范，文明值勤。</w:t>
      </w:r>
    </w:p>
    <w:p w14:paraId="68AE85A2">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二</w:t>
      </w:r>
      <w:r>
        <w:rPr>
          <w:rFonts w:hint="eastAsia" w:ascii="宋体" w:hAnsi="宋体" w:cs="宋体"/>
          <w:color w:val="auto"/>
          <w:sz w:val="21"/>
          <w:szCs w:val="21"/>
          <w:lang w:eastAsia="zh-CN"/>
        </w:rPr>
        <w:t>）</w:t>
      </w:r>
      <w:r>
        <w:rPr>
          <w:rFonts w:hint="eastAsia" w:ascii="宋体" w:hAnsi="宋体" w:eastAsia="宋体" w:cs="宋体"/>
          <w:color w:val="auto"/>
          <w:sz w:val="21"/>
          <w:szCs w:val="21"/>
          <w:lang w:eastAsia="zh-CN"/>
        </w:rPr>
        <w:t>工作配合要求</w:t>
      </w:r>
    </w:p>
    <w:p w14:paraId="79C8A529">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项目公司必须遵守甲方各项管理规定，接受和服从甲方的管理及考评，及时根据甲方提出的整改意见进行整改。</w:t>
      </w:r>
    </w:p>
    <w:p w14:paraId="4EB7E6C2">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三</w:t>
      </w:r>
      <w:r>
        <w:rPr>
          <w:rFonts w:hint="eastAsia" w:ascii="宋体" w:hAnsi="宋体" w:cs="宋体"/>
          <w:color w:val="auto"/>
          <w:sz w:val="21"/>
          <w:szCs w:val="21"/>
          <w:lang w:eastAsia="zh-CN"/>
        </w:rPr>
        <w:t>）</w:t>
      </w:r>
      <w:r>
        <w:rPr>
          <w:rFonts w:hint="eastAsia" w:ascii="宋体" w:hAnsi="宋体" w:eastAsia="宋体" w:cs="宋体"/>
          <w:color w:val="auto"/>
          <w:sz w:val="21"/>
          <w:szCs w:val="21"/>
          <w:lang w:eastAsia="zh-CN"/>
        </w:rPr>
        <w:t>投诉处理要求</w:t>
      </w:r>
    </w:p>
    <w:p w14:paraId="06DF3087">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1</w:t>
      </w:r>
      <w:r>
        <w:rPr>
          <w:rFonts w:hint="eastAsia" w:ascii="宋体" w:hAnsi="宋体" w:cs="宋体"/>
          <w:color w:val="auto"/>
          <w:sz w:val="21"/>
          <w:szCs w:val="21"/>
          <w:lang w:eastAsia="zh-CN"/>
        </w:rPr>
        <w:t>、</w:t>
      </w:r>
      <w:r>
        <w:rPr>
          <w:rFonts w:hint="eastAsia" w:ascii="宋体" w:hAnsi="宋体" w:eastAsia="宋体" w:cs="宋体"/>
          <w:color w:val="auto"/>
          <w:sz w:val="21"/>
          <w:szCs w:val="21"/>
          <w:lang w:eastAsia="zh-CN"/>
        </w:rPr>
        <w:t>项目公司必须按招标要求做好日常停车管理工作，减少群众通过来信、来电、来访等方式的投诉。</w:t>
      </w:r>
    </w:p>
    <w:p w14:paraId="6E55EC50">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2</w:t>
      </w:r>
      <w:r>
        <w:rPr>
          <w:rFonts w:hint="eastAsia" w:ascii="宋体" w:hAnsi="宋体" w:cs="宋体"/>
          <w:color w:val="auto"/>
          <w:sz w:val="21"/>
          <w:szCs w:val="21"/>
          <w:lang w:eastAsia="zh-CN"/>
        </w:rPr>
        <w:t>、</w:t>
      </w:r>
      <w:r>
        <w:rPr>
          <w:rFonts w:hint="eastAsia" w:ascii="宋体" w:hAnsi="宋体" w:eastAsia="宋体" w:cs="宋体"/>
          <w:color w:val="auto"/>
          <w:sz w:val="21"/>
          <w:szCs w:val="21"/>
          <w:lang w:eastAsia="zh-CN"/>
        </w:rPr>
        <w:t>项目公司直接或间接收到群众通过来信、来电、来访等方式的投诉，必须及时妥善处理整改，避免反复投诉。</w:t>
      </w:r>
    </w:p>
    <w:p w14:paraId="20395C8E">
      <w:pPr>
        <w:keepNext w:val="0"/>
        <w:keepLines w:val="0"/>
        <w:pageBreakBefore w:val="0"/>
        <w:kinsoku/>
        <w:wordWrap/>
        <w:topLinePunct w:val="0"/>
        <w:bidi w:val="0"/>
        <w:snapToGrid/>
        <w:spacing w:line="460" w:lineRule="exact"/>
        <w:ind w:firstLine="422" w:firstLineChars="200"/>
        <w:rPr>
          <w:rFonts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二</w:t>
      </w:r>
      <w:r>
        <w:rPr>
          <w:rFonts w:hint="eastAsia" w:ascii="宋体" w:hAnsi="宋体" w:cs="宋体"/>
          <w:b/>
          <w:bCs/>
          <w:color w:val="auto"/>
          <w:sz w:val="21"/>
          <w:szCs w:val="21"/>
          <w:lang w:eastAsia="zh-CN"/>
        </w:rPr>
        <w:t>、</w:t>
      </w:r>
      <w:r>
        <w:rPr>
          <w:rFonts w:hint="eastAsia" w:ascii="宋体" w:hAnsi="宋体" w:eastAsia="宋体" w:cs="宋体"/>
          <w:b/>
          <w:bCs/>
          <w:color w:val="auto"/>
          <w:sz w:val="21"/>
          <w:szCs w:val="21"/>
          <w:lang w:eastAsia="zh-CN"/>
        </w:rPr>
        <w:t>运营服务规范要求</w:t>
      </w:r>
    </w:p>
    <w:p w14:paraId="4BE0B5EA">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一</w:t>
      </w:r>
      <w:r>
        <w:rPr>
          <w:rFonts w:hint="eastAsia" w:ascii="宋体" w:hAnsi="宋体" w:cs="宋体"/>
          <w:color w:val="auto"/>
          <w:sz w:val="21"/>
          <w:szCs w:val="21"/>
          <w:lang w:eastAsia="zh-CN"/>
        </w:rPr>
        <w:t>）</w:t>
      </w:r>
      <w:r>
        <w:rPr>
          <w:rFonts w:hint="eastAsia" w:ascii="宋体" w:hAnsi="宋体" w:eastAsia="宋体" w:cs="宋体"/>
          <w:color w:val="auto"/>
          <w:sz w:val="21"/>
          <w:szCs w:val="21"/>
          <w:lang w:eastAsia="zh-CN"/>
        </w:rPr>
        <w:t>收费管理内容及要求</w:t>
      </w:r>
    </w:p>
    <w:p w14:paraId="7E477782">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1</w:t>
      </w:r>
      <w:r>
        <w:rPr>
          <w:rFonts w:hint="eastAsia" w:ascii="宋体" w:hAnsi="宋体" w:cs="宋体"/>
          <w:color w:val="auto"/>
          <w:sz w:val="21"/>
          <w:szCs w:val="21"/>
          <w:lang w:eastAsia="zh-CN"/>
        </w:rPr>
        <w:t>、</w:t>
      </w:r>
      <w:r>
        <w:rPr>
          <w:rFonts w:hint="eastAsia" w:ascii="宋体" w:hAnsi="宋体" w:eastAsia="宋体" w:cs="宋体"/>
          <w:color w:val="auto"/>
          <w:sz w:val="21"/>
          <w:szCs w:val="21"/>
          <w:lang w:eastAsia="zh-CN"/>
        </w:rPr>
        <w:t>项目公司须配置足够数量的巡查人员、技术人员、客服人员、管理人员及设备、设施等，确保提供专业、完善的停车运营管理服务。</w:t>
      </w:r>
    </w:p>
    <w:p w14:paraId="5CE8DD84">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2</w:t>
      </w:r>
      <w:r>
        <w:rPr>
          <w:rFonts w:hint="eastAsia" w:ascii="宋体" w:hAnsi="宋体" w:cs="宋体"/>
          <w:color w:val="auto"/>
          <w:sz w:val="21"/>
          <w:szCs w:val="21"/>
          <w:lang w:eastAsia="zh-CN"/>
        </w:rPr>
        <w:t>、</w:t>
      </w:r>
      <w:r>
        <w:rPr>
          <w:rFonts w:hint="eastAsia" w:ascii="宋体" w:hAnsi="宋体" w:eastAsia="宋体" w:cs="宋体"/>
          <w:color w:val="auto"/>
          <w:sz w:val="21"/>
          <w:szCs w:val="21"/>
          <w:lang w:eastAsia="zh-CN"/>
        </w:rPr>
        <w:t>项目公司须维持停车位、停车场内机动车停放和行驶秩序，禁止超高、超长、超重等可能造成公共设施损坏的车辆停放。</w:t>
      </w:r>
    </w:p>
    <w:p w14:paraId="09E92F2C">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3</w:t>
      </w:r>
      <w:r>
        <w:rPr>
          <w:rFonts w:hint="eastAsia" w:ascii="宋体" w:hAnsi="宋体" w:cs="宋体"/>
          <w:color w:val="auto"/>
          <w:sz w:val="21"/>
          <w:szCs w:val="21"/>
          <w:lang w:eastAsia="zh-CN"/>
        </w:rPr>
        <w:t>、</w:t>
      </w:r>
      <w:r>
        <w:rPr>
          <w:rFonts w:hint="eastAsia" w:ascii="宋体" w:hAnsi="宋体" w:eastAsia="宋体" w:cs="宋体"/>
          <w:color w:val="auto"/>
          <w:sz w:val="21"/>
          <w:szCs w:val="21"/>
          <w:lang w:eastAsia="zh-CN"/>
        </w:rPr>
        <w:t>项目公司负责停车用户的服务工作，除设立客服部门外，还需提供电话、邮件、网站等渠道服务用户。</w:t>
      </w:r>
    </w:p>
    <w:p w14:paraId="6481D91D">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4</w:t>
      </w:r>
      <w:r>
        <w:rPr>
          <w:rFonts w:hint="eastAsia" w:ascii="宋体" w:hAnsi="宋体" w:cs="宋体"/>
          <w:color w:val="auto"/>
          <w:sz w:val="21"/>
          <w:szCs w:val="21"/>
          <w:lang w:eastAsia="zh-CN"/>
        </w:rPr>
        <w:t>、</w:t>
      </w:r>
      <w:r>
        <w:rPr>
          <w:rFonts w:hint="eastAsia" w:ascii="宋体" w:hAnsi="宋体" w:eastAsia="宋体" w:cs="宋体"/>
          <w:color w:val="auto"/>
          <w:sz w:val="21"/>
          <w:szCs w:val="21"/>
          <w:lang w:eastAsia="zh-CN"/>
        </w:rPr>
        <w:t>停车收费标准：</w:t>
      </w:r>
    </w:p>
    <w:p w14:paraId="0738ECA1">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本项目合同签订后</w:t>
      </w:r>
      <w:r>
        <w:rPr>
          <w:rFonts w:hint="eastAsia" w:ascii="宋体" w:hAnsi="宋体" w:eastAsia="宋体" w:cs="宋体"/>
          <w:color w:val="auto"/>
          <w:sz w:val="21"/>
          <w:szCs w:val="21"/>
          <w:u w:val="single"/>
          <w:lang w:eastAsia="zh-CN"/>
        </w:rPr>
        <w:t xml:space="preserve">    </w:t>
      </w:r>
      <w:r>
        <w:rPr>
          <w:rFonts w:hint="eastAsia" w:ascii="宋体" w:hAnsi="宋体" w:cs="宋体"/>
          <w:color w:val="auto"/>
          <w:sz w:val="21"/>
          <w:szCs w:val="21"/>
          <w:u w:val="single"/>
          <w:lang w:val="en-US" w:eastAsia="zh-CN"/>
        </w:rPr>
        <w:t xml:space="preserve">  </w:t>
      </w:r>
      <w:r>
        <w:rPr>
          <w:rFonts w:hint="eastAsia" w:ascii="宋体" w:hAnsi="宋体" w:eastAsia="宋体" w:cs="宋体"/>
          <w:color w:val="auto"/>
          <w:sz w:val="21"/>
          <w:szCs w:val="21"/>
          <w:u w:val="none"/>
          <w:lang w:eastAsia="zh-CN"/>
        </w:rPr>
        <w:t>个月</w:t>
      </w:r>
      <w:r>
        <w:rPr>
          <w:rFonts w:hint="eastAsia" w:ascii="宋体" w:hAnsi="宋体" w:eastAsia="宋体" w:cs="宋体"/>
          <w:color w:val="auto"/>
          <w:sz w:val="21"/>
          <w:szCs w:val="21"/>
          <w:lang w:eastAsia="zh-CN"/>
        </w:rPr>
        <w:t>内由政府制定停车收费标准及停车收费时间并对外公布。运营期间停车收费标准根据当地物价实施情况进行调整。</w:t>
      </w:r>
    </w:p>
    <w:p w14:paraId="59D0582E">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5</w:t>
      </w:r>
      <w:r>
        <w:rPr>
          <w:rFonts w:hint="eastAsia" w:ascii="宋体" w:hAnsi="宋体" w:cs="宋体"/>
          <w:color w:val="auto"/>
          <w:sz w:val="21"/>
          <w:szCs w:val="21"/>
          <w:lang w:eastAsia="zh-CN"/>
        </w:rPr>
        <w:t>、</w:t>
      </w:r>
      <w:r>
        <w:rPr>
          <w:rFonts w:hint="eastAsia" w:ascii="宋体" w:hAnsi="宋体" w:eastAsia="宋体" w:cs="宋体"/>
          <w:color w:val="auto"/>
          <w:sz w:val="21"/>
          <w:szCs w:val="21"/>
          <w:lang w:eastAsia="zh-CN"/>
        </w:rPr>
        <w:t>项目公司须遵守有关法律、法规和规章的规定，按停车位、停车场的规划布局情况设立标志及收费公示牌（公布经政府制定的收费标准及监督投诉电话）。</w:t>
      </w:r>
    </w:p>
    <w:p w14:paraId="5E69BB78">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6</w:t>
      </w:r>
      <w:r>
        <w:rPr>
          <w:rFonts w:hint="eastAsia" w:ascii="宋体" w:hAnsi="宋体" w:cs="宋体"/>
          <w:color w:val="auto"/>
          <w:sz w:val="21"/>
          <w:szCs w:val="21"/>
          <w:lang w:eastAsia="zh-CN"/>
        </w:rPr>
        <w:t>、</w:t>
      </w:r>
      <w:r>
        <w:rPr>
          <w:rFonts w:hint="eastAsia" w:ascii="宋体" w:hAnsi="宋体" w:eastAsia="宋体" w:cs="宋体"/>
          <w:color w:val="auto"/>
          <w:sz w:val="21"/>
          <w:szCs w:val="21"/>
          <w:lang w:eastAsia="zh-CN"/>
        </w:rPr>
        <w:t>项目公司须建立各项经营管理制度，接受政府以及群众监督。</w:t>
      </w:r>
    </w:p>
    <w:p w14:paraId="22D6F918">
      <w:pPr>
        <w:keepNext w:val="0"/>
        <w:keepLines w:val="0"/>
        <w:pageBreakBefore w:val="0"/>
        <w:kinsoku/>
        <w:wordWrap/>
        <w:topLinePunct w:val="0"/>
        <w:bidi w:val="0"/>
        <w:snapToGrid/>
        <w:spacing w:line="460" w:lineRule="exact"/>
        <w:jc w:val="center"/>
        <w:rPr>
          <w:rFonts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 xml:space="preserve">第六章 </w:t>
      </w:r>
      <w:r>
        <w:rPr>
          <w:rFonts w:hint="eastAsia" w:ascii="宋体" w:hAnsi="宋体" w:eastAsia="宋体" w:cs="宋体"/>
          <w:b/>
          <w:bCs/>
          <w:color w:val="auto"/>
          <w:sz w:val="21"/>
          <w:szCs w:val="21"/>
          <w:lang w:val="en-US" w:eastAsia="zh-CN"/>
        </w:rPr>
        <w:t xml:space="preserve"> </w:t>
      </w:r>
      <w:r>
        <w:rPr>
          <w:rFonts w:hint="eastAsia" w:ascii="宋体" w:hAnsi="宋体" w:eastAsia="宋体" w:cs="宋体"/>
          <w:b/>
          <w:bCs/>
          <w:color w:val="auto"/>
          <w:sz w:val="21"/>
          <w:szCs w:val="21"/>
          <w:lang w:eastAsia="zh-CN"/>
        </w:rPr>
        <w:t>收入</w:t>
      </w:r>
    </w:p>
    <w:p w14:paraId="3172FCCC">
      <w:pPr>
        <w:keepNext w:val="0"/>
        <w:keepLines w:val="0"/>
        <w:pageBreakBefore w:val="0"/>
        <w:kinsoku/>
        <w:wordWrap/>
        <w:topLinePunct w:val="0"/>
        <w:bidi w:val="0"/>
        <w:snapToGrid/>
        <w:spacing w:line="460" w:lineRule="exact"/>
        <w:ind w:firstLine="422" w:firstLineChars="200"/>
        <w:rPr>
          <w:rFonts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第十七条 项目运营收入</w:t>
      </w:r>
    </w:p>
    <w:p w14:paraId="7943A3B0">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val="en-US" w:eastAsia="zh-CN"/>
        </w:rPr>
        <w:t>一、</w:t>
      </w:r>
      <w:r>
        <w:rPr>
          <w:rFonts w:hint="eastAsia" w:ascii="宋体" w:hAnsi="宋体" w:eastAsia="宋体" w:cs="宋体"/>
          <w:color w:val="auto"/>
          <w:sz w:val="21"/>
          <w:szCs w:val="21"/>
          <w:lang w:eastAsia="zh-CN"/>
        </w:rPr>
        <w:t>本项目收入来源包括但不限于道路临时停车泊位停车服务费；公共停车场停车服务费；项目设施破坏而获得的赔偿或补偿；依据项目建设运营且经甲方批准的其他经营活动收入。</w:t>
      </w:r>
    </w:p>
    <w:p w14:paraId="2B0C188B">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val="en-US" w:eastAsia="zh-CN"/>
        </w:rPr>
        <w:t>二、</w:t>
      </w:r>
      <w:r>
        <w:rPr>
          <w:rFonts w:hint="eastAsia" w:ascii="宋体" w:hAnsi="宋体" w:eastAsia="宋体" w:cs="宋体"/>
          <w:color w:val="auto"/>
          <w:sz w:val="21"/>
          <w:szCs w:val="21"/>
          <w:lang w:eastAsia="zh-CN"/>
        </w:rPr>
        <w:t>运营期内，项目公司通过使用者付费模式实现其投资回报并获得合理利润。</w:t>
      </w:r>
    </w:p>
    <w:p w14:paraId="2945C0DC">
      <w:pPr>
        <w:keepNext w:val="0"/>
        <w:keepLines w:val="0"/>
        <w:pageBreakBefore w:val="0"/>
        <w:kinsoku/>
        <w:wordWrap/>
        <w:topLinePunct w:val="0"/>
        <w:bidi w:val="0"/>
        <w:snapToGrid/>
        <w:spacing w:line="460" w:lineRule="exact"/>
        <w:ind w:firstLine="422" w:firstLineChars="200"/>
        <w:rPr>
          <w:rFonts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第十八条 其他收入</w:t>
      </w:r>
    </w:p>
    <w:p w14:paraId="0478E90C">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甲方积极配合乙方争取国家、省市相关政策扶持资金以及各项政府补贴，计入乙方收入。</w:t>
      </w:r>
    </w:p>
    <w:p w14:paraId="07671627">
      <w:pPr>
        <w:keepNext w:val="0"/>
        <w:keepLines w:val="0"/>
        <w:pageBreakBefore w:val="0"/>
        <w:kinsoku/>
        <w:wordWrap/>
        <w:topLinePunct w:val="0"/>
        <w:bidi w:val="0"/>
        <w:snapToGrid/>
        <w:spacing w:line="460" w:lineRule="exact"/>
        <w:jc w:val="center"/>
        <w:rPr>
          <w:rFonts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 xml:space="preserve">第七章 </w:t>
      </w:r>
      <w:r>
        <w:rPr>
          <w:rFonts w:hint="eastAsia" w:ascii="宋体" w:hAnsi="宋体" w:eastAsia="宋体" w:cs="宋体"/>
          <w:b/>
          <w:bCs/>
          <w:color w:val="auto"/>
          <w:sz w:val="21"/>
          <w:szCs w:val="21"/>
          <w:lang w:val="en-US" w:eastAsia="zh-CN"/>
        </w:rPr>
        <w:t xml:space="preserve"> </w:t>
      </w:r>
      <w:r>
        <w:rPr>
          <w:rFonts w:hint="eastAsia" w:ascii="宋体" w:hAnsi="宋体" w:eastAsia="宋体" w:cs="宋体"/>
          <w:b/>
          <w:bCs/>
          <w:color w:val="auto"/>
          <w:sz w:val="21"/>
          <w:szCs w:val="21"/>
          <w:lang w:eastAsia="zh-CN"/>
        </w:rPr>
        <w:t>项目移交</w:t>
      </w:r>
    </w:p>
    <w:p w14:paraId="73448634">
      <w:pPr>
        <w:keepNext w:val="0"/>
        <w:keepLines w:val="0"/>
        <w:pageBreakBefore w:val="0"/>
        <w:kinsoku/>
        <w:wordWrap/>
        <w:topLinePunct w:val="0"/>
        <w:bidi w:val="0"/>
        <w:snapToGrid/>
        <w:spacing w:line="460" w:lineRule="exact"/>
        <w:ind w:firstLine="422" w:firstLineChars="200"/>
        <w:rPr>
          <w:rFonts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第十九条 本项目的移交</w:t>
      </w:r>
    </w:p>
    <w:p w14:paraId="155D3EFE">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val="en-US" w:eastAsia="zh-CN"/>
        </w:rPr>
        <w:t>一、</w:t>
      </w:r>
      <w:r>
        <w:rPr>
          <w:rFonts w:hint="eastAsia" w:ascii="宋体" w:hAnsi="宋体" w:eastAsia="宋体" w:cs="宋体"/>
          <w:color w:val="auto"/>
          <w:sz w:val="21"/>
          <w:szCs w:val="21"/>
          <w:lang w:eastAsia="zh-CN"/>
        </w:rPr>
        <w:t>在本项目运营期满时，乙方应将本合同所规定的移交内容移交给甲方，并且不得向甲方索取任何补偿或提出任何其他要求。</w:t>
      </w:r>
    </w:p>
    <w:p w14:paraId="1BE3DFDD">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val="en-US" w:eastAsia="zh-CN"/>
        </w:rPr>
        <w:t>二、</w:t>
      </w:r>
      <w:r>
        <w:rPr>
          <w:rFonts w:hint="eastAsia" w:ascii="宋体" w:hAnsi="宋体" w:eastAsia="宋体" w:cs="宋体"/>
          <w:color w:val="auto"/>
          <w:sz w:val="21"/>
          <w:szCs w:val="21"/>
          <w:lang w:eastAsia="zh-CN"/>
        </w:rPr>
        <w:t>本项目合同期满前为项目移交过渡期，在项目移交过渡期内，乙方将项目设施及相关资料无偿移交给甲方或其指定单位。</w:t>
      </w:r>
    </w:p>
    <w:p w14:paraId="00642333">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val="en-US" w:eastAsia="zh-CN"/>
        </w:rPr>
        <w:t>三、</w:t>
      </w:r>
      <w:r>
        <w:rPr>
          <w:rFonts w:hint="eastAsia" w:ascii="宋体" w:hAnsi="宋体" w:eastAsia="宋体" w:cs="宋体"/>
          <w:color w:val="auto"/>
          <w:sz w:val="21"/>
          <w:szCs w:val="21"/>
          <w:lang w:eastAsia="zh-CN"/>
        </w:rPr>
        <w:t>在移交之日，甲方和乙方双方将正式签署移交清单，经双方授权代表签字或盖章后，意味着乙方对本项目经营权的结束和终止。</w:t>
      </w:r>
    </w:p>
    <w:p w14:paraId="4B5BD16A">
      <w:pPr>
        <w:keepNext w:val="0"/>
        <w:keepLines w:val="0"/>
        <w:pageBreakBefore w:val="0"/>
        <w:numPr>
          <w:ilvl w:val="0"/>
          <w:numId w:val="0"/>
        </w:numPr>
        <w:kinsoku/>
        <w:wordWrap/>
        <w:topLinePunct w:val="0"/>
        <w:bidi w:val="0"/>
        <w:snapToGrid/>
        <w:spacing w:line="460" w:lineRule="exact"/>
        <w:jc w:val="center"/>
        <w:rPr>
          <w:rFonts w:ascii="宋体" w:hAnsi="宋体" w:eastAsia="宋体" w:cs="宋体"/>
          <w:b/>
          <w:bCs/>
          <w:color w:val="auto"/>
          <w:sz w:val="21"/>
          <w:szCs w:val="21"/>
          <w:lang w:eastAsia="zh-CN"/>
        </w:rPr>
      </w:pPr>
      <w:r>
        <w:rPr>
          <w:rFonts w:hint="eastAsia" w:ascii="宋体" w:hAnsi="宋体" w:cs="宋体"/>
          <w:b/>
          <w:bCs/>
          <w:color w:val="auto"/>
          <w:sz w:val="21"/>
          <w:szCs w:val="21"/>
          <w:lang w:val="en-US" w:eastAsia="zh-CN"/>
        </w:rPr>
        <w:t xml:space="preserve">第八章  </w:t>
      </w:r>
      <w:r>
        <w:rPr>
          <w:rFonts w:hint="eastAsia" w:ascii="宋体" w:hAnsi="宋体" w:eastAsia="宋体" w:cs="宋体"/>
          <w:b/>
          <w:bCs/>
          <w:color w:val="auto"/>
          <w:sz w:val="21"/>
          <w:szCs w:val="21"/>
          <w:lang w:eastAsia="zh-CN"/>
        </w:rPr>
        <w:t>不可抗力事件</w:t>
      </w:r>
    </w:p>
    <w:p w14:paraId="74B45FB0">
      <w:pPr>
        <w:keepNext w:val="0"/>
        <w:keepLines w:val="0"/>
        <w:pageBreakBefore w:val="0"/>
        <w:kinsoku/>
        <w:wordWrap/>
        <w:topLinePunct w:val="0"/>
        <w:bidi w:val="0"/>
        <w:snapToGrid/>
        <w:spacing w:line="460" w:lineRule="exact"/>
        <w:ind w:firstLine="422" w:firstLineChars="200"/>
        <w:rPr>
          <w:rFonts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第二十条 不可抗力</w:t>
      </w:r>
    </w:p>
    <w:p w14:paraId="25493B55">
      <w:pPr>
        <w:keepNext w:val="0"/>
        <w:keepLines w:val="0"/>
        <w:pageBreakBefore w:val="0"/>
        <w:kinsoku/>
        <w:wordWrap/>
        <w:topLinePunct w:val="0"/>
        <w:bidi w:val="0"/>
        <w:snapToGrid/>
        <w:spacing w:line="460" w:lineRule="exact"/>
        <w:ind w:firstLine="420"/>
        <w:rPr>
          <w:rFonts w:hint="eastAsia" w:ascii="宋体" w:hAnsi="宋体" w:eastAsia="宋体" w:cs="宋体"/>
          <w:b/>
          <w:bCs/>
          <w:color w:val="auto"/>
          <w:sz w:val="21"/>
          <w:szCs w:val="21"/>
          <w:lang w:eastAsia="zh-CN"/>
        </w:rPr>
      </w:pPr>
      <w:r>
        <w:rPr>
          <w:rFonts w:hint="eastAsia" w:ascii="宋体" w:hAnsi="宋体" w:eastAsia="宋体" w:cs="宋体"/>
          <w:color w:val="auto"/>
          <w:sz w:val="21"/>
          <w:szCs w:val="21"/>
          <w:lang w:eastAsia="zh-CN"/>
        </w:rPr>
        <w:t>自然灾害、政府原因或法律政策变化等不可抗力因素，因发生前述不可抗力因素造成乙方暂时丧失经营场地或者中止经营的，不可抗力期间甲方不向乙方收取管理服务费，待不可抗力因素消失后继续计算运营期限。如上述不可抗力因素导致本合同无法继续履行的，本合同自行终止，乙方于合同终止之日起30日内自行撤出，乙方的损失甲方不承担责任，双方均不承担违约责任。</w:t>
      </w:r>
    </w:p>
    <w:p w14:paraId="23425DDB">
      <w:pPr>
        <w:keepNext w:val="0"/>
        <w:keepLines w:val="0"/>
        <w:pageBreakBefore w:val="0"/>
        <w:numPr>
          <w:ilvl w:val="0"/>
          <w:numId w:val="0"/>
        </w:numPr>
        <w:kinsoku/>
        <w:wordWrap/>
        <w:topLinePunct w:val="0"/>
        <w:bidi w:val="0"/>
        <w:snapToGrid/>
        <w:spacing w:line="460" w:lineRule="exact"/>
        <w:jc w:val="center"/>
        <w:rPr>
          <w:rFonts w:hint="eastAsia" w:ascii="宋体" w:hAnsi="宋体" w:eastAsia="宋体" w:cs="宋体"/>
          <w:b/>
          <w:bCs/>
          <w:color w:val="auto"/>
          <w:kern w:val="0"/>
          <w:sz w:val="21"/>
          <w:szCs w:val="21"/>
        </w:rPr>
      </w:pPr>
      <w:r>
        <w:rPr>
          <w:rFonts w:hint="eastAsia" w:ascii="宋体" w:hAnsi="宋体" w:cs="宋体"/>
          <w:b/>
          <w:bCs/>
          <w:color w:val="auto"/>
          <w:sz w:val="21"/>
          <w:szCs w:val="21"/>
          <w:lang w:val="en-US" w:eastAsia="zh-CN"/>
        </w:rPr>
        <w:t xml:space="preserve">第九章  </w:t>
      </w:r>
      <w:r>
        <w:rPr>
          <w:rFonts w:hint="eastAsia" w:ascii="宋体" w:hAnsi="宋体" w:eastAsia="宋体" w:cs="宋体"/>
          <w:b/>
          <w:bCs/>
          <w:color w:val="auto"/>
          <w:sz w:val="21"/>
          <w:szCs w:val="21"/>
          <w:lang w:eastAsia="zh-CN"/>
        </w:rPr>
        <w:t>政府</w:t>
      </w:r>
      <w:r>
        <w:rPr>
          <w:rFonts w:hint="eastAsia" w:ascii="宋体" w:hAnsi="宋体" w:eastAsia="宋体" w:cs="宋体"/>
          <w:b/>
          <w:bCs/>
          <w:color w:val="auto"/>
          <w:kern w:val="0"/>
          <w:sz w:val="21"/>
          <w:szCs w:val="21"/>
        </w:rPr>
        <w:t>承诺或保障</w:t>
      </w:r>
    </w:p>
    <w:p w14:paraId="694382F7">
      <w:pPr>
        <w:pStyle w:val="2"/>
        <w:keepNext w:val="0"/>
        <w:keepLines w:val="0"/>
        <w:pageBreakBefore w:val="0"/>
        <w:kinsoku/>
        <w:wordWrap/>
        <w:topLinePunct w:val="0"/>
        <w:bidi w:val="0"/>
        <w:snapToGrid/>
        <w:spacing w:line="460" w:lineRule="exact"/>
        <w:ind w:left="0" w:leftChars="0" w:firstLine="422" w:firstLineChars="200"/>
        <w:rPr>
          <w:rFonts w:hint="eastAsia"/>
          <w:color w:val="auto"/>
        </w:rPr>
      </w:pPr>
      <w:r>
        <w:rPr>
          <w:rFonts w:hint="eastAsia" w:ascii="宋体" w:hAnsi="宋体" w:eastAsia="宋体" w:cs="宋体"/>
          <w:b/>
          <w:bCs/>
          <w:color w:val="auto"/>
          <w:sz w:val="21"/>
          <w:szCs w:val="21"/>
          <w:lang w:eastAsia="zh-CN"/>
        </w:rPr>
        <w:t>第二十一条 政府</w:t>
      </w:r>
      <w:r>
        <w:rPr>
          <w:rFonts w:hint="eastAsia" w:ascii="宋体" w:hAnsi="宋体" w:eastAsia="宋体" w:cs="宋体"/>
          <w:b/>
          <w:bCs/>
          <w:color w:val="auto"/>
          <w:kern w:val="0"/>
          <w:sz w:val="21"/>
          <w:szCs w:val="21"/>
        </w:rPr>
        <w:t>承诺或保障</w:t>
      </w:r>
    </w:p>
    <w:p w14:paraId="3F6B9C78">
      <w:pPr>
        <w:pStyle w:val="15"/>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b w:val="0"/>
          <w:bCs w:val="0"/>
          <w:color w:val="auto"/>
          <w:kern w:val="0"/>
          <w:sz w:val="21"/>
          <w:szCs w:val="21"/>
        </w:rPr>
      </w:pPr>
      <w:r>
        <w:rPr>
          <w:rFonts w:hint="eastAsia" w:hAnsi="宋体" w:cs="宋体"/>
          <w:b w:val="0"/>
          <w:bCs w:val="0"/>
          <w:color w:val="auto"/>
          <w:kern w:val="0"/>
          <w:sz w:val="21"/>
          <w:szCs w:val="21"/>
          <w:lang w:val="en-US" w:eastAsia="zh-CN"/>
        </w:rPr>
        <w:t>一、</w:t>
      </w:r>
      <w:r>
        <w:rPr>
          <w:rFonts w:hint="eastAsia" w:ascii="宋体" w:hAnsi="宋体" w:eastAsia="宋体" w:cs="宋体"/>
          <w:b w:val="0"/>
          <w:bCs w:val="0"/>
          <w:color w:val="auto"/>
          <w:kern w:val="0"/>
          <w:sz w:val="21"/>
          <w:szCs w:val="21"/>
        </w:rPr>
        <w:t>为推进本项目的全面建设，打造示范级精品民生民心工程，区政府给予以下支持：</w:t>
      </w:r>
    </w:p>
    <w:p w14:paraId="719A77DF">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一</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区</w:t>
      </w:r>
      <w:r>
        <w:rPr>
          <w:rFonts w:hint="eastAsia" w:asciiTheme="minorEastAsia" w:hAnsiTheme="minorEastAsia" w:eastAsiaTheme="minorEastAsia" w:cstheme="minorEastAsia"/>
          <w:color w:val="auto"/>
          <w:sz w:val="21"/>
          <w:szCs w:val="21"/>
          <w:lang w:eastAsia="zh-CN"/>
        </w:rPr>
        <w:t>城管执法</w:t>
      </w:r>
      <w:r>
        <w:rPr>
          <w:rFonts w:hint="eastAsia" w:asciiTheme="minorEastAsia" w:hAnsiTheme="minorEastAsia" w:eastAsiaTheme="minorEastAsia" w:cstheme="minorEastAsia"/>
          <w:color w:val="auto"/>
          <w:sz w:val="21"/>
          <w:szCs w:val="21"/>
        </w:rPr>
        <w:t>局负责</w:t>
      </w:r>
      <w:r>
        <w:rPr>
          <w:rFonts w:hint="eastAsia" w:asciiTheme="minorEastAsia" w:hAnsiTheme="minorEastAsia" w:eastAsiaTheme="minorEastAsia" w:cstheme="minorEastAsia"/>
          <w:color w:val="auto"/>
          <w:sz w:val="21"/>
          <w:szCs w:val="21"/>
          <w:lang w:val="en-US" w:eastAsia="zh-CN"/>
        </w:rPr>
        <w:t>市容市貌日常整治维护</w:t>
      </w:r>
      <w:r>
        <w:rPr>
          <w:rFonts w:hint="eastAsia" w:asciiTheme="minorEastAsia" w:hAnsiTheme="minorEastAsia" w:eastAsiaTheme="minorEastAsia" w:cstheme="minorEastAsia"/>
          <w:color w:val="auto"/>
          <w:sz w:val="21"/>
          <w:szCs w:val="21"/>
        </w:rPr>
        <w:t>工作，依法依规处置乱停放等影响市容及交通秩序的行为</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lang w:val="en-US" w:eastAsia="zh-CN"/>
        </w:rPr>
        <w:t>配合做好停车区域划定</w:t>
      </w:r>
      <w:r>
        <w:rPr>
          <w:rFonts w:hint="eastAsia" w:asciiTheme="minorEastAsia" w:hAnsiTheme="minorEastAsia" w:eastAsiaTheme="minorEastAsia" w:cstheme="minorEastAsia"/>
          <w:color w:val="auto"/>
          <w:sz w:val="21"/>
          <w:szCs w:val="21"/>
          <w:lang w:eastAsia="zh-CN"/>
        </w:rPr>
        <w:t>。</w:t>
      </w:r>
    </w:p>
    <w:p w14:paraId="7A6EDB43">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二</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区</w:t>
      </w:r>
      <w:r>
        <w:rPr>
          <w:rFonts w:hint="eastAsia" w:asciiTheme="minorEastAsia" w:hAnsiTheme="minorEastAsia" w:eastAsiaTheme="minorEastAsia" w:cstheme="minorEastAsia"/>
          <w:color w:val="auto"/>
          <w:sz w:val="21"/>
          <w:szCs w:val="21"/>
          <w:lang w:eastAsia="zh-CN"/>
        </w:rPr>
        <w:t>自然资源</w:t>
      </w:r>
      <w:r>
        <w:rPr>
          <w:rFonts w:hint="eastAsia" w:asciiTheme="minorEastAsia" w:hAnsiTheme="minorEastAsia" w:eastAsiaTheme="minorEastAsia" w:cstheme="minorEastAsia"/>
          <w:color w:val="auto"/>
          <w:sz w:val="21"/>
          <w:szCs w:val="21"/>
          <w:lang w:val="en-US" w:eastAsia="zh-CN"/>
        </w:rPr>
        <w:t>分</w:t>
      </w:r>
      <w:r>
        <w:rPr>
          <w:rFonts w:hint="eastAsia" w:asciiTheme="minorEastAsia" w:hAnsiTheme="minorEastAsia" w:eastAsiaTheme="minorEastAsia" w:cstheme="minorEastAsia"/>
          <w:color w:val="auto"/>
          <w:sz w:val="21"/>
          <w:szCs w:val="21"/>
        </w:rPr>
        <w:t>局负责完善</w:t>
      </w:r>
      <w:r>
        <w:rPr>
          <w:rFonts w:hint="eastAsia" w:asciiTheme="minorEastAsia" w:hAnsiTheme="minorEastAsia" w:eastAsiaTheme="minorEastAsia" w:cstheme="minorEastAsia"/>
          <w:color w:val="auto"/>
          <w:sz w:val="21"/>
          <w:szCs w:val="21"/>
          <w:lang w:val="en-US" w:eastAsia="zh-CN"/>
        </w:rPr>
        <w:t>停车交通系统</w:t>
      </w:r>
      <w:r>
        <w:rPr>
          <w:rFonts w:hint="eastAsia" w:asciiTheme="minorEastAsia" w:hAnsiTheme="minorEastAsia" w:eastAsiaTheme="minorEastAsia" w:cstheme="minorEastAsia"/>
          <w:color w:val="auto"/>
          <w:sz w:val="21"/>
          <w:szCs w:val="21"/>
        </w:rPr>
        <w:t>规划</w:t>
      </w:r>
      <w:r>
        <w:rPr>
          <w:rFonts w:hint="eastAsia" w:asciiTheme="minorEastAsia" w:hAnsiTheme="minorEastAsia" w:eastAsiaTheme="minorEastAsia" w:cstheme="minorEastAsia"/>
          <w:color w:val="auto"/>
          <w:sz w:val="21"/>
          <w:szCs w:val="21"/>
          <w:lang w:val="en-US" w:eastAsia="zh-CN"/>
        </w:rPr>
        <w:t>,配合做好停车区域划定</w:t>
      </w:r>
      <w:r>
        <w:rPr>
          <w:rFonts w:hint="eastAsia" w:asciiTheme="minorEastAsia" w:hAnsiTheme="minorEastAsia" w:eastAsiaTheme="minorEastAsia" w:cstheme="minorEastAsia"/>
          <w:color w:val="auto"/>
          <w:sz w:val="21"/>
          <w:szCs w:val="21"/>
          <w:lang w:eastAsia="zh-CN"/>
        </w:rPr>
        <w:t>。</w:t>
      </w:r>
    </w:p>
    <w:p w14:paraId="227BDA0A">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三</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区经发局</w:t>
      </w:r>
      <w:r>
        <w:rPr>
          <w:rFonts w:hint="eastAsia" w:asciiTheme="minorEastAsia" w:hAnsiTheme="minorEastAsia" w:eastAsiaTheme="minorEastAsia" w:cstheme="minorEastAsia"/>
          <w:color w:val="auto"/>
          <w:sz w:val="21"/>
          <w:szCs w:val="21"/>
        </w:rPr>
        <w:t>负责</w:t>
      </w:r>
      <w:r>
        <w:rPr>
          <w:rFonts w:hint="eastAsia" w:asciiTheme="minorEastAsia" w:hAnsiTheme="minorEastAsia" w:eastAsiaTheme="minorEastAsia" w:cstheme="minorEastAsia"/>
          <w:color w:val="auto"/>
          <w:sz w:val="21"/>
          <w:szCs w:val="21"/>
          <w:lang w:val="en-US" w:eastAsia="zh-CN"/>
        </w:rPr>
        <w:t>办理停车收费审批手续，依规定制定、公布收费标准，给予企业必要的政策指导。</w:t>
      </w:r>
    </w:p>
    <w:p w14:paraId="15D62265">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四</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区</w:t>
      </w:r>
      <w:r>
        <w:rPr>
          <w:rFonts w:hint="eastAsia" w:asciiTheme="minorEastAsia" w:hAnsiTheme="minorEastAsia" w:eastAsiaTheme="minorEastAsia" w:cstheme="minorEastAsia"/>
          <w:color w:val="auto"/>
          <w:sz w:val="21"/>
          <w:szCs w:val="21"/>
        </w:rPr>
        <w:t>交通运输局</w:t>
      </w:r>
      <w:r>
        <w:rPr>
          <w:rFonts w:hint="eastAsia" w:asciiTheme="minorEastAsia" w:hAnsiTheme="minorEastAsia" w:eastAsiaTheme="minorEastAsia" w:cstheme="minorEastAsia"/>
          <w:color w:val="auto"/>
          <w:sz w:val="21"/>
          <w:szCs w:val="21"/>
          <w:lang w:val="en-US" w:eastAsia="zh-CN"/>
        </w:rPr>
        <w:t>配合做好区内停车</w:t>
      </w:r>
      <w:r>
        <w:rPr>
          <w:rFonts w:hint="eastAsia" w:asciiTheme="minorEastAsia" w:hAnsiTheme="minorEastAsia" w:eastAsiaTheme="minorEastAsia" w:cstheme="minorEastAsia"/>
          <w:color w:val="auto"/>
          <w:sz w:val="21"/>
          <w:szCs w:val="21"/>
        </w:rPr>
        <w:t>与公共交通融合发展的政策制定和统筹协调</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指导、督促</w:t>
      </w:r>
      <w:r>
        <w:rPr>
          <w:rFonts w:hint="eastAsia" w:asciiTheme="minorEastAsia" w:hAnsiTheme="minorEastAsia" w:eastAsiaTheme="minorEastAsia" w:cstheme="minorEastAsia"/>
          <w:color w:val="auto"/>
          <w:sz w:val="21"/>
          <w:szCs w:val="21"/>
          <w:lang w:val="en-US" w:eastAsia="zh-CN"/>
        </w:rPr>
        <w:t>运营企业</w:t>
      </w:r>
      <w:r>
        <w:rPr>
          <w:rFonts w:hint="eastAsia" w:asciiTheme="minorEastAsia" w:hAnsiTheme="minorEastAsia" w:eastAsiaTheme="minorEastAsia" w:cstheme="minorEastAsia"/>
          <w:color w:val="auto"/>
          <w:sz w:val="21"/>
          <w:szCs w:val="21"/>
        </w:rPr>
        <w:t>落实管理责任，做好应急处置工作；</w:t>
      </w:r>
      <w:r>
        <w:rPr>
          <w:rFonts w:hint="eastAsia" w:asciiTheme="minorEastAsia" w:hAnsiTheme="minorEastAsia" w:eastAsiaTheme="minorEastAsia" w:cstheme="minorEastAsia"/>
          <w:color w:val="auto"/>
          <w:sz w:val="21"/>
          <w:szCs w:val="21"/>
          <w:lang w:val="en-US" w:eastAsia="zh-CN"/>
        </w:rPr>
        <w:t>配合</w:t>
      </w:r>
      <w:r>
        <w:rPr>
          <w:rFonts w:hint="eastAsia" w:asciiTheme="minorEastAsia" w:hAnsiTheme="minorEastAsia" w:eastAsiaTheme="minorEastAsia" w:cstheme="minorEastAsia"/>
          <w:color w:val="auto"/>
          <w:sz w:val="21"/>
          <w:szCs w:val="21"/>
        </w:rPr>
        <w:t>确定</w:t>
      </w:r>
      <w:r>
        <w:rPr>
          <w:rFonts w:hint="eastAsia" w:asciiTheme="minorEastAsia" w:hAnsiTheme="minorEastAsia" w:eastAsiaTheme="minorEastAsia" w:cstheme="minorEastAsia"/>
          <w:color w:val="auto"/>
          <w:sz w:val="21"/>
          <w:szCs w:val="21"/>
          <w:lang w:val="en-US" w:eastAsia="zh-CN"/>
        </w:rPr>
        <w:t>停车</w:t>
      </w:r>
      <w:r>
        <w:rPr>
          <w:rFonts w:hint="eastAsia" w:asciiTheme="minorEastAsia" w:hAnsiTheme="minorEastAsia" w:eastAsiaTheme="minorEastAsia" w:cstheme="minorEastAsia"/>
          <w:color w:val="auto"/>
          <w:sz w:val="21"/>
          <w:szCs w:val="21"/>
        </w:rPr>
        <w:t>区域</w:t>
      </w:r>
      <w:r>
        <w:rPr>
          <w:rFonts w:hint="eastAsia" w:asciiTheme="minorEastAsia" w:hAnsiTheme="minorEastAsia" w:eastAsiaTheme="minorEastAsia" w:cstheme="minorEastAsia"/>
          <w:color w:val="auto"/>
          <w:sz w:val="21"/>
          <w:szCs w:val="21"/>
          <w:lang w:val="en-US" w:eastAsia="zh-CN"/>
        </w:rPr>
        <w:t>的规划建设</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受理相关投诉和建议</w:t>
      </w:r>
      <w:r>
        <w:rPr>
          <w:rFonts w:hint="eastAsia" w:asciiTheme="minorEastAsia" w:hAnsiTheme="minorEastAsia" w:eastAsiaTheme="minorEastAsia" w:cstheme="minorEastAsia"/>
          <w:color w:val="auto"/>
          <w:sz w:val="21"/>
          <w:szCs w:val="21"/>
          <w:lang w:eastAsia="zh-CN"/>
        </w:rPr>
        <w:t>。</w:t>
      </w:r>
    </w:p>
    <w:p w14:paraId="73E3F879">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五</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区</w:t>
      </w:r>
      <w:r>
        <w:rPr>
          <w:rFonts w:hint="eastAsia" w:asciiTheme="minorEastAsia" w:hAnsiTheme="minorEastAsia" w:eastAsiaTheme="minorEastAsia" w:cstheme="minorEastAsia"/>
          <w:color w:val="auto"/>
          <w:sz w:val="21"/>
          <w:szCs w:val="21"/>
        </w:rPr>
        <w:t>公安</w:t>
      </w:r>
      <w:r>
        <w:rPr>
          <w:rFonts w:hint="eastAsia" w:asciiTheme="minorEastAsia" w:hAnsiTheme="minorEastAsia" w:eastAsiaTheme="minorEastAsia" w:cstheme="minorEastAsia"/>
          <w:color w:val="auto"/>
          <w:sz w:val="21"/>
          <w:szCs w:val="21"/>
          <w:lang w:val="en-US" w:eastAsia="zh-CN"/>
        </w:rPr>
        <w:t>分</w:t>
      </w:r>
      <w:r>
        <w:rPr>
          <w:rFonts w:hint="eastAsia" w:asciiTheme="minorEastAsia" w:hAnsiTheme="minorEastAsia" w:eastAsiaTheme="minorEastAsia" w:cstheme="minorEastAsia"/>
          <w:color w:val="auto"/>
          <w:sz w:val="21"/>
          <w:szCs w:val="21"/>
        </w:rPr>
        <w:t>局负责</w:t>
      </w:r>
      <w:r>
        <w:rPr>
          <w:rFonts w:hint="eastAsia" w:asciiTheme="minorEastAsia" w:hAnsiTheme="minorEastAsia" w:eastAsiaTheme="minorEastAsia" w:cstheme="minorEastAsia"/>
          <w:color w:val="auto"/>
          <w:sz w:val="21"/>
          <w:szCs w:val="21"/>
          <w:lang w:val="en-US" w:eastAsia="zh-CN"/>
        </w:rPr>
        <w:t>治安监控和</w:t>
      </w:r>
      <w:r>
        <w:rPr>
          <w:rFonts w:hint="eastAsia" w:asciiTheme="minorEastAsia" w:hAnsiTheme="minorEastAsia" w:eastAsiaTheme="minorEastAsia" w:cstheme="minorEastAsia"/>
          <w:color w:val="auto"/>
          <w:sz w:val="21"/>
          <w:szCs w:val="21"/>
        </w:rPr>
        <w:t>对侵占、盗窃、破坏</w:t>
      </w:r>
      <w:r>
        <w:rPr>
          <w:rFonts w:hint="eastAsia" w:asciiTheme="minorEastAsia" w:hAnsiTheme="minorEastAsia" w:eastAsiaTheme="minorEastAsia" w:cstheme="minorEastAsia"/>
          <w:color w:val="auto"/>
          <w:sz w:val="21"/>
          <w:szCs w:val="21"/>
          <w:lang w:val="en-US" w:eastAsia="zh-CN"/>
        </w:rPr>
        <w:t>停车设施</w:t>
      </w:r>
      <w:r>
        <w:rPr>
          <w:rFonts w:hint="eastAsia" w:asciiTheme="minorEastAsia" w:hAnsiTheme="minorEastAsia" w:eastAsiaTheme="minorEastAsia" w:cstheme="minorEastAsia"/>
          <w:color w:val="auto"/>
          <w:sz w:val="21"/>
          <w:szCs w:val="21"/>
        </w:rPr>
        <w:t>等违法行为进行查处</w:t>
      </w:r>
      <w:r>
        <w:rPr>
          <w:rFonts w:hint="eastAsia" w:asciiTheme="minorEastAsia" w:hAnsiTheme="minorEastAsia" w:eastAsiaTheme="minorEastAsia" w:cstheme="minorEastAsia"/>
          <w:color w:val="auto"/>
          <w:sz w:val="21"/>
          <w:szCs w:val="21"/>
          <w:lang w:eastAsia="zh-CN"/>
        </w:rPr>
        <w:t>。</w:t>
      </w:r>
    </w:p>
    <w:p w14:paraId="7E11BA6F">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lang w:val="en-US" w:eastAsia="zh-CN"/>
        </w:rPr>
        <w:t>六</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b w:val="0"/>
          <w:bCs w:val="0"/>
          <w:color w:val="auto"/>
          <w:sz w:val="21"/>
          <w:szCs w:val="21"/>
          <w:lang w:val="en-US" w:eastAsia="zh-CN"/>
        </w:rPr>
        <w:t>交警海陵大队</w:t>
      </w:r>
      <w:r>
        <w:rPr>
          <w:rFonts w:hint="eastAsia" w:asciiTheme="minorEastAsia" w:hAnsiTheme="minorEastAsia" w:eastAsiaTheme="minorEastAsia" w:cstheme="minorEastAsia"/>
          <w:color w:val="auto"/>
          <w:sz w:val="21"/>
          <w:szCs w:val="21"/>
        </w:rPr>
        <w:t>负责</w:t>
      </w:r>
      <w:r>
        <w:rPr>
          <w:rFonts w:hint="eastAsia" w:asciiTheme="minorEastAsia" w:hAnsiTheme="minorEastAsia" w:eastAsiaTheme="minorEastAsia" w:cstheme="minorEastAsia"/>
          <w:color w:val="auto"/>
          <w:sz w:val="21"/>
          <w:szCs w:val="21"/>
          <w:lang w:val="en-US" w:eastAsia="zh-CN"/>
        </w:rPr>
        <w:t>交通管理</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lang w:val="en-US" w:eastAsia="zh-CN"/>
        </w:rPr>
        <w:t>配合做好停车区域划定，指导完成相关标识标线设置</w:t>
      </w:r>
      <w:r>
        <w:rPr>
          <w:rFonts w:hint="eastAsia" w:asciiTheme="minorEastAsia" w:hAnsiTheme="minorEastAsia" w:eastAsiaTheme="minorEastAsia" w:cstheme="minorEastAsia"/>
          <w:color w:val="auto"/>
          <w:sz w:val="21"/>
          <w:szCs w:val="21"/>
          <w:lang w:eastAsia="zh-CN"/>
        </w:rPr>
        <w:t>。</w:t>
      </w:r>
    </w:p>
    <w:p w14:paraId="3D7D768E">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（七）区旅游外侨局</w:t>
      </w:r>
      <w:r>
        <w:rPr>
          <w:rFonts w:hint="eastAsia" w:asciiTheme="minorEastAsia" w:hAnsiTheme="minorEastAsia" w:eastAsiaTheme="minorEastAsia" w:cstheme="minorEastAsia"/>
          <w:color w:val="auto"/>
          <w:sz w:val="21"/>
          <w:szCs w:val="21"/>
          <w:lang w:val="en-US" w:eastAsia="zh-CN"/>
        </w:rPr>
        <w:t>研究指导智慧旅游总体规划和布局。</w:t>
      </w:r>
    </w:p>
    <w:p w14:paraId="3CF8A303">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八</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eastAsia="zh-CN"/>
        </w:rPr>
        <w:t>区市场监管分局负责企业的登记注册，依法查处不按规定明码标价、乱收费等欺诈消费者违法行为。</w:t>
      </w:r>
    </w:p>
    <w:p w14:paraId="6240A296">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九</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区委宣传统战</w:t>
      </w:r>
      <w:r>
        <w:rPr>
          <w:rFonts w:hint="eastAsia" w:asciiTheme="minorEastAsia" w:hAnsiTheme="minorEastAsia" w:eastAsiaTheme="minorEastAsia" w:cstheme="minorEastAsia"/>
          <w:color w:val="auto"/>
          <w:sz w:val="21"/>
          <w:szCs w:val="21"/>
        </w:rPr>
        <w:t>部负责指导协调新闻单位积极配合相关职能部门做好</w:t>
      </w:r>
      <w:r>
        <w:rPr>
          <w:rFonts w:hint="eastAsia" w:asciiTheme="minorEastAsia" w:hAnsiTheme="minorEastAsia" w:eastAsiaTheme="minorEastAsia" w:cstheme="minorEastAsia"/>
          <w:color w:val="auto"/>
          <w:sz w:val="21"/>
          <w:szCs w:val="21"/>
          <w:lang w:val="en-US" w:eastAsia="zh-CN"/>
        </w:rPr>
        <w:t>停车规划、运营、管理等相关</w:t>
      </w:r>
      <w:r>
        <w:rPr>
          <w:rFonts w:hint="eastAsia" w:asciiTheme="minorEastAsia" w:hAnsiTheme="minorEastAsia" w:eastAsiaTheme="minorEastAsia" w:cstheme="minorEastAsia"/>
          <w:color w:val="auto"/>
          <w:sz w:val="21"/>
          <w:szCs w:val="21"/>
        </w:rPr>
        <w:t>工作的宣传报道，发挥舆论引导和监督作用，营造良好舆论氛围。</w:t>
      </w:r>
    </w:p>
    <w:p w14:paraId="03CA0CC1">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color w:val="auto"/>
        </w:rPr>
      </w:pP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lang w:val="en-US" w:eastAsia="zh-CN"/>
        </w:rPr>
        <w:t>十</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lang w:val="en-US" w:eastAsia="zh-CN"/>
        </w:rPr>
        <w:t>区信访局配合协调</w:t>
      </w:r>
      <w:r>
        <w:rPr>
          <w:rFonts w:hint="eastAsia" w:asciiTheme="minorEastAsia" w:hAnsiTheme="minorEastAsia" w:eastAsiaTheme="minorEastAsia" w:cstheme="minorEastAsia"/>
          <w:color w:val="auto"/>
          <w:sz w:val="21"/>
          <w:szCs w:val="21"/>
        </w:rPr>
        <w:t>相关投诉</w:t>
      </w:r>
      <w:r>
        <w:rPr>
          <w:rFonts w:hint="eastAsia" w:asciiTheme="minorEastAsia" w:hAnsiTheme="minorEastAsia" w:eastAsiaTheme="minorEastAsia" w:cstheme="minorEastAsia"/>
          <w:color w:val="auto"/>
          <w:sz w:val="21"/>
          <w:szCs w:val="21"/>
          <w:lang w:val="en-US" w:eastAsia="zh-CN"/>
        </w:rPr>
        <w:t>的处理，积极对有关政策以及信访投诉事项予以解释、调解。</w:t>
      </w:r>
    </w:p>
    <w:p w14:paraId="0791CF9F">
      <w:pPr>
        <w:keepNext w:val="0"/>
        <w:keepLines w:val="0"/>
        <w:pageBreakBefore w:val="0"/>
        <w:numPr>
          <w:ilvl w:val="0"/>
          <w:numId w:val="0"/>
        </w:numPr>
        <w:kinsoku/>
        <w:wordWrap/>
        <w:topLinePunct w:val="0"/>
        <w:bidi w:val="0"/>
        <w:snapToGrid/>
        <w:spacing w:line="460" w:lineRule="exact"/>
        <w:jc w:val="center"/>
        <w:rPr>
          <w:rFonts w:ascii="宋体" w:hAnsi="宋体" w:eastAsia="宋体" w:cs="宋体"/>
          <w:b/>
          <w:bCs/>
          <w:color w:val="auto"/>
          <w:sz w:val="21"/>
          <w:szCs w:val="21"/>
          <w:lang w:eastAsia="zh-CN"/>
        </w:rPr>
      </w:pPr>
      <w:r>
        <w:rPr>
          <w:rFonts w:hint="eastAsia" w:ascii="宋体" w:hAnsi="宋体" w:cs="宋体"/>
          <w:b/>
          <w:bCs/>
          <w:color w:val="auto"/>
          <w:sz w:val="21"/>
          <w:szCs w:val="21"/>
          <w:lang w:val="en-US" w:eastAsia="zh-CN"/>
        </w:rPr>
        <w:t xml:space="preserve">第十章  </w:t>
      </w:r>
      <w:r>
        <w:rPr>
          <w:rFonts w:hint="eastAsia" w:ascii="宋体" w:hAnsi="宋体" w:eastAsia="宋体" w:cs="宋体"/>
          <w:b/>
          <w:bCs/>
          <w:color w:val="auto"/>
          <w:sz w:val="21"/>
          <w:szCs w:val="21"/>
          <w:lang w:eastAsia="zh-CN"/>
        </w:rPr>
        <w:t>履约保证金与保险</w:t>
      </w:r>
    </w:p>
    <w:p w14:paraId="40382453">
      <w:pPr>
        <w:keepNext w:val="0"/>
        <w:keepLines w:val="0"/>
        <w:pageBreakBefore w:val="0"/>
        <w:kinsoku/>
        <w:wordWrap/>
        <w:topLinePunct w:val="0"/>
        <w:bidi w:val="0"/>
        <w:snapToGrid/>
        <w:spacing w:line="460" w:lineRule="exact"/>
        <w:ind w:firstLine="422" w:firstLineChars="200"/>
        <w:rPr>
          <w:rFonts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第二十二条 履约保证金</w:t>
      </w:r>
    </w:p>
    <w:p w14:paraId="6AE8BD08">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val="en-US" w:eastAsia="zh-CN"/>
        </w:rPr>
        <w:t>一、</w:t>
      </w:r>
      <w:r>
        <w:rPr>
          <w:rFonts w:hint="eastAsia" w:ascii="宋体" w:hAnsi="宋体" w:eastAsia="宋体" w:cs="宋体"/>
          <w:color w:val="auto"/>
          <w:sz w:val="21"/>
          <w:szCs w:val="21"/>
          <w:lang w:eastAsia="zh-CN"/>
        </w:rPr>
        <w:t>乙方须在正式签署特许经营协议之前，向甲方提交以甲方为受益人的履约保证金。当乙方未能完全履行本协议规定建设义务时（因乙方原因导致工程进度延误、完工日期延误、不能及时发放工人工资或项目技术标准不达标等），甲方可扣除履约保证金，乙方应在履约保证金被扣除后</w:t>
      </w:r>
      <w:r>
        <w:rPr>
          <w:rFonts w:hint="eastAsia" w:ascii="宋体" w:hAnsi="宋体" w:eastAsia="宋体" w:cs="宋体"/>
          <w:color w:val="auto"/>
          <w:sz w:val="21"/>
          <w:szCs w:val="21"/>
          <w:lang w:val="en-US" w:eastAsia="zh-CN"/>
        </w:rPr>
        <w:t>二十</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lang w:eastAsia="zh-CN"/>
        </w:rPr>
        <w:t>0）日内补足。如乙方未能予以及时补足，且在经甲方两（2）次催告仍未能补足的，甲方有权提前终止本协议。</w:t>
      </w:r>
    </w:p>
    <w:p w14:paraId="31BD3C65">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cs="宋体"/>
          <w:color w:val="auto"/>
          <w:sz w:val="21"/>
          <w:szCs w:val="21"/>
          <w:lang w:val="en-US" w:eastAsia="zh-CN"/>
        </w:rPr>
        <w:t>二、</w:t>
      </w:r>
      <w:r>
        <w:rPr>
          <w:rFonts w:hint="eastAsia" w:ascii="宋体" w:hAnsi="宋体" w:eastAsia="宋体" w:cs="宋体"/>
          <w:color w:val="auto"/>
          <w:sz w:val="21"/>
          <w:szCs w:val="21"/>
          <w:lang w:eastAsia="zh-CN"/>
        </w:rPr>
        <w:t xml:space="preserve"> 金额与有效期</w:t>
      </w:r>
    </w:p>
    <w:p w14:paraId="55FF5698">
      <w:pPr>
        <w:keepNext w:val="0"/>
        <w:keepLines w:val="0"/>
        <w:pageBreakBefore w:val="0"/>
        <w:kinsoku/>
        <w:wordWrap/>
        <w:topLinePunct w:val="0"/>
        <w:bidi w:val="0"/>
        <w:snapToGrid/>
        <w:spacing w:line="460" w:lineRule="exact"/>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履约保证金金额应为</w:t>
      </w:r>
      <w:r>
        <w:rPr>
          <w:rFonts w:hint="eastAsia" w:ascii="宋体" w:hAnsi="宋体" w:eastAsia="宋体" w:cs="宋体"/>
          <w:color w:val="auto"/>
          <w:sz w:val="21"/>
          <w:szCs w:val="21"/>
          <w:u w:val="single"/>
          <w:lang w:eastAsia="zh-CN"/>
        </w:rPr>
        <w:t xml:space="preserve"> </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lang w:eastAsia="zh-CN"/>
        </w:rPr>
        <w:t>，形式为</w:t>
      </w:r>
      <w:r>
        <w:rPr>
          <w:rFonts w:hint="eastAsia" w:ascii="宋体" w:hAnsi="宋体" w:eastAsia="宋体" w:cs="宋体"/>
          <w:color w:val="auto"/>
          <w:sz w:val="21"/>
          <w:szCs w:val="21"/>
          <w:u w:val="single"/>
          <w:lang w:eastAsia="zh-CN"/>
        </w:rPr>
        <w:t xml:space="preserve">    </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single"/>
          <w:lang w:eastAsia="zh-CN"/>
        </w:rPr>
        <w:t xml:space="preserve">  </w:t>
      </w:r>
      <w:r>
        <w:rPr>
          <w:rFonts w:hint="eastAsia" w:ascii="宋体" w:hAnsi="宋体" w:eastAsia="宋体" w:cs="宋体"/>
          <w:color w:val="auto"/>
          <w:sz w:val="21"/>
          <w:szCs w:val="21"/>
          <w:u w:val="none"/>
          <w:lang w:eastAsia="zh-CN"/>
        </w:rPr>
        <w:t>，</w:t>
      </w:r>
      <w:r>
        <w:rPr>
          <w:rFonts w:hint="eastAsia" w:ascii="宋体" w:hAnsi="宋体" w:eastAsia="宋体" w:cs="宋体"/>
          <w:color w:val="auto"/>
          <w:sz w:val="21"/>
          <w:szCs w:val="21"/>
          <w:lang w:eastAsia="zh-CN"/>
        </w:rPr>
        <w:t>签订合同前由中标人提交。有效期自甲方收到该份履约保证金之日起至项目竣工验收合格、工程接收证书颁发之日止。</w:t>
      </w:r>
    </w:p>
    <w:p w14:paraId="2769DDC2">
      <w:pPr>
        <w:keepNext w:val="0"/>
        <w:keepLines w:val="0"/>
        <w:pageBreakBefore w:val="0"/>
        <w:widowControl w:val="0"/>
        <w:kinsoku/>
        <w:wordWrap/>
        <w:overflowPunct/>
        <w:topLinePunct w:val="0"/>
        <w:autoSpaceDE/>
        <w:autoSpaceDN/>
        <w:bidi w:val="0"/>
        <w:adjustRightInd/>
        <w:snapToGrid/>
        <w:spacing w:line="460" w:lineRule="exact"/>
        <w:ind w:firstLine="422" w:firstLineChars="200"/>
        <w:textAlignment w:val="auto"/>
        <w:rPr>
          <w:rFonts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第二十三条 保险责任</w:t>
      </w:r>
    </w:p>
    <w:p w14:paraId="6B536D96">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ascii="宋体" w:hAnsi="宋体" w:eastAsia="宋体" w:cs="宋体"/>
          <w:color w:val="auto"/>
          <w:sz w:val="21"/>
          <w:szCs w:val="21"/>
          <w:lang w:eastAsia="zh-CN"/>
        </w:rPr>
      </w:pPr>
      <w:r>
        <w:rPr>
          <w:rFonts w:hint="eastAsia" w:ascii="宋体" w:hAnsi="宋体" w:cs="宋体"/>
          <w:color w:val="auto"/>
          <w:sz w:val="21"/>
          <w:szCs w:val="21"/>
          <w:lang w:val="en-US" w:eastAsia="zh-CN"/>
        </w:rPr>
        <w:t>一、</w:t>
      </w:r>
      <w:r>
        <w:rPr>
          <w:rFonts w:hint="eastAsia" w:ascii="宋体" w:hAnsi="宋体" w:eastAsia="宋体" w:cs="宋体"/>
          <w:color w:val="auto"/>
          <w:sz w:val="21"/>
          <w:szCs w:val="21"/>
          <w:lang w:eastAsia="zh-CN"/>
        </w:rPr>
        <w:t>乙方必须自费购买和维持相关的保险。未经甲方书面同意，乙方不得变更该等保险。</w:t>
      </w:r>
    </w:p>
    <w:p w14:paraId="717480E5">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二、</w:t>
      </w:r>
      <w:r>
        <w:rPr>
          <w:rFonts w:hint="eastAsia" w:ascii="宋体" w:hAnsi="宋体" w:eastAsia="宋体" w:cs="宋体"/>
          <w:color w:val="auto"/>
          <w:sz w:val="21"/>
          <w:szCs w:val="21"/>
          <w:lang w:eastAsia="zh-CN"/>
        </w:rPr>
        <w:t>乙方必须使甲方列为保险单上的共同被保险人（受益人）和使所有保险单均注明保险商在取消保险或对之进行重大改变之前至少</w:t>
      </w:r>
      <w:r>
        <w:rPr>
          <w:rFonts w:hint="eastAsia" w:ascii="宋体" w:hAnsi="宋体" w:eastAsia="宋体" w:cs="宋体"/>
          <w:color w:val="auto"/>
          <w:sz w:val="21"/>
          <w:szCs w:val="21"/>
          <w:u w:val="single"/>
          <w:lang w:eastAsia="zh-CN"/>
        </w:rPr>
        <w:t xml:space="preserve">    </w:t>
      </w:r>
      <w:r>
        <w:rPr>
          <w:rFonts w:hint="eastAsia" w:ascii="宋体" w:hAnsi="宋体" w:cs="宋体"/>
          <w:color w:val="auto"/>
          <w:sz w:val="21"/>
          <w:szCs w:val="21"/>
          <w:u w:val="single"/>
          <w:lang w:val="en-US" w:eastAsia="zh-CN"/>
        </w:rPr>
        <w:t xml:space="preserve">   </w:t>
      </w:r>
      <w:r>
        <w:rPr>
          <w:rFonts w:hint="eastAsia" w:ascii="宋体" w:hAnsi="宋体" w:eastAsia="宋体" w:cs="宋体"/>
          <w:color w:val="auto"/>
          <w:sz w:val="21"/>
          <w:szCs w:val="21"/>
          <w:lang w:eastAsia="zh-CN"/>
        </w:rPr>
        <w:t>日书面通知甲方。</w:t>
      </w:r>
      <w:r>
        <w:rPr>
          <w:rFonts w:hint="eastAsia" w:ascii="宋体" w:hAnsi="宋体" w:cs="宋体"/>
          <w:color w:val="auto"/>
          <w:sz w:val="21"/>
          <w:szCs w:val="21"/>
          <w:lang w:val="en-US" w:eastAsia="zh-CN"/>
        </w:rPr>
        <w:t xml:space="preserve"> </w:t>
      </w:r>
    </w:p>
    <w:p w14:paraId="4F9B7C2E">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ascii="宋体" w:hAnsi="宋体" w:eastAsia="宋体" w:cs="宋体"/>
          <w:color w:val="auto"/>
          <w:sz w:val="21"/>
          <w:szCs w:val="21"/>
          <w:lang w:eastAsia="zh-CN"/>
        </w:rPr>
      </w:pPr>
      <w:r>
        <w:rPr>
          <w:rFonts w:hint="eastAsia" w:ascii="宋体" w:hAnsi="宋体" w:cs="宋体"/>
          <w:color w:val="auto"/>
          <w:sz w:val="21"/>
          <w:szCs w:val="21"/>
          <w:lang w:val="en-US" w:eastAsia="zh-CN"/>
        </w:rPr>
        <w:t>三、</w:t>
      </w:r>
      <w:r>
        <w:rPr>
          <w:rFonts w:hint="eastAsia" w:ascii="宋体" w:hAnsi="宋体" w:eastAsia="宋体" w:cs="宋体"/>
          <w:color w:val="auto"/>
          <w:sz w:val="21"/>
          <w:szCs w:val="21"/>
          <w:lang w:eastAsia="zh-CN"/>
        </w:rPr>
        <w:t>乙方必须促使其保险公司或代理人向甲方提供保险证明，以证实按照上述要求获得的保险及相关文件。</w:t>
      </w:r>
    </w:p>
    <w:p w14:paraId="1E988F5E">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ascii="宋体" w:hAnsi="宋体" w:eastAsia="宋体" w:cs="宋体"/>
          <w:color w:val="auto"/>
          <w:sz w:val="21"/>
          <w:szCs w:val="21"/>
          <w:lang w:eastAsia="zh-CN"/>
        </w:rPr>
      </w:pPr>
      <w:r>
        <w:rPr>
          <w:rFonts w:hint="eastAsia" w:ascii="宋体" w:hAnsi="宋体" w:cs="宋体"/>
          <w:color w:val="auto"/>
          <w:sz w:val="21"/>
          <w:szCs w:val="21"/>
          <w:lang w:val="en-US" w:eastAsia="zh-CN"/>
        </w:rPr>
        <w:t>四、</w:t>
      </w:r>
      <w:r>
        <w:rPr>
          <w:rFonts w:hint="eastAsia" w:ascii="宋体" w:hAnsi="宋体" w:eastAsia="宋体" w:cs="宋体"/>
          <w:color w:val="auto"/>
          <w:sz w:val="21"/>
          <w:szCs w:val="21"/>
          <w:lang w:eastAsia="zh-CN"/>
        </w:rPr>
        <w:t>如果乙方不购买或维持上述要求的保险，则甲方有权购买该保险，并且有权根据本协议从履约保函款项中提取需支付的保险费金额。</w:t>
      </w:r>
    </w:p>
    <w:p w14:paraId="5F3599B5">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cs="宋体"/>
          <w:b/>
          <w:bCs/>
          <w:color w:val="auto"/>
          <w:sz w:val="21"/>
          <w:szCs w:val="21"/>
          <w:lang w:val="en-US" w:eastAsia="zh-CN"/>
        </w:rPr>
      </w:pPr>
      <w:r>
        <w:rPr>
          <w:rFonts w:hint="eastAsia" w:ascii="宋体" w:hAnsi="宋体" w:eastAsia="宋体" w:cs="宋体"/>
          <w:b/>
          <w:bCs/>
          <w:color w:val="auto"/>
          <w:sz w:val="21"/>
          <w:szCs w:val="21"/>
          <w:lang w:eastAsia="zh-CN"/>
        </w:rPr>
        <w:t>第十</w:t>
      </w:r>
      <w:r>
        <w:rPr>
          <w:rFonts w:hint="eastAsia" w:ascii="宋体" w:hAnsi="宋体" w:cs="宋体"/>
          <w:b/>
          <w:bCs/>
          <w:color w:val="auto"/>
          <w:sz w:val="21"/>
          <w:szCs w:val="21"/>
          <w:lang w:val="en-US" w:eastAsia="zh-CN"/>
        </w:rPr>
        <w:t>一</w:t>
      </w:r>
      <w:r>
        <w:rPr>
          <w:rFonts w:hint="eastAsia" w:ascii="宋体" w:hAnsi="宋体" w:eastAsia="宋体" w:cs="宋体"/>
          <w:b/>
          <w:bCs/>
          <w:color w:val="auto"/>
          <w:sz w:val="21"/>
          <w:szCs w:val="21"/>
          <w:lang w:eastAsia="zh-CN"/>
        </w:rPr>
        <w:t>章</w:t>
      </w:r>
      <w:r>
        <w:rPr>
          <w:rFonts w:hint="eastAsia" w:ascii="宋体" w:hAnsi="宋体" w:cs="宋体"/>
          <w:b/>
          <w:bCs/>
          <w:color w:val="auto"/>
          <w:sz w:val="21"/>
          <w:szCs w:val="21"/>
          <w:lang w:val="en-US" w:eastAsia="zh-CN"/>
        </w:rPr>
        <w:t xml:space="preserve">  临时接管</w:t>
      </w:r>
    </w:p>
    <w:p w14:paraId="340C4340">
      <w:pPr>
        <w:keepNext w:val="0"/>
        <w:keepLines w:val="0"/>
        <w:pageBreakBefore w:val="0"/>
        <w:widowControl w:val="0"/>
        <w:kinsoku/>
        <w:wordWrap/>
        <w:overflowPunct/>
        <w:topLinePunct w:val="0"/>
        <w:autoSpaceDE/>
        <w:autoSpaceDN/>
        <w:bidi w:val="0"/>
        <w:adjustRightInd/>
        <w:snapToGrid/>
        <w:spacing w:line="460" w:lineRule="exact"/>
        <w:ind w:firstLine="422" w:firstLineChars="200"/>
        <w:textAlignment w:val="auto"/>
        <w:rPr>
          <w:rFonts w:hint="default"/>
          <w:color w:val="auto"/>
          <w:lang w:val="en-US" w:eastAsia="zh-CN"/>
        </w:rPr>
      </w:pPr>
      <w:r>
        <w:rPr>
          <w:rFonts w:hint="eastAsia" w:ascii="宋体" w:hAnsi="宋体" w:cs="宋体"/>
          <w:b/>
          <w:bCs/>
          <w:color w:val="auto"/>
          <w:sz w:val="21"/>
          <w:szCs w:val="21"/>
          <w:lang w:val="en-US" w:eastAsia="zh-CN"/>
        </w:rPr>
        <w:t>第二十四条 临时接管</w:t>
      </w:r>
    </w:p>
    <w:p w14:paraId="740B7394">
      <w:pPr>
        <w:pStyle w:val="2"/>
        <w:keepNext w:val="0"/>
        <w:keepLines w:val="0"/>
        <w:pageBreakBefore w:val="0"/>
        <w:widowControl w:val="0"/>
        <w:kinsoku/>
        <w:wordWrap/>
        <w:overflowPunct/>
        <w:topLinePunct w:val="0"/>
        <w:autoSpaceDE/>
        <w:autoSpaceDN/>
        <w:bidi w:val="0"/>
        <w:adjustRightInd/>
        <w:snapToGrid/>
        <w:spacing w:line="460" w:lineRule="exact"/>
        <w:ind w:left="0" w:leftChars="0" w:firstLine="420" w:firstLineChars="200"/>
        <w:textAlignment w:val="auto"/>
        <w:rPr>
          <w:rFonts w:hint="default"/>
          <w:color w:val="auto"/>
          <w:lang w:val="en-US" w:eastAsia="zh-CN"/>
        </w:rPr>
      </w:pPr>
      <w:r>
        <w:rPr>
          <w:rFonts w:hint="eastAsia"/>
          <w:color w:val="auto"/>
          <w:lang w:val="en-US" w:eastAsia="zh-CN"/>
        </w:rPr>
        <w:t>一、</w:t>
      </w:r>
      <w:r>
        <w:rPr>
          <w:rFonts w:hint="default"/>
          <w:color w:val="auto"/>
          <w:lang w:val="en-US" w:eastAsia="zh-CN"/>
        </w:rPr>
        <w:t>特许期内，如乙方出现以下违约行为，甲方有权决定实施临时接管：</w:t>
      </w:r>
    </w:p>
    <w:p w14:paraId="379EB3CA">
      <w:pPr>
        <w:keepNext w:val="0"/>
        <w:keepLines w:val="0"/>
        <w:pageBreakBefore w:val="0"/>
        <w:widowControl w:val="0"/>
        <w:kinsoku/>
        <w:wordWrap/>
        <w:overflowPunct/>
        <w:topLinePunct w:val="0"/>
        <w:autoSpaceDE/>
        <w:autoSpaceDN/>
        <w:bidi w:val="0"/>
        <w:adjustRightInd/>
        <w:snapToGrid/>
        <w:spacing w:line="460" w:lineRule="exact"/>
        <w:ind w:firstLine="420" w:firstLineChars="20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w:t>
      </w:r>
      <w:r>
        <w:rPr>
          <w:rFonts w:hint="eastAsia" w:ascii="宋体" w:hAnsi="宋体" w:cs="宋体"/>
          <w:b w:val="0"/>
          <w:bCs w:val="0"/>
          <w:color w:val="auto"/>
          <w:sz w:val="21"/>
          <w:szCs w:val="21"/>
          <w:lang w:val="en-US" w:eastAsia="zh-CN"/>
        </w:rPr>
        <w:t>一</w:t>
      </w:r>
      <w:r>
        <w:rPr>
          <w:rFonts w:hint="eastAsia" w:ascii="宋体" w:hAnsi="宋体" w:eastAsia="宋体" w:cs="宋体"/>
          <w:b w:val="0"/>
          <w:bCs w:val="0"/>
          <w:color w:val="auto"/>
          <w:sz w:val="21"/>
          <w:szCs w:val="21"/>
          <w:lang w:val="en-US" w:eastAsia="zh-CN"/>
        </w:rPr>
        <w:t>）擅自转让、出租特许经营权、委托经营的；</w:t>
      </w:r>
    </w:p>
    <w:p w14:paraId="4C17C55A">
      <w:pPr>
        <w:keepNext w:val="0"/>
        <w:keepLines w:val="0"/>
        <w:pageBreakBefore w:val="0"/>
        <w:widowControl w:val="0"/>
        <w:kinsoku/>
        <w:wordWrap/>
        <w:overflowPunct/>
        <w:topLinePunct w:val="0"/>
        <w:autoSpaceDE/>
        <w:autoSpaceDN/>
        <w:bidi w:val="0"/>
        <w:adjustRightInd/>
        <w:snapToGrid/>
        <w:spacing w:line="460" w:lineRule="exact"/>
        <w:ind w:firstLine="420" w:firstLineChars="20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w:t>
      </w:r>
      <w:r>
        <w:rPr>
          <w:rFonts w:hint="eastAsia" w:ascii="宋体" w:hAnsi="宋体" w:cs="宋体"/>
          <w:b w:val="0"/>
          <w:bCs w:val="0"/>
          <w:color w:val="auto"/>
          <w:sz w:val="21"/>
          <w:szCs w:val="21"/>
          <w:lang w:val="en-US" w:eastAsia="zh-CN"/>
        </w:rPr>
        <w:t>二</w:t>
      </w:r>
      <w:r>
        <w:rPr>
          <w:rFonts w:hint="eastAsia" w:ascii="宋体" w:hAnsi="宋体" w:eastAsia="宋体" w:cs="宋体"/>
          <w:b w:val="0"/>
          <w:bCs w:val="0"/>
          <w:color w:val="auto"/>
          <w:sz w:val="21"/>
          <w:szCs w:val="21"/>
          <w:lang w:val="en-US" w:eastAsia="zh-CN"/>
        </w:rPr>
        <w:t>）擅自将所经营的财产进行处置或抵押的；</w:t>
      </w:r>
    </w:p>
    <w:p w14:paraId="642D4577">
      <w:pPr>
        <w:keepNext w:val="0"/>
        <w:keepLines w:val="0"/>
        <w:pageBreakBefore w:val="0"/>
        <w:widowControl w:val="0"/>
        <w:kinsoku/>
        <w:wordWrap/>
        <w:overflowPunct/>
        <w:topLinePunct w:val="0"/>
        <w:autoSpaceDE/>
        <w:autoSpaceDN/>
        <w:bidi w:val="0"/>
        <w:adjustRightInd/>
        <w:snapToGrid/>
        <w:spacing w:line="460" w:lineRule="exact"/>
        <w:ind w:firstLine="420" w:firstLineChars="20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w:t>
      </w:r>
      <w:r>
        <w:rPr>
          <w:rFonts w:hint="eastAsia" w:ascii="宋体" w:hAnsi="宋体" w:cs="宋体"/>
          <w:b w:val="0"/>
          <w:bCs w:val="0"/>
          <w:color w:val="auto"/>
          <w:sz w:val="21"/>
          <w:szCs w:val="21"/>
          <w:lang w:val="en-US" w:eastAsia="zh-CN"/>
        </w:rPr>
        <w:t>三</w:t>
      </w:r>
      <w:r>
        <w:rPr>
          <w:rFonts w:hint="eastAsia" w:ascii="宋体" w:hAnsi="宋体" w:eastAsia="宋体" w:cs="宋体"/>
          <w:b w:val="0"/>
          <w:bCs w:val="0"/>
          <w:color w:val="auto"/>
          <w:sz w:val="21"/>
          <w:szCs w:val="21"/>
          <w:lang w:val="en-US" w:eastAsia="zh-CN"/>
        </w:rPr>
        <w:t>）因管理不善、发生重大质量、安全事故，及环保、卫生事件的；</w:t>
      </w:r>
    </w:p>
    <w:p w14:paraId="411C9A0E">
      <w:pPr>
        <w:keepNext w:val="0"/>
        <w:keepLines w:val="0"/>
        <w:pageBreakBefore w:val="0"/>
        <w:widowControl w:val="0"/>
        <w:kinsoku/>
        <w:wordWrap/>
        <w:overflowPunct/>
        <w:topLinePunct w:val="0"/>
        <w:autoSpaceDE/>
        <w:autoSpaceDN/>
        <w:bidi w:val="0"/>
        <w:adjustRightInd/>
        <w:snapToGrid/>
        <w:spacing w:line="460" w:lineRule="exact"/>
        <w:ind w:firstLine="420" w:firstLineChars="20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w:t>
      </w:r>
      <w:r>
        <w:rPr>
          <w:rFonts w:hint="eastAsia" w:ascii="宋体" w:hAnsi="宋体" w:cs="宋体"/>
          <w:b w:val="0"/>
          <w:bCs w:val="0"/>
          <w:color w:val="auto"/>
          <w:sz w:val="21"/>
          <w:szCs w:val="21"/>
          <w:lang w:val="en-US" w:eastAsia="zh-CN"/>
        </w:rPr>
        <w:t>四</w:t>
      </w:r>
      <w:r>
        <w:rPr>
          <w:rFonts w:hint="eastAsia" w:ascii="宋体" w:hAnsi="宋体" w:eastAsia="宋体" w:cs="宋体"/>
          <w:b w:val="0"/>
          <w:bCs w:val="0"/>
          <w:color w:val="auto"/>
          <w:sz w:val="21"/>
          <w:szCs w:val="21"/>
          <w:lang w:val="en-US" w:eastAsia="zh-CN"/>
        </w:rPr>
        <w:t>）擅自停业、歇业，严重影响到社会公共利益和安全的；</w:t>
      </w:r>
    </w:p>
    <w:p w14:paraId="68DDD935">
      <w:pPr>
        <w:keepNext w:val="0"/>
        <w:keepLines w:val="0"/>
        <w:pageBreakBefore w:val="0"/>
        <w:widowControl w:val="0"/>
        <w:kinsoku/>
        <w:wordWrap/>
        <w:overflowPunct/>
        <w:topLinePunct w:val="0"/>
        <w:autoSpaceDE/>
        <w:autoSpaceDN/>
        <w:bidi w:val="0"/>
        <w:adjustRightInd/>
        <w:snapToGrid/>
        <w:spacing w:line="460" w:lineRule="exact"/>
        <w:ind w:firstLine="420" w:firstLineChars="20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w:t>
      </w:r>
      <w:r>
        <w:rPr>
          <w:rFonts w:hint="eastAsia" w:ascii="宋体" w:hAnsi="宋体" w:cs="宋体"/>
          <w:b w:val="0"/>
          <w:bCs w:val="0"/>
          <w:color w:val="auto"/>
          <w:sz w:val="21"/>
          <w:szCs w:val="21"/>
          <w:lang w:val="en-US" w:eastAsia="zh-CN"/>
        </w:rPr>
        <w:t>五</w:t>
      </w:r>
      <w:r>
        <w:rPr>
          <w:rFonts w:hint="eastAsia" w:ascii="宋体" w:hAnsi="宋体" w:eastAsia="宋体" w:cs="宋体"/>
          <w:b w:val="0"/>
          <w:bCs w:val="0"/>
          <w:color w:val="auto"/>
          <w:sz w:val="21"/>
          <w:szCs w:val="21"/>
          <w:lang w:val="en-US" w:eastAsia="zh-CN"/>
        </w:rPr>
        <w:t>）法律、法规禁止的其他行为。</w:t>
      </w:r>
    </w:p>
    <w:p w14:paraId="6E4A2BEC">
      <w:pPr>
        <w:keepNext w:val="0"/>
        <w:keepLines w:val="0"/>
        <w:pageBreakBefore w:val="0"/>
        <w:widowControl w:val="0"/>
        <w:kinsoku/>
        <w:wordWrap/>
        <w:overflowPunct/>
        <w:topLinePunct w:val="0"/>
        <w:autoSpaceDE/>
        <w:autoSpaceDN/>
        <w:bidi w:val="0"/>
        <w:adjustRightInd/>
        <w:snapToGrid/>
        <w:spacing w:line="460" w:lineRule="exact"/>
        <w:ind w:firstLine="420" w:firstLineChars="200"/>
        <w:jc w:val="left"/>
        <w:textAlignment w:val="auto"/>
        <w:rPr>
          <w:rFonts w:hint="eastAsia" w:ascii="宋体" w:hAnsi="宋体" w:eastAsia="宋体" w:cs="宋体"/>
          <w:b w:val="0"/>
          <w:bCs w:val="0"/>
          <w:color w:val="auto"/>
          <w:sz w:val="21"/>
          <w:szCs w:val="21"/>
          <w:lang w:val="en-US" w:eastAsia="zh-CN"/>
        </w:rPr>
      </w:pPr>
      <w:r>
        <w:rPr>
          <w:rFonts w:hint="eastAsia" w:ascii="宋体" w:hAnsi="宋体" w:cs="宋体"/>
          <w:b w:val="0"/>
          <w:bCs w:val="0"/>
          <w:color w:val="auto"/>
          <w:sz w:val="21"/>
          <w:szCs w:val="21"/>
          <w:lang w:val="en-US" w:eastAsia="zh-CN"/>
        </w:rPr>
        <w:t>二、</w:t>
      </w:r>
      <w:r>
        <w:rPr>
          <w:rFonts w:hint="eastAsia" w:ascii="宋体" w:hAnsi="宋体" w:eastAsia="宋体" w:cs="宋体"/>
          <w:b w:val="0"/>
          <w:bCs w:val="0"/>
          <w:color w:val="auto"/>
          <w:sz w:val="21"/>
          <w:szCs w:val="21"/>
          <w:lang w:val="en-US" w:eastAsia="zh-CN"/>
        </w:rPr>
        <w:t>甲方决定实施临时接管后，应书面通知乙方，并告知其有申请听证的权利。乙方应于接到书面通知之日起5日内申请听证，甲方应于20日内组织听证。</w:t>
      </w:r>
    </w:p>
    <w:p w14:paraId="47765B8C">
      <w:pPr>
        <w:keepNext w:val="0"/>
        <w:keepLines w:val="0"/>
        <w:pageBreakBefore w:val="0"/>
        <w:widowControl w:val="0"/>
        <w:kinsoku/>
        <w:wordWrap/>
        <w:overflowPunct/>
        <w:topLinePunct w:val="0"/>
        <w:autoSpaceDE/>
        <w:autoSpaceDN/>
        <w:bidi w:val="0"/>
        <w:adjustRightInd/>
        <w:snapToGrid/>
        <w:spacing w:line="460" w:lineRule="exact"/>
        <w:ind w:firstLine="420" w:firstLineChars="20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甲方应根据听证笔录，决定是否进行临时接管。 如乙方于接到书面通知后5日内，没有申请听证，则甲方可以自行决定临时接管。</w:t>
      </w:r>
    </w:p>
    <w:p w14:paraId="2D29AF14">
      <w:pPr>
        <w:keepNext w:val="0"/>
        <w:keepLines w:val="0"/>
        <w:pageBreakBefore w:val="0"/>
        <w:widowControl w:val="0"/>
        <w:kinsoku/>
        <w:wordWrap/>
        <w:overflowPunct/>
        <w:topLinePunct w:val="0"/>
        <w:autoSpaceDE/>
        <w:autoSpaceDN/>
        <w:bidi w:val="0"/>
        <w:adjustRightInd/>
        <w:snapToGrid/>
        <w:spacing w:line="460" w:lineRule="exact"/>
        <w:ind w:firstLine="420" w:firstLineChars="200"/>
        <w:jc w:val="left"/>
        <w:textAlignment w:val="auto"/>
        <w:rPr>
          <w:rFonts w:hint="eastAsia" w:ascii="宋体" w:hAnsi="宋体" w:eastAsia="宋体" w:cs="宋体"/>
          <w:b w:val="0"/>
          <w:bCs w:val="0"/>
          <w:color w:val="auto"/>
          <w:sz w:val="21"/>
          <w:szCs w:val="21"/>
          <w:lang w:val="en-US" w:eastAsia="zh-CN"/>
        </w:rPr>
      </w:pPr>
      <w:r>
        <w:rPr>
          <w:rFonts w:hint="eastAsia" w:ascii="宋体" w:hAnsi="宋体" w:cs="宋体"/>
          <w:b w:val="0"/>
          <w:bCs w:val="0"/>
          <w:color w:val="auto"/>
          <w:sz w:val="21"/>
          <w:szCs w:val="21"/>
          <w:lang w:val="en-US" w:eastAsia="zh-CN"/>
        </w:rPr>
        <w:t>三、</w:t>
      </w:r>
      <w:r>
        <w:rPr>
          <w:rFonts w:hint="eastAsia" w:ascii="宋体" w:hAnsi="宋体" w:eastAsia="宋体" w:cs="宋体"/>
          <w:b w:val="0"/>
          <w:bCs w:val="0"/>
          <w:color w:val="auto"/>
          <w:sz w:val="21"/>
          <w:szCs w:val="21"/>
          <w:lang w:val="en-US" w:eastAsia="zh-CN"/>
        </w:rPr>
        <w:t>甲方临时接管项目设施，须同时指定第三方临时提供本协议项下的生活垃圾处理服务，临时接管期间发生的生活垃圾处理成本、费用等均由乙方承担，乙方并应向甲方支付接管费用。</w:t>
      </w:r>
    </w:p>
    <w:p w14:paraId="536E43A2">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b w:val="0"/>
          <w:bCs w:val="0"/>
          <w:color w:val="auto"/>
          <w:sz w:val="21"/>
          <w:szCs w:val="21"/>
          <w:lang w:val="en-US" w:eastAsia="zh-CN"/>
        </w:rPr>
      </w:pPr>
      <w:r>
        <w:rPr>
          <w:rFonts w:hint="eastAsia" w:ascii="宋体" w:hAnsi="宋体" w:cs="宋体"/>
          <w:b w:val="0"/>
          <w:bCs w:val="0"/>
          <w:color w:val="auto"/>
          <w:sz w:val="21"/>
          <w:szCs w:val="21"/>
          <w:lang w:val="en-US" w:eastAsia="zh-CN"/>
        </w:rPr>
        <w:t>四、</w:t>
      </w:r>
      <w:r>
        <w:rPr>
          <w:rFonts w:hint="eastAsia" w:ascii="宋体" w:hAnsi="宋体" w:eastAsia="宋体" w:cs="宋体"/>
          <w:b w:val="0"/>
          <w:bCs w:val="0"/>
          <w:color w:val="auto"/>
          <w:sz w:val="21"/>
          <w:szCs w:val="21"/>
          <w:lang w:val="en-US" w:eastAsia="zh-CN"/>
        </w:rPr>
        <w:t>导致临时接管的违约行为后，经乙方纠正，并经乙方书面申请，甲方应当终止临时接管，恢复乙方的特许经营权。</w:t>
      </w:r>
    </w:p>
    <w:p w14:paraId="2666312C">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b w:val="0"/>
          <w:bCs w:val="0"/>
          <w:color w:val="auto"/>
          <w:sz w:val="21"/>
          <w:szCs w:val="21"/>
          <w:lang w:val="en-US" w:eastAsia="zh-CN"/>
        </w:rPr>
      </w:pPr>
      <w:r>
        <w:rPr>
          <w:rFonts w:hint="eastAsia" w:ascii="宋体" w:hAnsi="宋体" w:cs="宋体"/>
          <w:b w:val="0"/>
          <w:bCs w:val="0"/>
          <w:color w:val="auto"/>
          <w:sz w:val="21"/>
          <w:szCs w:val="21"/>
          <w:lang w:val="en-US" w:eastAsia="zh-CN"/>
        </w:rPr>
        <w:t>五、</w:t>
      </w:r>
      <w:r>
        <w:rPr>
          <w:rFonts w:hint="eastAsia" w:ascii="宋体" w:hAnsi="宋体" w:eastAsia="宋体" w:cs="宋体"/>
          <w:b w:val="0"/>
          <w:bCs w:val="0"/>
          <w:color w:val="auto"/>
          <w:sz w:val="21"/>
          <w:szCs w:val="21"/>
          <w:lang w:val="en-US" w:eastAsia="zh-CN"/>
        </w:rPr>
        <w:t>如单次临时接管持续不间断超过60天，甲方有权提前终止本协议，收回乙方的特许经营权。</w:t>
      </w:r>
    </w:p>
    <w:p w14:paraId="4FFF7B9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eastAsia="宋体" w:cs="宋体"/>
          <w:b/>
          <w:bCs/>
          <w:color w:val="auto"/>
          <w:sz w:val="21"/>
          <w:szCs w:val="21"/>
          <w:lang w:eastAsia="zh-CN"/>
        </w:rPr>
      </w:pPr>
      <w:r>
        <w:rPr>
          <w:rFonts w:hint="eastAsia" w:ascii="宋体" w:hAnsi="宋体" w:cs="宋体"/>
          <w:b/>
          <w:bCs/>
          <w:color w:val="auto"/>
          <w:sz w:val="21"/>
          <w:szCs w:val="21"/>
          <w:lang w:val="en-US" w:eastAsia="zh-CN"/>
        </w:rPr>
        <w:t xml:space="preserve">第十二章  </w:t>
      </w:r>
      <w:r>
        <w:rPr>
          <w:rFonts w:hint="eastAsia" w:ascii="宋体" w:hAnsi="宋体" w:eastAsia="宋体" w:cs="宋体"/>
          <w:b/>
          <w:bCs/>
          <w:color w:val="auto"/>
          <w:sz w:val="21"/>
          <w:szCs w:val="21"/>
          <w:lang w:eastAsia="zh-CN"/>
        </w:rPr>
        <w:t>违约责任</w:t>
      </w:r>
    </w:p>
    <w:p w14:paraId="2D7ECAF0">
      <w:pPr>
        <w:keepNext w:val="0"/>
        <w:keepLines w:val="0"/>
        <w:pageBreakBefore w:val="0"/>
        <w:widowControl w:val="0"/>
        <w:kinsoku/>
        <w:wordWrap/>
        <w:overflowPunct/>
        <w:topLinePunct w:val="0"/>
        <w:autoSpaceDE/>
        <w:autoSpaceDN/>
        <w:bidi w:val="0"/>
        <w:adjustRightInd/>
        <w:snapToGrid/>
        <w:spacing w:line="440" w:lineRule="exact"/>
        <w:ind w:firstLine="422" w:firstLineChars="200"/>
        <w:textAlignment w:val="auto"/>
        <w:rPr>
          <w:rFonts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第二十</w:t>
      </w:r>
      <w:r>
        <w:rPr>
          <w:rFonts w:hint="eastAsia" w:ascii="宋体" w:hAnsi="宋体" w:cs="宋体"/>
          <w:b/>
          <w:bCs/>
          <w:color w:val="auto"/>
          <w:sz w:val="21"/>
          <w:szCs w:val="21"/>
          <w:lang w:val="en-US" w:eastAsia="zh-CN"/>
        </w:rPr>
        <w:t>五</w:t>
      </w:r>
      <w:r>
        <w:rPr>
          <w:rFonts w:hint="eastAsia" w:ascii="宋体" w:hAnsi="宋体" w:eastAsia="宋体" w:cs="宋体"/>
          <w:b/>
          <w:bCs/>
          <w:color w:val="auto"/>
          <w:sz w:val="21"/>
          <w:szCs w:val="21"/>
          <w:lang w:eastAsia="zh-CN"/>
        </w:rPr>
        <w:t>条 违约责任</w:t>
      </w:r>
    </w:p>
    <w:p w14:paraId="2DAF2046">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宋体" w:hAnsi="宋体" w:eastAsia="宋体" w:cs="宋体"/>
          <w:color w:val="auto"/>
          <w:sz w:val="21"/>
          <w:szCs w:val="21"/>
          <w:lang w:eastAsia="zh-CN"/>
        </w:rPr>
      </w:pPr>
      <w:r>
        <w:rPr>
          <w:rFonts w:hint="eastAsia" w:ascii="宋体" w:hAnsi="宋体" w:cs="宋体"/>
          <w:color w:val="auto"/>
          <w:sz w:val="21"/>
          <w:szCs w:val="21"/>
          <w:lang w:val="en-US" w:eastAsia="zh-CN"/>
        </w:rPr>
        <w:t>一、</w:t>
      </w:r>
      <w:r>
        <w:rPr>
          <w:rFonts w:hint="eastAsia" w:ascii="宋体" w:hAnsi="宋体" w:eastAsia="宋体" w:cs="宋体"/>
          <w:color w:val="auto"/>
          <w:sz w:val="21"/>
          <w:szCs w:val="21"/>
          <w:lang w:eastAsia="zh-CN"/>
        </w:rPr>
        <w:t>乙方应根据甲方提供的资料编制建设期施工进度计划并报甲方审批，在建设期内，乙方根据经甲方批准的施工进度计划组织施工，乙方在次月第一周周末前上报上月进度完成情况，甲方根据批准的进度计划及乙方的实际进度完成情况进行考核，未达到考核标准的，乙方应根据甲方要求整改，整改后仍不达不到考核标准的，甲方有权视情况扣除履约保证金，直至解除合同，给甲方造成损失的，乙方承担赔偿责任。</w:t>
      </w:r>
    </w:p>
    <w:p w14:paraId="2314184C">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宋体" w:hAnsi="宋体" w:eastAsia="宋体" w:cs="宋体"/>
          <w:color w:val="auto"/>
          <w:sz w:val="21"/>
          <w:szCs w:val="21"/>
          <w:lang w:eastAsia="zh-CN"/>
        </w:rPr>
      </w:pPr>
      <w:r>
        <w:rPr>
          <w:rFonts w:hint="eastAsia" w:ascii="宋体" w:hAnsi="宋体" w:cs="宋体"/>
          <w:color w:val="auto"/>
          <w:sz w:val="21"/>
          <w:szCs w:val="21"/>
          <w:lang w:val="en-US" w:eastAsia="zh-CN"/>
        </w:rPr>
        <w:t>二、</w:t>
      </w:r>
      <w:r>
        <w:rPr>
          <w:rFonts w:hint="eastAsia" w:ascii="宋体" w:hAnsi="宋体" w:eastAsia="宋体" w:cs="宋体"/>
          <w:color w:val="auto"/>
          <w:sz w:val="21"/>
          <w:szCs w:val="21"/>
          <w:lang w:eastAsia="zh-CN"/>
        </w:rPr>
        <w:t>在运营期限内，非甲方原因导致乙方经营无法持续的，甲方不承担乙方的损失，无需对乙方进行赔偿。甲方非因不可抗力提前收回部分停车位的，乙方有权要求甲方赔偿相应设备投入等费用，并根据提前收回的车位核减相应车位管理服务费；甲方非因不可抗力因素导致无法继续履行而解除合同的,甲方应承担乙方相应的损失赔偿责任。</w:t>
      </w:r>
    </w:p>
    <w:p w14:paraId="755FE7C5">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宋体" w:hAnsi="宋体" w:eastAsia="宋体" w:cs="宋体"/>
          <w:color w:val="auto"/>
          <w:sz w:val="21"/>
          <w:szCs w:val="21"/>
          <w:lang w:eastAsia="zh-CN"/>
        </w:rPr>
      </w:pPr>
      <w:r>
        <w:rPr>
          <w:rFonts w:hint="eastAsia" w:ascii="宋体" w:hAnsi="宋体" w:cs="宋体"/>
          <w:color w:val="auto"/>
          <w:sz w:val="21"/>
          <w:szCs w:val="21"/>
          <w:lang w:val="en-US" w:eastAsia="zh-CN"/>
        </w:rPr>
        <w:t>三、</w:t>
      </w:r>
      <w:r>
        <w:rPr>
          <w:rFonts w:hint="eastAsia" w:ascii="宋体" w:hAnsi="宋体" w:eastAsia="宋体" w:cs="宋体"/>
          <w:color w:val="auto"/>
          <w:sz w:val="21"/>
          <w:szCs w:val="21"/>
          <w:lang w:eastAsia="zh-CN"/>
        </w:rPr>
        <w:t>乙方应向甲方足额缴纳管理服务费。若乙方逾期10个工作日未按约定向甲方足额缴纳管理服务费的，从逾期之日起按照未缴金额每日万分之五计算逾期违约金，直至足额缴清为止；逾期3个月未缴纳的，甲方有权在催告后解除本合同，并依法追缴所欠费用（含违约金）。</w:t>
      </w:r>
    </w:p>
    <w:p w14:paraId="42266AE1">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宋体" w:hAnsi="宋体" w:eastAsia="宋体" w:cs="宋体"/>
          <w:color w:val="auto"/>
          <w:sz w:val="21"/>
          <w:szCs w:val="21"/>
          <w:lang w:eastAsia="zh-CN"/>
        </w:rPr>
      </w:pPr>
      <w:r>
        <w:rPr>
          <w:rFonts w:hint="eastAsia" w:ascii="宋体" w:hAnsi="宋体" w:cs="宋体"/>
          <w:color w:val="auto"/>
          <w:sz w:val="21"/>
          <w:szCs w:val="21"/>
          <w:lang w:val="en-US" w:eastAsia="zh-CN"/>
        </w:rPr>
        <w:t>四、</w:t>
      </w:r>
      <w:r>
        <w:rPr>
          <w:rFonts w:hint="eastAsia" w:ascii="宋体" w:hAnsi="宋体" w:eastAsia="宋体" w:cs="宋体"/>
          <w:color w:val="auto"/>
          <w:sz w:val="21"/>
          <w:szCs w:val="21"/>
          <w:lang w:eastAsia="zh-CN"/>
        </w:rPr>
        <w:t>乙方在运营期限内出现下列情形之一的，甲方有权单方终止本合同，收回经营管理权。期间乙方产生的费用由乙方自行承担，给甲方造成损失的，乙方承担赔偿责任。</w:t>
      </w:r>
    </w:p>
    <w:p w14:paraId="614839FE">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宋体" w:hAnsi="宋体" w:eastAsia="宋体" w:cs="宋体"/>
          <w:color w:val="auto"/>
          <w:sz w:val="21"/>
          <w:szCs w:val="21"/>
          <w:lang w:eastAsia="zh-CN"/>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一</w:t>
      </w:r>
      <w:r>
        <w:rPr>
          <w:rFonts w:hint="eastAsia" w:ascii="宋体" w:hAnsi="宋体" w:cs="宋体"/>
          <w:color w:val="auto"/>
          <w:sz w:val="21"/>
          <w:szCs w:val="21"/>
          <w:lang w:eastAsia="zh-CN"/>
        </w:rPr>
        <w:t>）</w:t>
      </w:r>
      <w:r>
        <w:rPr>
          <w:rFonts w:hint="eastAsia" w:ascii="宋体" w:hAnsi="宋体" w:eastAsia="宋体" w:cs="宋体"/>
          <w:color w:val="auto"/>
          <w:sz w:val="21"/>
          <w:szCs w:val="21"/>
          <w:lang w:eastAsia="zh-CN"/>
        </w:rPr>
        <w:t>乙方未按规定向甲方足额缴纳管理服务费，逾期3个月的；</w:t>
      </w:r>
    </w:p>
    <w:p w14:paraId="140A69EB">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宋体" w:hAnsi="宋体" w:eastAsia="宋体" w:cs="宋体"/>
          <w:color w:val="auto"/>
          <w:sz w:val="21"/>
          <w:szCs w:val="21"/>
          <w:lang w:eastAsia="zh-CN"/>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二</w:t>
      </w:r>
      <w:r>
        <w:rPr>
          <w:rFonts w:hint="eastAsia" w:ascii="宋体" w:hAnsi="宋体" w:cs="宋体"/>
          <w:color w:val="auto"/>
          <w:sz w:val="21"/>
          <w:szCs w:val="21"/>
          <w:lang w:eastAsia="zh-CN"/>
        </w:rPr>
        <w:t>）</w:t>
      </w:r>
      <w:r>
        <w:rPr>
          <w:rFonts w:hint="eastAsia" w:ascii="宋体" w:hAnsi="宋体" w:eastAsia="宋体" w:cs="宋体"/>
          <w:color w:val="auto"/>
          <w:sz w:val="21"/>
          <w:szCs w:val="21"/>
          <w:lang w:eastAsia="zh-CN"/>
        </w:rPr>
        <w:t>因乙方原因，乙方纳入管理的路内临时停车位不足总数的50%，且时间连续超过3个月的；</w:t>
      </w:r>
    </w:p>
    <w:p w14:paraId="4340D601">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宋体" w:hAnsi="宋体" w:eastAsia="宋体" w:cs="宋体"/>
          <w:color w:val="auto"/>
          <w:sz w:val="21"/>
          <w:szCs w:val="21"/>
          <w:lang w:eastAsia="zh-CN"/>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三</w:t>
      </w:r>
      <w:r>
        <w:rPr>
          <w:rFonts w:hint="eastAsia" w:ascii="宋体" w:hAnsi="宋体" w:cs="宋体"/>
          <w:color w:val="auto"/>
          <w:sz w:val="21"/>
          <w:szCs w:val="21"/>
          <w:lang w:eastAsia="zh-CN"/>
        </w:rPr>
        <w:t>）</w:t>
      </w:r>
      <w:r>
        <w:rPr>
          <w:rFonts w:hint="eastAsia" w:ascii="宋体" w:hAnsi="宋体" w:eastAsia="宋体" w:cs="宋体"/>
          <w:color w:val="auto"/>
          <w:sz w:val="21"/>
          <w:szCs w:val="21"/>
          <w:lang w:eastAsia="zh-CN"/>
        </w:rPr>
        <w:t>合同期限内，因乙方原因造成项目不能继续经营，停工超过30天的。</w:t>
      </w:r>
    </w:p>
    <w:p w14:paraId="62D4DFF0">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宋体" w:hAnsi="宋体" w:eastAsia="宋体" w:cs="宋体"/>
          <w:color w:val="auto"/>
          <w:sz w:val="21"/>
          <w:szCs w:val="21"/>
          <w:lang w:eastAsia="zh-CN"/>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四</w:t>
      </w:r>
      <w:r>
        <w:rPr>
          <w:rFonts w:hint="eastAsia" w:ascii="宋体" w:hAnsi="宋体" w:cs="宋体"/>
          <w:color w:val="auto"/>
          <w:sz w:val="21"/>
          <w:szCs w:val="21"/>
          <w:lang w:eastAsia="zh-CN"/>
        </w:rPr>
        <w:t>）</w:t>
      </w:r>
      <w:r>
        <w:rPr>
          <w:rFonts w:hint="eastAsia" w:ascii="宋体" w:hAnsi="宋体" w:eastAsia="宋体" w:cs="宋体"/>
          <w:color w:val="auto"/>
          <w:sz w:val="21"/>
          <w:szCs w:val="21"/>
          <w:lang w:eastAsia="zh-CN"/>
        </w:rPr>
        <w:t>非因甲方原因或不可抗力原因，项目到期后，乙方拒绝移交或延期移交的，每逾期一个月，由乙方承担双倍管理费的违约金，逾期超过三个月以上的，每逾期一个月，违约金依次递增一个月的管理费。</w:t>
      </w:r>
    </w:p>
    <w:p w14:paraId="39CDE7C6">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宋体" w:hAnsi="宋体" w:eastAsia="宋体" w:cs="宋体"/>
          <w:color w:val="auto"/>
          <w:sz w:val="21"/>
          <w:szCs w:val="21"/>
          <w:lang w:eastAsia="zh-CN"/>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五</w:t>
      </w:r>
      <w:r>
        <w:rPr>
          <w:rFonts w:hint="eastAsia" w:ascii="宋体" w:hAnsi="宋体" w:cs="宋体"/>
          <w:color w:val="auto"/>
          <w:sz w:val="21"/>
          <w:szCs w:val="21"/>
          <w:lang w:eastAsia="zh-CN"/>
        </w:rPr>
        <w:t>）</w:t>
      </w:r>
      <w:r>
        <w:rPr>
          <w:rFonts w:hint="eastAsia" w:ascii="宋体" w:hAnsi="宋体" w:eastAsia="宋体" w:cs="宋体"/>
          <w:color w:val="auto"/>
          <w:sz w:val="21"/>
          <w:szCs w:val="21"/>
          <w:lang w:eastAsia="zh-CN"/>
        </w:rPr>
        <w:t>由上级或同级领导发现重大问题，造成严重后果的，甲方有权对乙方进行处罚，直至解除合同。</w:t>
      </w:r>
    </w:p>
    <w:p w14:paraId="26D80F82">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宋体" w:hAnsi="宋体" w:eastAsia="宋体" w:cs="宋体"/>
          <w:color w:val="auto"/>
          <w:sz w:val="21"/>
          <w:szCs w:val="21"/>
          <w:lang w:eastAsia="zh-CN"/>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六</w:t>
      </w:r>
      <w:r>
        <w:rPr>
          <w:rFonts w:hint="eastAsia" w:ascii="宋体" w:hAnsi="宋体" w:cs="宋体"/>
          <w:color w:val="auto"/>
          <w:sz w:val="21"/>
          <w:szCs w:val="21"/>
          <w:lang w:eastAsia="zh-CN"/>
        </w:rPr>
        <w:t>）</w:t>
      </w:r>
      <w:r>
        <w:rPr>
          <w:rFonts w:hint="eastAsia" w:ascii="宋体" w:hAnsi="宋体" w:eastAsia="宋体" w:cs="宋体"/>
          <w:color w:val="auto"/>
          <w:sz w:val="21"/>
          <w:szCs w:val="21"/>
          <w:lang w:eastAsia="zh-CN"/>
        </w:rPr>
        <w:t>乙方未按时间要求及时发放员工工资，甲方有权单方解除合同。</w:t>
      </w:r>
    </w:p>
    <w:p w14:paraId="3C2E6C0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第十</w:t>
      </w:r>
      <w:r>
        <w:rPr>
          <w:rFonts w:hint="eastAsia" w:ascii="宋体" w:hAnsi="宋体" w:cs="宋体"/>
          <w:b/>
          <w:bCs/>
          <w:color w:val="auto"/>
          <w:sz w:val="21"/>
          <w:szCs w:val="21"/>
          <w:lang w:val="en-US" w:eastAsia="zh-CN"/>
        </w:rPr>
        <w:t>三</w:t>
      </w:r>
      <w:r>
        <w:rPr>
          <w:rFonts w:hint="eastAsia" w:ascii="宋体" w:hAnsi="宋体" w:eastAsia="宋体" w:cs="宋体"/>
          <w:b/>
          <w:bCs/>
          <w:color w:val="auto"/>
          <w:sz w:val="21"/>
          <w:szCs w:val="21"/>
          <w:lang w:eastAsia="zh-CN"/>
        </w:rPr>
        <w:t xml:space="preserve">章 </w:t>
      </w:r>
      <w:r>
        <w:rPr>
          <w:rFonts w:hint="eastAsia" w:ascii="宋体" w:hAnsi="宋体" w:eastAsia="宋体" w:cs="宋体"/>
          <w:b/>
          <w:bCs/>
          <w:color w:val="auto"/>
          <w:sz w:val="21"/>
          <w:szCs w:val="21"/>
          <w:lang w:val="en-US" w:eastAsia="zh-CN"/>
        </w:rPr>
        <w:t xml:space="preserve"> </w:t>
      </w:r>
      <w:r>
        <w:rPr>
          <w:rFonts w:hint="eastAsia" w:ascii="宋体" w:hAnsi="宋体" w:eastAsia="宋体" w:cs="宋体"/>
          <w:b/>
          <w:bCs/>
          <w:color w:val="auto"/>
          <w:sz w:val="21"/>
          <w:szCs w:val="21"/>
          <w:lang w:eastAsia="zh-CN"/>
        </w:rPr>
        <w:t>争议解决</w:t>
      </w:r>
    </w:p>
    <w:p w14:paraId="2FECE45A">
      <w:pPr>
        <w:keepNext w:val="0"/>
        <w:keepLines w:val="0"/>
        <w:pageBreakBefore w:val="0"/>
        <w:widowControl w:val="0"/>
        <w:kinsoku/>
        <w:wordWrap/>
        <w:overflowPunct/>
        <w:topLinePunct w:val="0"/>
        <w:autoSpaceDE/>
        <w:autoSpaceDN/>
        <w:bidi w:val="0"/>
        <w:adjustRightInd/>
        <w:snapToGrid/>
        <w:spacing w:line="440" w:lineRule="exact"/>
        <w:ind w:firstLine="422" w:firstLineChars="200"/>
        <w:textAlignment w:val="auto"/>
        <w:rPr>
          <w:rFonts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第二十</w:t>
      </w:r>
      <w:r>
        <w:rPr>
          <w:rFonts w:hint="eastAsia" w:ascii="宋体" w:hAnsi="宋体" w:cs="宋体"/>
          <w:b/>
          <w:bCs/>
          <w:color w:val="auto"/>
          <w:sz w:val="21"/>
          <w:szCs w:val="21"/>
          <w:lang w:val="en-US" w:eastAsia="zh-CN"/>
        </w:rPr>
        <w:t>六</w:t>
      </w:r>
      <w:r>
        <w:rPr>
          <w:rFonts w:hint="eastAsia" w:ascii="宋体" w:hAnsi="宋体" w:eastAsia="宋体" w:cs="宋体"/>
          <w:b/>
          <w:bCs/>
          <w:color w:val="auto"/>
          <w:sz w:val="21"/>
          <w:szCs w:val="21"/>
          <w:lang w:eastAsia="zh-CN"/>
        </w:rPr>
        <w:t>条 争议解决</w:t>
      </w:r>
    </w:p>
    <w:p w14:paraId="6C4AF227">
      <w:pPr>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因本合同发生的任何争议，双方应平等、友好协商解决，协商不成，可向阳江市海陵岛经济开发试验区人民法院提起诉讼。在争议解决期间，除争议项外，双方应继续履行本合同所规定的其它各项义务。</w:t>
      </w:r>
    </w:p>
    <w:p w14:paraId="14A949E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第十</w:t>
      </w:r>
      <w:r>
        <w:rPr>
          <w:rFonts w:hint="eastAsia" w:ascii="宋体" w:hAnsi="宋体" w:cs="宋体"/>
          <w:b/>
          <w:bCs/>
          <w:color w:val="auto"/>
          <w:sz w:val="21"/>
          <w:szCs w:val="21"/>
          <w:lang w:val="en-US" w:eastAsia="zh-CN"/>
        </w:rPr>
        <w:t>四</w:t>
      </w:r>
      <w:r>
        <w:rPr>
          <w:rFonts w:hint="eastAsia" w:ascii="宋体" w:hAnsi="宋体" w:eastAsia="宋体" w:cs="宋体"/>
          <w:b/>
          <w:bCs/>
          <w:color w:val="auto"/>
          <w:sz w:val="21"/>
          <w:szCs w:val="21"/>
          <w:lang w:eastAsia="zh-CN"/>
        </w:rPr>
        <w:t xml:space="preserve">章 </w:t>
      </w:r>
      <w:r>
        <w:rPr>
          <w:rFonts w:hint="eastAsia" w:ascii="宋体" w:hAnsi="宋体" w:eastAsia="宋体" w:cs="宋体"/>
          <w:b/>
          <w:bCs/>
          <w:color w:val="auto"/>
          <w:sz w:val="21"/>
          <w:szCs w:val="21"/>
          <w:lang w:val="en-US" w:eastAsia="zh-CN"/>
        </w:rPr>
        <w:t xml:space="preserve"> </w:t>
      </w:r>
      <w:r>
        <w:rPr>
          <w:rFonts w:hint="eastAsia" w:ascii="宋体" w:hAnsi="宋体" w:eastAsia="宋体" w:cs="宋体"/>
          <w:b/>
          <w:bCs/>
          <w:color w:val="auto"/>
          <w:sz w:val="21"/>
          <w:szCs w:val="21"/>
          <w:lang w:eastAsia="zh-CN"/>
        </w:rPr>
        <w:t>其它约定</w:t>
      </w:r>
    </w:p>
    <w:p w14:paraId="64EEE001">
      <w:pPr>
        <w:keepNext w:val="0"/>
        <w:keepLines w:val="0"/>
        <w:pageBreakBefore w:val="0"/>
        <w:widowControl w:val="0"/>
        <w:kinsoku/>
        <w:wordWrap/>
        <w:overflowPunct/>
        <w:topLinePunct w:val="0"/>
        <w:autoSpaceDE/>
        <w:autoSpaceDN/>
        <w:bidi w:val="0"/>
        <w:adjustRightInd/>
        <w:snapToGrid/>
        <w:spacing w:line="440" w:lineRule="exact"/>
        <w:ind w:firstLine="422" w:firstLineChars="200"/>
        <w:textAlignment w:val="auto"/>
        <w:rPr>
          <w:rFonts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第二十</w:t>
      </w:r>
      <w:r>
        <w:rPr>
          <w:rFonts w:hint="eastAsia" w:ascii="宋体" w:hAnsi="宋体" w:cs="宋体"/>
          <w:b/>
          <w:bCs/>
          <w:color w:val="auto"/>
          <w:sz w:val="21"/>
          <w:szCs w:val="21"/>
          <w:lang w:val="en-US" w:eastAsia="zh-CN"/>
        </w:rPr>
        <w:t>七</w:t>
      </w:r>
      <w:r>
        <w:rPr>
          <w:rFonts w:hint="eastAsia" w:ascii="宋体" w:hAnsi="宋体" w:eastAsia="宋体" w:cs="宋体"/>
          <w:b/>
          <w:bCs/>
          <w:color w:val="auto"/>
          <w:sz w:val="21"/>
          <w:szCs w:val="21"/>
          <w:lang w:eastAsia="zh-CN"/>
        </w:rPr>
        <w:t>条 主体变更</w:t>
      </w:r>
    </w:p>
    <w:p w14:paraId="31A0C672">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宋体" w:hAnsi="宋体" w:eastAsia="宋体" w:cs="宋体"/>
          <w:color w:val="auto"/>
          <w:sz w:val="21"/>
          <w:szCs w:val="21"/>
          <w:lang w:eastAsia="zh-CN"/>
        </w:rPr>
      </w:pPr>
      <w:r>
        <w:rPr>
          <w:rFonts w:hint="eastAsia" w:ascii="宋体" w:hAnsi="宋体" w:cs="宋体"/>
          <w:color w:val="auto"/>
          <w:sz w:val="21"/>
          <w:szCs w:val="21"/>
          <w:lang w:val="en-US" w:eastAsia="zh-CN"/>
        </w:rPr>
        <w:t>一、</w:t>
      </w:r>
      <w:r>
        <w:rPr>
          <w:rFonts w:hint="eastAsia" w:ascii="宋体" w:hAnsi="宋体" w:eastAsia="宋体" w:cs="宋体"/>
          <w:color w:val="auto"/>
          <w:sz w:val="21"/>
          <w:szCs w:val="21"/>
          <w:lang w:eastAsia="zh-CN"/>
        </w:rPr>
        <w:t>甲方变更</w:t>
      </w:r>
    </w:p>
    <w:p w14:paraId="71E58AAF">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由于政府机构改革，则承继甲方权利的新的主体应：</w:t>
      </w:r>
    </w:p>
    <w:p w14:paraId="1B215DBE">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宋体" w:hAnsi="宋体" w:eastAsia="宋体" w:cs="宋体"/>
          <w:color w:val="auto"/>
          <w:sz w:val="21"/>
          <w:szCs w:val="21"/>
          <w:lang w:eastAsia="zh-CN"/>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一</w:t>
      </w:r>
      <w:r>
        <w:rPr>
          <w:rFonts w:hint="eastAsia" w:ascii="宋体" w:hAnsi="宋体" w:cs="宋体"/>
          <w:color w:val="auto"/>
          <w:sz w:val="21"/>
          <w:szCs w:val="21"/>
          <w:lang w:eastAsia="zh-CN"/>
        </w:rPr>
        <w:t>）</w:t>
      </w:r>
      <w:r>
        <w:rPr>
          <w:rFonts w:hint="eastAsia" w:ascii="宋体" w:hAnsi="宋体" w:eastAsia="宋体" w:cs="宋体"/>
          <w:color w:val="auto"/>
          <w:sz w:val="21"/>
          <w:szCs w:val="21"/>
          <w:lang w:eastAsia="zh-CN"/>
        </w:rPr>
        <w:t>具有承担原甲方对项目的所有权利、义务和责任的能力，并重新得到政府的授权；</w:t>
      </w:r>
    </w:p>
    <w:p w14:paraId="4D64ACE5">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宋体" w:hAnsi="宋体" w:eastAsia="宋体" w:cs="宋体"/>
          <w:color w:val="auto"/>
          <w:sz w:val="21"/>
          <w:szCs w:val="21"/>
          <w:lang w:eastAsia="zh-CN"/>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二</w:t>
      </w:r>
      <w:r>
        <w:rPr>
          <w:rFonts w:hint="eastAsia" w:ascii="宋体" w:hAnsi="宋体" w:cs="宋体"/>
          <w:color w:val="auto"/>
          <w:sz w:val="21"/>
          <w:szCs w:val="21"/>
          <w:lang w:eastAsia="zh-CN"/>
        </w:rPr>
        <w:t>）</w:t>
      </w:r>
      <w:r>
        <w:rPr>
          <w:rFonts w:hint="eastAsia" w:ascii="宋体" w:hAnsi="宋体" w:eastAsia="宋体" w:cs="宋体"/>
          <w:color w:val="auto"/>
          <w:sz w:val="21"/>
          <w:szCs w:val="21"/>
          <w:lang w:eastAsia="zh-CN"/>
        </w:rPr>
        <w:t>接受并完全承担原甲方在本合同项下义务的履行；</w:t>
      </w:r>
    </w:p>
    <w:p w14:paraId="10E1E9A4">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宋体" w:hAnsi="宋体" w:eastAsia="宋体" w:cs="宋体"/>
          <w:color w:val="auto"/>
          <w:sz w:val="21"/>
          <w:szCs w:val="21"/>
          <w:lang w:eastAsia="zh-CN"/>
        </w:rPr>
      </w:pPr>
      <w:r>
        <w:rPr>
          <w:rFonts w:hint="eastAsia" w:ascii="宋体" w:hAnsi="宋体" w:cs="宋体"/>
          <w:color w:val="auto"/>
          <w:sz w:val="21"/>
          <w:szCs w:val="21"/>
          <w:lang w:val="en-US" w:eastAsia="zh-CN"/>
        </w:rPr>
        <w:t>二、</w:t>
      </w:r>
      <w:r>
        <w:rPr>
          <w:rFonts w:hint="eastAsia" w:ascii="宋体" w:hAnsi="宋体" w:eastAsia="宋体" w:cs="宋体"/>
          <w:color w:val="auto"/>
          <w:sz w:val="21"/>
          <w:szCs w:val="21"/>
          <w:lang w:eastAsia="zh-CN"/>
        </w:rPr>
        <w:t>乙方变更</w:t>
      </w:r>
    </w:p>
    <w:p w14:paraId="2BB02256">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乙方应接受并完全承担原乙方在本合同项下权利义务的履行。</w:t>
      </w:r>
    </w:p>
    <w:p w14:paraId="0A5AC52C">
      <w:pPr>
        <w:keepNext w:val="0"/>
        <w:keepLines w:val="0"/>
        <w:pageBreakBefore w:val="0"/>
        <w:widowControl w:val="0"/>
        <w:kinsoku/>
        <w:wordWrap/>
        <w:overflowPunct/>
        <w:topLinePunct w:val="0"/>
        <w:autoSpaceDE/>
        <w:autoSpaceDN/>
        <w:bidi w:val="0"/>
        <w:adjustRightInd/>
        <w:snapToGrid/>
        <w:spacing w:line="440" w:lineRule="exact"/>
        <w:ind w:firstLine="422" w:firstLineChars="200"/>
        <w:textAlignment w:val="auto"/>
        <w:rPr>
          <w:rFonts w:ascii="宋体" w:hAnsi="宋体" w:eastAsia="宋体" w:cs="宋体"/>
          <w:color w:val="auto"/>
          <w:sz w:val="21"/>
          <w:szCs w:val="21"/>
          <w:lang w:eastAsia="zh-CN"/>
        </w:rPr>
      </w:pPr>
      <w:r>
        <w:rPr>
          <w:rFonts w:hint="eastAsia" w:ascii="宋体" w:hAnsi="宋体" w:eastAsia="宋体" w:cs="宋体"/>
          <w:b/>
          <w:bCs/>
          <w:color w:val="auto"/>
          <w:sz w:val="21"/>
          <w:szCs w:val="21"/>
          <w:lang w:eastAsia="zh-CN"/>
        </w:rPr>
        <w:t>第二十</w:t>
      </w:r>
      <w:r>
        <w:rPr>
          <w:rFonts w:hint="eastAsia" w:ascii="宋体" w:hAnsi="宋体" w:cs="宋体"/>
          <w:b/>
          <w:bCs/>
          <w:color w:val="auto"/>
          <w:sz w:val="21"/>
          <w:szCs w:val="21"/>
          <w:lang w:val="en-US" w:eastAsia="zh-CN"/>
        </w:rPr>
        <w:t>八</w:t>
      </w:r>
      <w:r>
        <w:rPr>
          <w:rFonts w:hint="eastAsia" w:ascii="宋体" w:hAnsi="宋体" w:eastAsia="宋体" w:cs="宋体"/>
          <w:b/>
          <w:bCs/>
          <w:color w:val="auto"/>
          <w:sz w:val="21"/>
          <w:szCs w:val="21"/>
          <w:lang w:eastAsia="zh-CN"/>
        </w:rPr>
        <w:t>条</w:t>
      </w:r>
      <w:r>
        <w:rPr>
          <w:rFonts w:hint="eastAsia" w:ascii="宋体" w:hAnsi="宋体" w:eastAsia="宋体" w:cs="宋体"/>
          <w:color w:val="auto"/>
          <w:sz w:val="21"/>
          <w:szCs w:val="21"/>
          <w:lang w:eastAsia="zh-CN"/>
        </w:rPr>
        <w:t xml:space="preserve"> 招标文件及合同约定的经营范围以外的事项，由双方另行商议。</w:t>
      </w:r>
    </w:p>
    <w:p w14:paraId="7A00E350">
      <w:pPr>
        <w:keepNext w:val="0"/>
        <w:keepLines w:val="0"/>
        <w:pageBreakBefore w:val="0"/>
        <w:widowControl w:val="0"/>
        <w:kinsoku/>
        <w:wordWrap/>
        <w:overflowPunct/>
        <w:topLinePunct w:val="0"/>
        <w:autoSpaceDE/>
        <w:autoSpaceDN/>
        <w:bidi w:val="0"/>
        <w:adjustRightInd/>
        <w:snapToGrid/>
        <w:spacing w:line="440" w:lineRule="exact"/>
        <w:ind w:firstLine="422" w:firstLineChars="200"/>
        <w:textAlignment w:val="auto"/>
        <w:rPr>
          <w:rFonts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第二十</w:t>
      </w:r>
      <w:r>
        <w:rPr>
          <w:rFonts w:hint="eastAsia" w:ascii="宋体" w:hAnsi="宋体" w:cs="宋体"/>
          <w:b/>
          <w:bCs/>
          <w:color w:val="auto"/>
          <w:sz w:val="21"/>
          <w:szCs w:val="21"/>
          <w:lang w:val="en-US" w:eastAsia="zh-CN"/>
        </w:rPr>
        <w:t>九</w:t>
      </w:r>
      <w:r>
        <w:rPr>
          <w:rFonts w:hint="eastAsia" w:ascii="宋体" w:hAnsi="宋体" w:eastAsia="宋体" w:cs="宋体"/>
          <w:b/>
          <w:bCs/>
          <w:color w:val="auto"/>
          <w:sz w:val="21"/>
          <w:szCs w:val="21"/>
          <w:lang w:eastAsia="zh-CN"/>
        </w:rPr>
        <w:t>条 合同生效</w:t>
      </w:r>
    </w:p>
    <w:p w14:paraId="74D00232">
      <w:pPr>
        <w:keepNext w:val="0"/>
        <w:keepLines w:val="0"/>
        <w:pageBreakBefore w:val="0"/>
        <w:widowControl w:val="0"/>
        <w:kinsoku/>
        <w:wordWrap/>
        <w:overflowPunct/>
        <w:topLinePunct w:val="0"/>
        <w:autoSpaceDE/>
        <w:autoSpaceDN/>
        <w:bidi w:val="0"/>
        <w:adjustRightInd/>
        <w:snapToGrid/>
        <w:spacing w:line="440" w:lineRule="exact"/>
        <w:ind w:left="420" w:leftChars="200" w:firstLine="0" w:firstLineChars="0"/>
        <w:textAlignment w:val="auto"/>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本合同一式</w:t>
      </w:r>
      <w:r>
        <w:rPr>
          <w:rFonts w:hint="eastAsia" w:ascii="宋体" w:hAnsi="宋体" w:eastAsia="宋体" w:cs="宋体"/>
          <w:color w:val="auto"/>
          <w:sz w:val="21"/>
          <w:szCs w:val="21"/>
          <w:u w:val="single"/>
          <w:lang w:eastAsia="zh-CN"/>
        </w:rPr>
        <w:t xml:space="preserve">   </w:t>
      </w:r>
      <w:r>
        <w:rPr>
          <w:rFonts w:hint="eastAsia" w:ascii="宋体" w:hAnsi="宋体" w:cs="宋体"/>
          <w:color w:val="auto"/>
          <w:sz w:val="21"/>
          <w:szCs w:val="21"/>
          <w:u w:val="single"/>
          <w:lang w:val="en-US" w:eastAsia="zh-CN"/>
        </w:rPr>
        <w:t xml:space="preserve">   </w:t>
      </w:r>
      <w:r>
        <w:rPr>
          <w:rFonts w:hint="eastAsia" w:ascii="宋体" w:hAnsi="宋体" w:eastAsia="宋体" w:cs="宋体"/>
          <w:color w:val="auto"/>
          <w:sz w:val="21"/>
          <w:szCs w:val="21"/>
          <w:u w:val="none"/>
          <w:lang w:eastAsia="zh-CN"/>
        </w:rPr>
        <w:t>份</w:t>
      </w:r>
      <w:r>
        <w:rPr>
          <w:rFonts w:hint="eastAsia" w:ascii="宋体" w:hAnsi="宋体" w:eastAsia="宋体" w:cs="宋体"/>
          <w:color w:val="auto"/>
          <w:sz w:val="21"/>
          <w:szCs w:val="21"/>
          <w:lang w:eastAsia="zh-CN"/>
        </w:rPr>
        <w:t>，具有同等法律效力，甲、乙两方各执</w:t>
      </w:r>
      <w:r>
        <w:rPr>
          <w:rFonts w:hint="eastAsia" w:ascii="宋体" w:hAnsi="宋体" w:eastAsia="宋体" w:cs="宋体"/>
          <w:color w:val="auto"/>
          <w:sz w:val="21"/>
          <w:szCs w:val="21"/>
          <w:u w:val="single"/>
          <w:lang w:eastAsia="zh-CN"/>
        </w:rPr>
        <w:t xml:space="preserve">   </w:t>
      </w:r>
      <w:r>
        <w:rPr>
          <w:rFonts w:hint="eastAsia" w:ascii="宋体" w:hAnsi="宋体" w:cs="宋体"/>
          <w:color w:val="auto"/>
          <w:sz w:val="21"/>
          <w:szCs w:val="21"/>
          <w:u w:val="single"/>
          <w:lang w:val="en-US" w:eastAsia="zh-CN"/>
        </w:rPr>
        <w:t xml:space="preserve">   </w:t>
      </w:r>
      <w:r>
        <w:rPr>
          <w:rFonts w:hint="eastAsia" w:ascii="宋体" w:hAnsi="宋体" w:eastAsia="宋体" w:cs="宋体"/>
          <w:color w:val="auto"/>
          <w:sz w:val="21"/>
          <w:szCs w:val="21"/>
          <w:u w:val="none"/>
          <w:lang w:eastAsia="zh-CN"/>
        </w:rPr>
        <w:t>份，</w:t>
      </w:r>
      <w:r>
        <w:rPr>
          <w:rFonts w:hint="eastAsia" w:ascii="宋体" w:hAnsi="宋体" w:eastAsia="宋体" w:cs="宋体"/>
          <w:color w:val="auto"/>
          <w:sz w:val="21"/>
          <w:szCs w:val="21"/>
          <w:lang w:eastAsia="zh-CN"/>
        </w:rPr>
        <w:t>代理机构</w:t>
      </w:r>
      <w:r>
        <w:rPr>
          <w:rFonts w:hint="eastAsia" w:ascii="宋体" w:hAnsi="宋体" w:eastAsia="宋体" w:cs="宋体"/>
          <w:color w:val="auto"/>
          <w:sz w:val="21"/>
          <w:szCs w:val="21"/>
          <w:u w:val="single"/>
          <w:lang w:eastAsia="zh-CN"/>
        </w:rPr>
        <w:t xml:space="preserve">   </w:t>
      </w:r>
      <w:r>
        <w:rPr>
          <w:rFonts w:hint="eastAsia" w:ascii="宋体" w:hAnsi="宋体" w:cs="宋体"/>
          <w:color w:val="auto"/>
          <w:sz w:val="21"/>
          <w:szCs w:val="21"/>
          <w:u w:val="single"/>
          <w:lang w:val="en-US" w:eastAsia="zh-CN"/>
        </w:rPr>
        <w:t xml:space="preserve">   </w:t>
      </w:r>
      <w:r>
        <w:rPr>
          <w:rFonts w:hint="eastAsia" w:ascii="宋体" w:hAnsi="宋体" w:eastAsia="宋体" w:cs="宋体"/>
          <w:color w:val="auto"/>
          <w:sz w:val="21"/>
          <w:szCs w:val="21"/>
          <w:u w:val="none"/>
          <w:lang w:eastAsia="zh-CN"/>
        </w:rPr>
        <w:t>份。</w:t>
      </w:r>
      <w:r>
        <w:rPr>
          <w:rFonts w:hint="eastAsia" w:ascii="宋体" w:hAnsi="宋体" w:eastAsia="宋体" w:cs="宋体"/>
          <w:color w:val="auto"/>
          <w:sz w:val="21"/>
          <w:szCs w:val="21"/>
          <w:lang w:eastAsia="zh-CN"/>
        </w:rPr>
        <w:t>本合同经双方法定代表人或授权委托代理人签字并加盖单位印章后生效。</w:t>
      </w:r>
    </w:p>
    <w:p w14:paraId="4898ABC2">
      <w:pPr>
        <w:keepNext w:val="0"/>
        <w:keepLines w:val="0"/>
        <w:pageBreakBefore w:val="0"/>
        <w:widowControl w:val="0"/>
        <w:kinsoku/>
        <w:wordWrap/>
        <w:overflowPunct/>
        <w:topLinePunct w:val="0"/>
        <w:autoSpaceDE/>
        <w:autoSpaceDN/>
        <w:bidi w:val="0"/>
        <w:adjustRightInd/>
        <w:snapToGrid/>
        <w:spacing w:line="440" w:lineRule="exact"/>
        <w:ind w:firstLine="422" w:firstLineChars="200"/>
        <w:textAlignment w:val="auto"/>
        <w:rPr>
          <w:rFonts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第</w:t>
      </w:r>
      <w:r>
        <w:rPr>
          <w:rFonts w:hint="eastAsia" w:ascii="宋体" w:hAnsi="宋体" w:cs="宋体"/>
          <w:b/>
          <w:bCs/>
          <w:color w:val="auto"/>
          <w:sz w:val="21"/>
          <w:szCs w:val="21"/>
          <w:lang w:val="en-US" w:eastAsia="zh-CN"/>
        </w:rPr>
        <w:t>三十</w:t>
      </w:r>
      <w:r>
        <w:rPr>
          <w:rFonts w:hint="eastAsia" w:ascii="宋体" w:hAnsi="宋体" w:eastAsia="宋体" w:cs="宋体"/>
          <w:b/>
          <w:bCs/>
          <w:color w:val="auto"/>
          <w:sz w:val="21"/>
          <w:szCs w:val="21"/>
          <w:lang w:eastAsia="zh-CN"/>
        </w:rPr>
        <w:t>条 合同附件</w:t>
      </w:r>
    </w:p>
    <w:p w14:paraId="28EFDCE7">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color w:val="auto"/>
          <w:sz w:val="21"/>
          <w:szCs w:val="21"/>
          <w:lang w:val="en-US" w:eastAsia="zh-CN"/>
        </w:rPr>
      </w:pPr>
      <w:r>
        <w:rPr>
          <w:rFonts w:hint="eastAsia" w:ascii="宋体" w:hAnsi="宋体" w:eastAsia="宋体" w:cs="宋体"/>
          <w:color w:val="auto"/>
          <w:sz w:val="21"/>
          <w:szCs w:val="21"/>
          <w:lang w:eastAsia="zh-CN"/>
        </w:rPr>
        <w:t>具体车位个数和停车收费时间及收费价格在补充合同中签署。本合同中如有未尽事宜，可由双方另行协商并签订补充合同。补充合同是本合同的组成部分，与本合同具有同等法律效力。</w:t>
      </w:r>
      <w:r>
        <w:rPr>
          <w:rFonts w:hint="eastAsia" w:ascii="宋体" w:hAnsi="宋体" w:cs="宋体"/>
          <w:color w:val="auto"/>
          <w:sz w:val="21"/>
          <w:szCs w:val="21"/>
          <w:lang w:val="en-US" w:eastAsia="zh-CN"/>
        </w:rPr>
        <w:t xml:space="preserve">          </w:t>
      </w:r>
    </w:p>
    <w:p w14:paraId="6B2BCF8A">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color w:val="auto"/>
          <w:lang w:eastAsia="zh-CN"/>
        </w:rPr>
      </w:pPr>
      <w:r>
        <w:rPr>
          <w:rFonts w:hint="eastAsia" w:ascii="宋体" w:hAnsi="宋体" w:cs="宋体"/>
          <w:color w:val="auto"/>
          <w:sz w:val="21"/>
          <w:szCs w:val="21"/>
          <w:lang w:val="en-US" w:eastAsia="zh-CN"/>
        </w:rPr>
        <w:t xml:space="preserve">  </w:t>
      </w:r>
    </w:p>
    <w:tbl>
      <w:tblPr>
        <w:tblStyle w:val="20"/>
        <w:tblW w:w="89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60"/>
        <w:gridCol w:w="4460"/>
      </w:tblGrid>
      <w:tr w14:paraId="7EFC1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4460" w:type="dxa"/>
            <w:tcBorders>
              <w:top w:val="nil"/>
              <w:left w:val="nil"/>
              <w:bottom w:val="nil"/>
              <w:right w:val="nil"/>
            </w:tcBorders>
            <w:vAlign w:val="center"/>
          </w:tcPr>
          <w:p w14:paraId="6FE38C1C">
            <w:pPr>
              <w:keepNext w:val="0"/>
              <w:keepLines w:val="0"/>
              <w:pageBreakBefore w:val="0"/>
              <w:kinsoku/>
              <w:wordWrap/>
              <w:topLinePunct w:val="0"/>
              <w:bidi w:val="0"/>
              <w:snapToGrid/>
              <w:spacing w:line="460" w:lineRule="exact"/>
              <w:jc w:val="both"/>
              <w:rPr>
                <w:rFonts w:hint="eastAsia" w:ascii="宋体" w:hAnsi="宋体" w:eastAsia="宋体" w:cs="宋体"/>
                <w:color w:val="auto"/>
                <w:sz w:val="21"/>
                <w:szCs w:val="21"/>
                <w:vertAlign w:val="baseline"/>
                <w:lang w:eastAsia="zh-CN"/>
              </w:rPr>
            </w:pPr>
            <w:r>
              <w:rPr>
                <w:rFonts w:hint="eastAsia" w:ascii="宋体" w:hAnsi="宋体" w:eastAsia="宋体" w:cs="宋体"/>
                <w:color w:val="auto"/>
                <w:sz w:val="21"/>
                <w:szCs w:val="21"/>
                <w:lang w:eastAsia="zh-CN"/>
              </w:rPr>
              <w:t>甲方（盖章）：</w:t>
            </w:r>
          </w:p>
        </w:tc>
        <w:tc>
          <w:tcPr>
            <w:tcW w:w="4460" w:type="dxa"/>
            <w:tcBorders>
              <w:top w:val="nil"/>
              <w:left w:val="nil"/>
              <w:bottom w:val="nil"/>
              <w:right w:val="nil"/>
            </w:tcBorders>
            <w:vAlign w:val="center"/>
          </w:tcPr>
          <w:p w14:paraId="054F0570">
            <w:pPr>
              <w:keepNext w:val="0"/>
              <w:keepLines w:val="0"/>
              <w:pageBreakBefore w:val="0"/>
              <w:kinsoku/>
              <w:wordWrap/>
              <w:topLinePunct w:val="0"/>
              <w:bidi w:val="0"/>
              <w:snapToGrid/>
              <w:spacing w:line="460" w:lineRule="exact"/>
              <w:jc w:val="both"/>
              <w:rPr>
                <w:rFonts w:hint="eastAsia" w:ascii="宋体" w:hAnsi="宋体" w:eastAsia="宋体" w:cs="宋体"/>
                <w:color w:val="auto"/>
                <w:sz w:val="13"/>
                <w:szCs w:val="13"/>
                <w:vertAlign w:val="baseline"/>
                <w:lang w:eastAsia="zh-CN"/>
              </w:rPr>
            </w:pPr>
            <w:r>
              <w:rPr>
                <w:rFonts w:hint="eastAsia" w:ascii="宋体" w:hAnsi="宋体" w:eastAsia="宋体" w:cs="宋体"/>
                <w:color w:val="auto"/>
                <w:sz w:val="21"/>
                <w:szCs w:val="21"/>
                <w:lang w:eastAsia="zh-CN"/>
              </w:rPr>
              <w:t>乙方（盖章）：</w:t>
            </w:r>
          </w:p>
        </w:tc>
      </w:tr>
      <w:tr w14:paraId="4BBB6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460" w:type="dxa"/>
            <w:tcBorders>
              <w:top w:val="nil"/>
              <w:left w:val="nil"/>
              <w:bottom w:val="nil"/>
              <w:right w:val="nil"/>
            </w:tcBorders>
            <w:vAlign w:val="center"/>
          </w:tcPr>
          <w:p w14:paraId="2D89BDF0">
            <w:pPr>
              <w:keepNext w:val="0"/>
              <w:keepLines w:val="0"/>
              <w:pageBreakBefore w:val="0"/>
              <w:kinsoku/>
              <w:wordWrap/>
              <w:topLinePunct w:val="0"/>
              <w:bidi w:val="0"/>
              <w:snapToGrid/>
              <w:spacing w:line="460" w:lineRule="exact"/>
              <w:jc w:val="both"/>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法定代表人</w:t>
            </w:r>
          </w:p>
          <w:p w14:paraId="57F4DAC7">
            <w:pPr>
              <w:keepNext w:val="0"/>
              <w:keepLines w:val="0"/>
              <w:pageBreakBefore w:val="0"/>
              <w:kinsoku/>
              <w:wordWrap/>
              <w:topLinePunct w:val="0"/>
              <w:bidi w:val="0"/>
              <w:snapToGrid/>
              <w:spacing w:line="460" w:lineRule="exact"/>
              <w:jc w:val="both"/>
              <w:rPr>
                <w:rFonts w:hint="eastAsia" w:ascii="宋体" w:hAnsi="宋体" w:eastAsia="宋体" w:cs="宋体"/>
                <w:color w:val="auto"/>
                <w:sz w:val="21"/>
                <w:szCs w:val="21"/>
                <w:vertAlign w:val="baseline"/>
                <w:lang w:eastAsia="zh-CN"/>
              </w:rPr>
            </w:pPr>
            <w:r>
              <w:rPr>
                <w:rFonts w:hint="eastAsia" w:ascii="宋体" w:hAnsi="宋体" w:eastAsia="宋体" w:cs="宋体"/>
                <w:color w:val="auto"/>
                <w:sz w:val="21"/>
                <w:szCs w:val="21"/>
                <w:lang w:eastAsia="zh-CN"/>
              </w:rPr>
              <w:t>或授权委托代理人（签字）：</w:t>
            </w:r>
          </w:p>
        </w:tc>
        <w:tc>
          <w:tcPr>
            <w:tcW w:w="4460" w:type="dxa"/>
            <w:tcBorders>
              <w:top w:val="nil"/>
              <w:left w:val="nil"/>
              <w:bottom w:val="nil"/>
              <w:right w:val="nil"/>
            </w:tcBorders>
            <w:vAlign w:val="center"/>
          </w:tcPr>
          <w:p w14:paraId="29A6123A">
            <w:pPr>
              <w:keepNext w:val="0"/>
              <w:keepLines w:val="0"/>
              <w:pageBreakBefore w:val="0"/>
              <w:kinsoku/>
              <w:wordWrap/>
              <w:topLinePunct w:val="0"/>
              <w:bidi w:val="0"/>
              <w:snapToGrid/>
              <w:spacing w:line="460" w:lineRule="exact"/>
              <w:jc w:val="both"/>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法定代表人</w:t>
            </w:r>
          </w:p>
          <w:p w14:paraId="701D5B19">
            <w:pPr>
              <w:keepNext w:val="0"/>
              <w:keepLines w:val="0"/>
              <w:pageBreakBefore w:val="0"/>
              <w:kinsoku/>
              <w:wordWrap/>
              <w:topLinePunct w:val="0"/>
              <w:bidi w:val="0"/>
              <w:snapToGrid/>
              <w:spacing w:line="460" w:lineRule="exact"/>
              <w:jc w:val="both"/>
              <w:rPr>
                <w:rFonts w:hint="eastAsia" w:ascii="宋体" w:hAnsi="宋体" w:eastAsia="宋体" w:cs="宋体"/>
                <w:color w:val="auto"/>
                <w:sz w:val="21"/>
                <w:szCs w:val="21"/>
                <w:vertAlign w:val="baseline"/>
                <w:lang w:eastAsia="zh-CN"/>
              </w:rPr>
            </w:pPr>
            <w:r>
              <w:rPr>
                <w:rFonts w:hint="eastAsia" w:ascii="宋体" w:hAnsi="宋体" w:eastAsia="宋体" w:cs="宋体"/>
                <w:color w:val="auto"/>
                <w:sz w:val="21"/>
                <w:szCs w:val="21"/>
                <w:lang w:eastAsia="zh-CN"/>
              </w:rPr>
              <w:t>或授权委托代理人（签字）：</w:t>
            </w:r>
          </w:p>
        </w:tc>
      </w:tr>
      <w:tr w14:paraId="2F05E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460" w:type="dxa"/>
            <w:tcBorders>
              <w:top w:val="nil"/>
              <w:left w:val="nil"/>
              <w:bottom w:val="nil"/>
              <w:right w:val="nil"/>
            </w:tcBorders>
            <w:vAlign w:val="center"/>
          </w:tcPr>
          <w:p w14:paraId="48A95536">
            <w:pPr>
              <w:keepNext w:val="0"/>
              <w:keepLines w:val="0"/>
              <w:pageBreakBefore w:val="0"/>
              <w:kinsoku/>
              <w:wordWrap/>
              <w:topLinePunct w:val="0"/>
              <w:bidi w:val="0"/>
              <w:snapToGrid/>
              <w:spacing w:line="460" w:lineRule="exact"/>
              <w:jc w:val="both"/>
              <w:rPr>
                <w:rFonts w:hint="eastAsia" w:ascii="宋体" w:hAnsi="宋体" w:eastAsia="宋体" w:cs="宋体"/>
                <w:color w:val="auto"/>
                <w:sz w:val="21"/>
                <w:szCs w:val="21"/>
                <w:vertAlign w:val="baseline"/>
                <w:lang w:eastAsia="zh-CN"/>
              </w:rPr>
            </w:pPr>
            <w:r>
              <w:rPr>
                <w:rFonts w:hint="eastAsia" w:ascii="宋体" w:hAnsi="宋体" w:eastAsia="宋体" w:cs="宋体"/>
                <w:color w:val="auto"/>
                <w:sz w:val="21"/>
                <w:szCs w:val="21"/>
                <w:lang w:eastAsia="zh-CN"/>
              </w:rPr>
              <w:t>联系电话：</w:t>
            </w:r>
          </w:p>
        </w:tc>
        <w:tc>
          <w:tcPr>
            <w:tcW w:w="4460" w:type="dxa"/>
            <w:tcBorders>
              <w:top w:val="nil"/>
              <w:left w:val="nil"/>
              <w:bottom w:val="nil"/>
              <w:right w:val="nil"/>
            </w:tcBorders>
            <w:vAlign w:val="center"/>
          </w:tcPr>
          <w:p w14:paraId="0C02F75C">
            <w:pPr>
              <w:keepNext w:val="0"/>
              <w:keepLines w:val="0"/>
              <w:pageBreakBefore w:val="0"/>
              <w:kinsoku/>
              <w:wordWrap/>
              <w:topLinePunct w:val="0"/>
              <w:bidi w:val="0"/>
              <w:snapToGrid/>
              <w:spacing w:line="460" w:lineRule="exact"/>
              <w:jc w:val="both"/>
              <w:rPr>
                <w:rFonts w:hint="eastAsia" w:ascii="宋体" w:hAnsi="宋体" w:eastAsia="宋体" w:cs="宋体"/>
                <w:color w:val="auto"/>
                <w:sz w:val="21"/>
                <w:szCs w:val="21"/>
                <w:vertAlign w:val="baseline"/>
                <w:lang w:eastAsia="zh-CN"/>
              </w:rPr>
            </w:pPr>
            <w:r>
              <w:rPr>
                <w:rFonts w:hint="eastAsia" w:ascii="宋体" w:hAnsi="宋体" w:eastAsia="宋体" w:cs="宋体"/>
                <w:color w:val="auto"/>
                <w:sz w:val="21"/>
                <w:szCs w:val="21"/>
                <w:lang w:eastAsia="zh-CN"/>
              </w:rPr>
              <w:t>联系电话：</w:t>
            </w:r>
          </w:p>
        </w:tc>
      </w:tr>
      <w:tr w14:paraId="33BD5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460" w:type="dxa"/>
            <w:tcBorders>
              <w:top w:val="nil"/>
              <w:left w:val="nil"/>
              <w:bottom w:val="nil"/>
              <w:right w:val="nil"/>
            </w:tcBorders>
            <w:vAlign w:val="center"/>
          </w:tcPr>
          <w:p w14:paraId="4089C53F">
            <w:pPr>
              <w:pStyle w:val="2"/>
              <w:keepNext w:val="0"/>
              <w:keepLines w:val="0"/>
              <w:pageBreakBefore w:val="0"/>
              <w:kinsoku/>
              <w:wordWrap/>
              <w:topLinePunct w:val="0"/>
              <w:bidi w:val="0"/>
              <w:snapToGrid/>
              <w:spacing w:line="460" w:lineRule="exact"/>
              <w:ind w:left="0" w:leftChars="0" w:firstLine="840" w:firstLineChars="400"/>
              <w:jc w:val="both"/>
              <w:rPr>
                <w:rFonts w:hint="eastAsia" w:ascii="宋体" w:hAnsi="宋体" w:eastAsia="宋体" w:cs="宋体"/>
                <w:color w:val="auto"/>
                <w:sz w:val="21"/>
                <w:szCs w:val="21"/>
                <w:vertAlign w:val="baseline"/>
                <w:lang w:eastAsia="zh-CN"/>
              </w:rPr>
            </w:pPr>
            <w:r>
              <w:rPr>
                <w:rFonts w:hint="eastAsia" w:ascii="宋体" w:hAnsi="宋体" w:eastAsia="宋体" w:cs="宋体"/>
                <w:color w:val="auto"/>
                <w:sz w:val="21"/>
                <w:szCs w:val="21"/>
                <w:lang w:eastAsia="zh-CN"/>
              </w:rPr>
              <w:t>年   月   日</w:t>
            </w:r>
          </w:p>
        </w:tc>
        <w:tc>
          <w:tcPr>
            <w:tcW w:w="4460" w:type="dxa"/>
            <w:tcBorders>
              <w:top w:val="nil"/>
              <w:left w:val="nil"/>
              <w:bottom w:val="nil"/>
              <w:right w:val="nil"/>
            </w:tcBorders>
            <w:vAlign w:val="center"/>
          </w:tcPr>
          <w:p w14:paraId="64648802">
            <w:pPr>
              <w:keepNext w:val="0"/>
              <w:keepLines w:val="0"/>
              <w:pageBreakBefore w:val="0"/>
              <w:kinsoku/>
              <w:wordWrap/>
              <w:topLinePunct w:val="0"/>
              <w:bidi w:val="0"/>
              <w:snapToGrid/>
              <w:spacing w:line="460" w:lineRule="exact"/>
              <w:jc w:val="both"/>
              <w:rPr>
                <w:rFonts w:hint="eastAsia" w:ascii="宋体" w:hAnsi="宋体" w:eastAsia="宋体" w:cs="宋体"/>
                <w:color w:val="auto"/>
                <w:sz w:val="21"/>
                <w:szCs w:val="21"/>
                <w:vertAlign w:val="baseline"/>
                <w:lang w:eastAsia="zh-CN"/>
              </w:rPr>
            </w:pPr>
            <w:r>
              <w:rPr>
                <w:rFonts w:hint="eastAsia" w:ascii="宋体" w:hAnsi="宋体" w:eastAsia="宋体" w:cs="宋体"/>
                <w:color w:val="auto"/>
                <w:sz w:val="21"/>
                <w:szCs w:val="21"/>
                <w:lang w:eastAsia="zh-CN"/>
              </w:rPr>
              <w:t>年   月   日</w:t>
            </w:r>
          </w:p>
        </w:tc>
      </w:tr>
    </w:tbl>
    <w:p w14:paraId="0A606693">
      <w:pPr>
        <w:pStyle w:val="2"/>
        <w:keepNext w:val="0"/>
        <w:keepLines w:val="0"/>
        <w:pageBreakBefore w:val="0"/>
        <w:kinsoku/>
        <w:wordWrap/>
        <w:topLinePunct w:val="0"/>
        <w:bidi w:val="0"/>
        <w:snapToGrid/>
        <w:spacing w:line="460" w:lineRule="exact"/>
        <w:ind w:left="0" w:leftChars="0" w:firstLine="0" w:firstLineChars="0"/>
        <w:rPr>
          <w:rFonts w:hint="eastAsia"/>
          <w:color w:val="auto"/>
          <w:lang w:eastAsia="zh-CN"/>
        </w:rPr>
      </w:pPr>
    </w:p>
    <w:sectPr>
      <w:pgSz w:w="11906" w:h="16838"/>
      <w:pgMar w:top="1327"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imesNewRomanPSMT">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Calibri Light">
    <w:panose1 w:val="020F0302020204030204"/>
    <w:charset w:val="00"/>
    <w:family w:val="auto"/>
    <w:pitch w:val="default"/>
    <w:sig w:usb0="E4002EFF" w:usb1="C200247B" w:usb2="00000009" w:usb3="00000000" w:csb0="200001FF" w:csb1="00000000"/>
  </w:font>
  <w:font w:name="DFKai-SB">
    <w:altName w:val="Microsoft JhengHei Light"/>
    <w:panose1 w:val="03000509000000000000"/>
    <w:charset w:val="88"/>
    <w:family w:val="script"/>
    <w:pitch w:val="default"/>
    <w:sig w:usb0="00000000" w:usb1="00000000" w:usb2="00000016" w:usb3="00000000" w:csb0="00100001" w:csb1="00000000"/>
  </w:font>
  <w:font w:name="Microsoft JhengHei Light">
    <w:panose1 w:val="020B0304030504040204"/>
    <w:charset w:val="88"/>
    <w:family w:val="auto"/>
    <w:pitch w:val="default"/>
    <w:sig w:usb0="8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DB9ECD">
    <w:pPr>
      <w:pStyle w:val="1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87447FC">
                          <w:pPr>
                            <w:pStyle w:val="1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页 共 </w:t>
                          </w:r>
                          <w:r>
                            <w:rPr>
                              <w:rFonts w:hint="eastAsia"/>
                              <w:lang w:val="en-US" w:eastAsia="zh-CN"/>
                            </w:rPr>
                            <w:t>42</w:t>
                          </w:r>
                          <w:r>
                            <w:rPr>
                              <w:rFonts w:hint="eastAsia"/>
                              <w:lang w:eastAsia="zh-CN"/>
                            </w:rPr>
                            <w:t xml:space="preserve"> 页</w:t>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KW+kCnLAQAAnAMAAA4AAAAAAAAAAQAgAAAAHgEAAGRycy9lMm9E&#10;b2MueG1sUEsFBgAAAAAGAAYAWQEAAFsFAAAAAA==&#10;">
              <v:fill on="f" focussize="0,0"/>
              <v:stroke on="f"/>
              <v:imagedata o:title=""/>
              <o:lock v:ext="edit" aspectratio="f"/>
              <v:textbox inset="0mm,0mm,0mm,0mm" style="mso-fit-shape-to-text:t;">
                <w:txbxContent>
                  <w:p w14:paraId="187447FC">
                    <w:pPr>
                      <w:pStyle w:val="1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页 共 </w:t>
                    </w:r>
                    <w:r>
                      <w:rPr>
                        <w:rFonts w:hint="eastAsia"/>
                        <w:lang w:val="en-US" w:eastAsia="zh-CN"/>
                      </w:rPr>
                      <w:t>42</w:t>
                    </w:r>
                    <w:r>
                      <w:rPr>
                        <w:rFonts w:hint="eastAsia"/>
                        <w:lang w:eastAsia="zh-CN"/>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194CF1"/>
    <w:multiLevelType w:val="singleLevel"/>
    <w:tmpl w:val="81194CF1"/>
    <w:lvl w:ilvl="0" w:tentative="0">
      <w:start w:val="1"/>
      <w:numFmt w:val="chineseCounting"/>
      <w:suff w:val="nothing"/>
      <w:lvlText w:val="%1、"/>
      <w:lvlJc w:val="left"/>
      <w:pPr>
        <w:ind w:left="0" w:firstLine="420"/>
      </w:pPr>
      <w:rPr>
        <w:rFonts w:hint="eastAsia"/>
        <w:b/>
        <w:bCs/>
        <w:color w:val="auto"/>
      </w:rPr>
    </w:lvl>
  </w:abstractNum>
  <w:abstractNum w:abstractNumId="1">
    <w:nsid w:val="96CA0845"/>
    <w:multiLevelType w:val="singleLevel"/>
    <w:tmpl w:val="96CA0845"/>
    <w:lvl w:ilvl="0" w:tentative="0">
      <w:start w:val="1"/>
      <w:numFmt w:val="chineseCounting"/>
      <w:suff w:val="nothing"/>
      <w:lvlText w:val="（%1）"/>
      <w:lvlJc w:val="left"/>
      <w:pPr>
        <w:ind w:left="0" w:firstLine="420"/>
      </w:pPr>
      <w:rPr>
        <w:rFonts w:hint="eastAsia"/>
      </w:rPr>
    </w:lvl>
  </w:abstractNum>
  <w:abstractNum w:abstractNumId="2">
    <w:nsid w:val="A86F86CF"/>
    <w:multiLevelType w:val="singleLevel"/>
    <w:tmpl w:val="A86F86CF"/>
    <w:lvl w:ilvl="0" w:tentative="0">
      <w:start w:val="1"/>
      <w:numFmt w:val="chineseCounting"/>
      <w:suff w:val="nothing"/>
      <w:lvlText w:val="（%1）"/>
      <w:lvlJc w:val="left"/>
      <w:pPr>
        <w:ind w:left="0" w:firstLine="420"/>
      </w:pPr>
      <w:rPr>
        <w:rFonts w:hint="eastAsia"/>
      </w:rPr>
    </w:lvl>
  </w:abstractNum>
  <w:abstractNum w:abstractNumId="3">
    <w:nsid w:val="AE054214"/>
    <w:multiLevelType w:val="singleLevel"/>
    <w:tmpl w:val="AE054214"/>
    <w:lvl w:ilvl="0" w:tentative="0">
      <w:start w:val="1"/>
      <w:numFmt w:val="chineseCounting"/>
      <w:suff w:val="nothing"/>
      <w:lvlText w:val="（%1）"/>
      <w:lvlJc w:val="left"/>
      <w:pPr>
        <w:ind w:left="0" w:firstLine="420"/>
      </w:pPr>
      <w:rPr>
        <w:rFonts w:hint="eastAsia"/>
      </w:rPr>
    </w:lvl>
  </w:abstractNum>
  <w:abstractNum w:abstractNumId="4">
    <w:nsid w:val="E2788F7C"/>
    <w:multiLevelType w:val="singleLevel"/>
    <w:tmpl w:val="E2788F7C"/>
    <w:lvl w:ilvl="0" w:tentative="0">
      <w:start w:val="1"/>
      <w:numFmt w:val="chineseCounting"/>
      <w:suff w:val="nothing"/>
      <w:lvlText w:val="（%1）"/>
      <w:lvlJc w:val="left"/>
      <w:pPr>
        <w:ind w:left="0" w:firstLine="420"/>
      </w:pPr>
      <w:rPr>
        <w:rFonts w:hint="eastAsia"/>
      </w:rPr>
    </w:lvl>
  </w:abstractNum>
  <w:abstractNum w:abstractNumId="5">
    <w:nsid w:val="F9AF396B"/>
    <w:multiLevelType w:val="singleLevel"/>
    <w:tmpl w:val="F9AF396B"/>
    <w:lvl w:ilvl="0" w:tentative="0">
      <w:start w:val="1"/>
      <w:numFmt w:val="decimal"/>
      <w:lvlText w:val="%1."/>
      <w:lvlJc w:val="left"/>
      <w:pPr>
        <w:ind w:left="425" w:hanging="425"/>
      </w:pPr>
      <w:rPr>
        <w:rFonts w:hint="default"/>
      </w:rPr>
    </w:lvl>
  </w:abstractNum>
  <w:abstractNum w:abstractNumId="6">
    <w:nsid w:val="0E29713E"/>
    <w:multiLevelType w:val="multilevel"/>
    <w:tmpl w:val="0E29713E"/>
    <w:lvl w:ilvl="0" w:tentative="0">
      <w:start w:val="1"/>
      <w:numFmt w:val="decimal"/>
      <w:pStyle w:val="9"/>
      <w:suff w:val="space"/>
      <w:lvlText w:val="第%1章"/>
      <w:lvlJc w:val="left"/>
      <w:pPr>
        <w:ind w:left="1038" w:hanging="420"/>
      </w:pPr>
      <w:rPr>
        <w:rFonts w:hint="default"/>
      </w:rPr>
    </w:lvl>
    <w:lvl w:ilvl="1" w:tentative="0">
      <w:start w:val="1"/>
      <w:numFmt w:val="lowerLetter"/>
      <w:lvlText w:val="%2)"/>
      <w:lvlJc w:val="left"/>
      <w:pPr>
        <w:ind w:left="1458" w:hanging="420"/>
      </w:pPr>
      <w:rPr>
        <w:rFonts w:hint="eastAsia"/>
      </w:rPr>
    </w:lvl>
    <w:lvl w:ilvl="2" w:tentative="0">
      <w:start w:val="1"/>
      <w:numFmt w:val="lowerRoman"/>
      <w:lvlText w:val="%3."/>
      <w:lvlJc w:val="right"/>
      <w:pPr>
        <w:ind w:left="1878" w:hanging="420"/>
      </w:pPr>
      <w:rPr>
        <w:rFonts w:hint="eastAsia"/>
      </w:rPr>
    </w:lvl>
    <w:lvl w:ilvl="3" w:tentative="0">
      <w:start w:val="1"/>
      <w:numFmt w:val="decimal"/>
      <w:lvlText w:val="%4."/>
      <w:lvlJc w:val="left"/>
      <w:pPr>
        <w:ind w:left="2298" w:hanging="420"/>
      </w:pPr>
      <w:rPr>
        <w:rFonts w:hint="eastAsia"/>
      </w:rPr>
    </w:lvl>
    <w:lvl w:ilvl="4" w:tentative="0">
      <w:start w:val="1"/>
      <w:numFmt w:val="lowerLetter"/>
      <w:lvlText w:val="%5)"/>
      <w:lvlJc w:val="left"/>
      <w:pPr>
        <w:ind w:left="2718" w:hanging="420"/>
      </w:pPr>
      <w:rPr>
        <w:rFonts w:hint="eastAsia"/>
      </w:rPr>
    </w:lvl>
    <w:lvl w:ilvl="5" w:tentative="0">
      <w:start w:val="1"/>
      <w:numFmt w:val="lowerRoman"/>
      <w:lvlText w:val="%6."/>
      <w:lvlJc w:val="right"/>
      <w:pPr>
        <w:ind w:left="3138" w:hanging="420"/>
      </w:pPr>
      <w:rPr>
        <w:rFonts w:hint="eastAsia"/>
      </w:rPr>
    </w:lvl>
    <w:lvl w:ilvl="6" w:tentative="0">
      <w:start w:val="1"/>
      <w:numFmt w:val="decimal"/>
      <w:lvlText w:val="%7."/>
      <w:lvlJc w:val="left"/>
      <w:pPr>
        <w:ind w:left="3558" w:hanging="420"/>
      </w:pPr>
      <w:rPr>
        <w:rFonts w:hint="eastAsia"/>
      </w:rPr>
    </w:lvl>
    <w:lvl w:ilvl="7" w:tentative="0">
      <w:start w:val="1"/>
      <w:numFmt w:val="lowerLetter"/>
      <w:lvlText w:val="%8)"/>
      <w:lvlJc w:val="left"/>
      <w:pPr>
        <w:ind w:left="3978" w:hanging="420"/>
      </w:pPr>
      <w:rPr>
        <w:rFonts w:hint="eastAsia"/>
      </w:rPr>
    </w:lvl>
    <w:lvl w:ilvl="8" w:tentative="0">
      <w:start w:val="1"/>
      <w:numFmt w:val="lowerRoman"/>
      <w:lvlText w:val="%9."/>
      <w:lvlJc w:val="right"/>
      <w:pPr>
        <w:ind w:left="4398" w:hanging="420"/>
      </w:pPr>
      <w:rPr>
        <w:rFonts w:hint="eastAsia"/>
      </w:rPr>
    </w:lvl>
  </w:abstractNum>
  <w:abstractNum w:abstractNumId="7">
    <w:nsid w:val="12156C8C"/>
    <w:multiLevelType w:val="multilevel"/>
    <w:tmpl w:val="12156C8C"/>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8">
    <w:nsid w:val="1BBEDE9C"/>
    <w:multiLevelType w:val="singleLevel"/>
    <w:tmpl w:val="1BBEDE9C"/>
    <w:lvl w:ilvl="0" w:tentative="0">
      <w:start w:val="1"/>
      <w:numFmt w:val="decimal"/>
      <w:lvlText w:val="%1."/>
      <w:lvlJc w:val="left"/>
      <w:pPr>
        <w:ind w:left="425" w:hanging="425"/>
      </w:pPr>
      <w:rPr>
        <w:rFonts w:hint="default"/>
      </w:rPr>
    </w:lvl>
  </w:abstractNum>
  <w:abstractNum w:abstractNumId="9">
    <w:nsid w:val="3C7F1223"/>
    <w:multiLevelType w:val="multilevel"/>
    <w:tmpl w:val="3C7F1223"/>
    <w:lvl w:ilvl="0" w:tentative="0">
      <w:start w:val="1"/>
      <w:numFmt w:val="decimal"/>
      <w:lvlText w:val="%1"/>
      <w:lvlJc w:val="left"/>
      <w:pPr>
        <w:ind w:left="432" w:hanging="432"/>
      </w:pPr>
      <w:rPr>
        <w:rFonts w:hint="eastAsia" w:cs="Times New Roman"/>
      </w:rPr>
    </w:lvl>
    <w:lvl w:ilvl="1" w:tentative="0">
      <w:start w:val="1"/>
      <w:numFmt w:val="decimal"/>
      <w:pStyle w:val="10"/>
      <w:lvlText w:val="%1.%2"/>
      <w:lvlJc w:val="left"/>
      <w:pPr>
        <w:ind w:left="786" w:hanging="576"/>
      </w:pPr>
      <w:rPr>
        <w:rFonts w:hint="default" w:cs="Times New Roman"/>
        <w:i w:val="0"/>
        <w:iCs w:val="0"/>
        <w:caps w:val="0"/>
        <w:smallCaps w:val="0"/>
        <w:strike w:val="0"/>
        <w:dstrike w:val="0"/>
        <w:vanish w:val="0"/>
        <w:color w:val="000000"/>
        <w:spacing w:val="0"/>
        <w:kern w:val="0"/>
        <w:position w:val="0"/>
        <w:sz w:val="28"/>
        <w:szCs w:val="28"/>
        <w:u w:val="none"/>
        <w:vertAlign w:val="baseline"/>
      </w:rPr>
    </w:lvl>
    <w:lvl w:ilvl="2" w:tentative="0">
      <w:start w:val="1"/>
      <w:numFmt w:val="decimal"/>
      <w:lvlText w:val="%1.%2.%3"/>
      <w:lvlJc w:val="left"/>
      <w:pPr>
        <w:ind w:left="720" w:hanging="720"/>
      </w:pPr>
      <w:rPr>
        <w:rFonts w:hint="eastAsia" w:cs="Times New Roman"/>
      </w:rPr>
    </w:lvl>
    <w:lvl w:ilvl="3" w:tentative="0">
      <w:start w:val="1"/>
      <w:numFmt w:val="decimal"/>
      <w:lvlText w:val="%1.%2.%3.%4"/>
      <w:lvlJc w:val="left"/>
      <w:pPr>
        <w:ind w:left="864" w:hanging="864"/>
      </w:pPr>
      <w:rPr>
        <w:rFonts w:hint="eastAsia" w:cs="Times New Roman"/>
      </w:rPr>
    </w:lvl>
    <w:lvl w:ilvl="4" w:tentative="0">
      <w:start w:val="1"/>
      <w:numFmt w:val="decimal"/>
      <w:lvlText w:val="%1.%2.%3.%4.%5"/>
      <w:lvlJc w:val="left"/>
      <w:pPr>
        <w:ind w:left="1008" w:hanging="1008"/>
      </w:pPr>
      <w:rPr>
        <w:rFonts w:hint="eastAsia" w:cs="Times New Roman"/>
      </w:rPr>
    </w:lvl>
    <w:lvl w:ilvl="5" w:tentative="0">
      <w:start w:val="1"/>
      <w:numFmt w:val="decimal"/>
      <w:lvlText w:val="%1.%2.%3.%4.%5.%6"/>
      <w:lvlJc w:val="left"/>
      <w:pPr>
        <w:ind w:left="1152" w:hanging="1152"/>
      </w:pPr>
      <w:rPr>
        <w:rFonts w:hint="eastAsia" w:cs="Times New Roman"/>
      </w:rPr>
    </w:lvl>
    <w:lvl w:ilvl="6" w:tentative="0">
      <w:start w:val="1"/>
      <w:numFmt w:val="decimal"/>
      <w:lvlText w:val="%1.%2.%3.%4.%5.%6.%7"/>
      <w:lvlJc w:val="left"/>
      <w:pPr>
        <w:ind w:left="1296" w:hanging="1296"/>
      </w:pPr>
      <w:rPr>
        <w:rFonts w:hint="eastAsia" w:cs="Times New Roman"/>
      </w:rPr>
    </w:lvl>
    <w:lvl w:ilvl="7" w:tentative="0">
      <w:start w:val="1"/>
      <w:numFmt w:val="decimal"/>
      <w:lvlText w:val="%1.%2.%3.%4.%5.%6.%7.%8"/>
      <w:lvlJc w:val="left"/>
      <w:pPr>
        <w:ind w:left="1440" w:hanging="1440"/>
      </w:pPr>
      <w:rPr>
        <w:rFonts w:hint="eastAsia" w:cs="Times New Roman"/>
      </w:rPr>
    </w:lvl>
    <w:lvl w:ilvl="8" w:tentative="0">
      <w:start w:val="1"/>
      <w:numFmt w:val="decimal"/>
      <w:lvlText w:val="%1.%2.%3.%4.%5.%6.%7.%8.%9"/>
      <w:lvlJc w:val="left"/>
      <w:pPr>
        <w:ind w:left="1584" w:hanging="1584"/>
      </w:pPr>
      <w:rPr>
        <w:rFonts w:hint="eastAsia" w:cs="Times New Roman"/>
      </w:rPr>
    </w:lvl>
  </w:abstractNum>
  <w:abstractNum w:abstractNumId="10">
    <w:nsid w:val="4861073A"/>
    <w:multiLevelType w:val="multilevel"/>
    <w:tmpl w:val="4861073A"/>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1">
    <w:nsid w:val="51A27690"/>
    <w:multiLevelType w:val="multilevel"/>
    <w:tmpl w:val="51A27690"/>
    <w:lvl w:ilvl="0" w:tentative="0">
      <w:start w:val="1"/>
      <w:numFmt w:val="chineseCountingThousand"/>
      <w:pStyle w:val="12"/>
      <w:lvlText w:val="(%1)"/>
      <w:lvlJc w:val="left"/>
      <w:pPr>
        <w:ind w:left="420" w:hanging="420"/>
      </w:pPr>
      <w:rPr>
        <w:rFonts w:hint="default"/>
      </w:rPr>
    </w:lvl>
    <w:lvl w:ilvl="1" w:tentative="0">
      <w:start w:val="1"/>
      <w:numFmt w:val="decimal"/>
      <w:suff w:val="space"/>
      <w:lvlText w:val="%2、"/>
      <w:lvlJc w:val="left"/>
      <w:pPr>
        <w:ind w:left="1340" w:hanging="720"/>
      </w:pPr>
      <w:rPr>
        <w:rFonts w:hint="default" w:ascii="TimesNewRomanPSMT" w:eastAsia="TimesNewRomanPSMT"/>
      </w:rPr>
    </w:lvl>
    <w:lvl w:ilvl="2" w:tentative="0">
      <w:start w:val="1"/>
      <w:numFmt w:val="decimal"/>
      <w:lvlText w:val="（%3）"/>
      <w:lvlJc w:val="left"/>
      <w:pPr>
        <w:ind w:left="1760" w:hanging="720"/>
      </w:pPr>
      <w:rPr>
        <w:rFonts w:hint="default"/>
      </w:r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abstractNum w:abstractNumId="12">
    <w:nsid w:val="792BD2F3"/>
    <w:multiLevelType w:val="singleLevel"/>
    <w:tmpl w:val="792BD2F3"/>
    <w:lvl w:ilvl="0" w:tentative="0">
      <w:start w:val="1"/>
      <w:numFmt w:val="decimal"/>
      <w:lvlText w:val="%1."/>
      <w:lvlJc w:val="left"/>
      <w:pPr>
        <w:tabs>
          <w:tab w:val="left" w:pos="312"/>
        </w:tabs>
      </w:pPr>
    </w:lvl>
  </w:abstractNum>
  <w:num w:numId="1">
    <w:abstractNumId w:val="6"/>
  </w:num>
  <w:num w:numId="2">
    <w:abstractNumId w:val="9"/>
  </w:num>
  <w:num w:numId="3">
    <w:abstractNumId w:val="11"/>
  </w:num>
  <w:num w:numId="4">
    <w:abstractNumId w:val="0"/>
  </w:num>
  <w:num w:numId="5">
    <w:abstractNumId w:val="1"/>
  </w:num>
  <w:num w:numId="6">
    <w:abstractNumId w:val="2"/>
  </w:num>
  <w:num w:numId="7">
    <w:abstractNumId w:val="12"/>
  </w:num>
  <w:num w:numId="8">
    <w:abstractNumId w:val="10"/>
  </w:num>
  <w:num w:numId="9">
    <w:abstractNumId w:val="3"/>
  </w:num>
  <w:num w:numId="10">
    <w:abstractNumId w:val="8"/>
  </w:num>
  <w:num w:numId="11">
    <w:abstractNumId w:val="5"/>
  </w:num>
  <w:num w:numId="12">
    <w:abstractNumId w:val="7"/>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602680"/>
    <w:rsid w:val="009D2CCB"/>
    <w:rsid w:val="00CC7987"/>
    <w:rsid w:val="00EE3559"/>
    <w:rsid w:val="00F0655D"/>
    <w:rsid w:val="057C7ACF"/>
    <w:rsid w:val="085F102E"/>
    <w:rsid w:val="09A700A1"/>
    <w:rsid w:val="0A5439FC"/>
    <w:rsid w:val="0FBC6489"/>
    <w:rsid w:val="107D1325"/>
    <w:rsid w:val="19127C85"/>
    <w:rsid w:val="1CEA0DB6"/>
    <w:rsid w:val="1EC7290D"/>
    <w:rsid w:val="217264D7"/>
    <w:rsid w:val="22D80A58"/>
    <w:rsid w:val="24A53510"/>
    <w:rsid w:val="252D7E52"/>
    <w:rsid w:val="292B13CA"/>
    <w:rsid w:val="2CD078E4"/>
    <w:rsid w:val="2CFB73DD"/>
    <w:rsid w:val="31A94753"/>
    <w:rsid w:val="31E93121"/>
    <w:rsid w:val="3810372D"/>
    <w:rsid w:val="3C2948A4"/>
    <w:rsid w:val="3CDC7C6A"/>
    <w:rsid w:val="3E757708"/>
    <w:rsid w:val="40204729"/>
    <w:rsid w:val="40C10720"/>
    <w:rsid w:val="422634F4"/>
    <w:rsid w:val="439212D8"/>
    <w:rsid w:val="44402271"/>
    <w:rsid w:val="45C804F9"/>
    <w:rsid w:val="475F32FE"/>
    <w:rsid w:val="47C92EAA"/>
    <w:rsid w:val="498F2797"/>
    <w:rsid w:val="49C73DCB"/>
    <w:rsid w:val="4DBA0DA7"/>
    <w:rsid w:val="536563A3"/>
    <w:rsid w:val="543A1E06"/>
    <w:rsid w:val="54F47E52"/>
    <w:rsid w:val="555F6A57"/>
    <w:rsid w:val="55E93AE3"/>
    <w:rsid w:val="598B1994"/>
    <w:rsid w:val="5A932ADD"/>
    <w:rsid w:val="5B9E57CE"/>
    <w:rsid w:val="5D0E3908"/>
    <w:rsid w:val="5E3D49CC"/>
    <w:rsid w:val="61B15905"/>
    <w:rsid w:val="61E069D3"/>
    <w:rsid w:val="62B62533"/>
    <w:rsid w:val="630D58A2"/>
    <w:rsid w:val="63507813"/>
    <w:rsid w:val="63892FA5"/>
    <w:rsid w:val="64602680"/>
    <w:rsid w:val="667F00AB"/>
    <w:rsid w:val="6BAB0270"/>
    <w:rsid w:val="6BD673A5"/>
    <w:rsid w:val="76C16310"/>
    <w:rsid w:val="7A4570AE"/>
    <w:rsid w:val="7A630041"/>
    <w:rsid w:val="7CEF1130"/>
    <w:rsid w:val="7E916F0B"/>
    <w:rsid w:val="7FD745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9">
    <w:name w:val="heading 1"/>
    <w:basedOn w:val="1"/>
    <w:next w:val="1"/>
    <w:qFormat/>
    <w:uiPriority w:val="0"/>
    <w:pPr>
      <w:keepNext/>
      <w:keepLines/>
      <w:numPr>
        <w:ilvl w:val="0"/>
        <w:numId w:val="1"/>
      </w:numPr>
      <w:spacing w:before="120" w:after="120" w:line="578" w:lineRule="auto"/>
      <w:jc w:val="center"/>
      <w:outlineLvl w:val="0"/>
    </w:pPr>
    <w:rPr>
      <w:rFonts w:eastAsia="黑体"/>
      <w:b/>
      <w:bCs/>
      <w:kern w:val="44"/>
      <w:sz w:val="44"/>
      <w:szCs w:val="44"/>
    </w:rPr>
  </w:style>
  <w:style w:type="paragraph" w:styleId="10">
    <w:name w:val="heading 2"/>
    <w:basedOn w:val="1"/>
    <w:next w:val="1"/>
    <w:qFormat/>
    <w:uiPriority w:val="0"/>
    <w:pPr>
      <w:keepNext/>
      <w:keepLines/>
      <w:numPr>
        <w:ilvl w:val="1"/>
        <w:numId w:val="2"/>
      </w:numPr>
      <w:adjustRightInd w:val="0"/>
      <w:spacing w:before="260" w:after="260" w:line="416" w:lineRule="atLeast"/>
      <w:textAlignment w:val="baseline"/>
      <w:outlineLvl w:val="1"/>
    </w:pPr>
    <w:rPr>
      <w:rFonts w:ascii="Arial" w:hAnsi="Arial" w:eastAsia="黑体" w:cs="Arial"/>
      <w:b/>
      <w:bCs/>
      <w:kern w:val="0"/>
      <w:sz w:val="32"/>
      <w:szCs w:val="32"/>
    </w:rPr>
  </w:style>
  <w:style w:type="paragraph" w:styleId="11">
    <w:name w:val="heading 3"/>
    <w:basedOn w:val="1"/>
    <w:next w:val="1"/>
    <w:qFormat/>
    <w:uiPriority w:val="0"/>
    <w:pPr>
      <w:keepNext/>
      <w:keepLines/>
      <w:pBdr>
        <w:top w:val="none" w:color="000000" w:sz="0" w:space="3"/>
        <w:left w:val="none" w:color="000000" w:sz="0" w:space="3"/>
        <w:bottom w:val="none" w:color="000000" w:sz="0" w:space="3"/>
        <w:right w:val="none" w:color="000000" w:sz="0" w:space="3"/>
      </w:pBdr>
      <w:spacing w:before="260" w:after="260" w:line="360" w:lineRule="auto"/>
      <w:ind w:firstLine="602"/>
      <w:outlineLvl w:val="2"/>
    </w:pPr>
    <w:rPr>
      <w:rFonts w:ascii="仿宋_GB2312" w:hAnsi="仿宋_GB2312" w:eastAsia="仿宋_GB2312"/>
      <w:b/>
      <w:bCs/>
      <w:sz w:val="30"/>
    </w:rPr>
  </w:style>
  <w:style w:type="paragraph" w:styleId="12">
    <w:name w:val="heading 4"/>
    <w:basedOn w:val="1"/>
    <w:next w:val="1"/>
    <w:unhideWhenUsed/>
    <w:qFormat/>
    <w:uiPriority w:val="0"/>
    <w:pPr>
      <w:keepNext/>
      <w:keepLines/>
      <w:numPr>
        <w:ilvl w:val="0"/>
        <w:numId w:val="3"/>
      </w:numPr>
      <w:spacing w:before="120" w:after="120" w:line="377" w:lineRule="auto"/>
      <w:jc w:val="left"/>
      <w:outlineLvl w:val="3"/>
    </w:pPr>
    <w:rPr>
      <w:rFonts w:eastAsia="黑体" w:asciiTheme="majorHAnsi" w:hAnsiTheme="majorHAnsi" w:cstheme="majorBidi"/>
      <w:b/>
      <w:bCs/>
      <w:sz w:val="28"/>
      <w:szCs w:val="28"/>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5"/>
    <w:qFormat/>
    <w:uiPriority w:val="0"/>
    <w:pPr>
      <w:ind w:firstLine="420" w:firstLineChars="200"/>
    </w:pPr>
    <w:rPr>
      <w:szCs w:val="24"/>
    </w:rPr>
  </w:style>
  <w:style w:type="paragraph" w:styleId="3">
    <w:name w:val="Body Text Indent"/>
    <w:basedOn w:val="1"/>
    <w:next w:val="4"/>
    <w:qFormat/>
    <w:uiPriority w:val="0"/>
    <w:pPr>
      <w:spacing w:after="120"/>
      <w:ind w:left="420" w:leftChars="200"/>
    </w:pPr>
  </w:style>
  <w:style w:type="paragraph" w:styleId="4">
    <w:name w:val="envelope return"/>
    <w:basedOn w:val="1"/>
    <w:semiHidden/>
    <w:qFormat/>
    <w:uiPriority w:val="0"/>
    <w:pPr>
      <w:snapToGrid w:val="0"/>
      <w:jc w:val="left"/>
    </w:pPr>
    <w:rPr>
      <w:rFonts w:ascii="Arial" w:hAnsi="Arial" w:eastAsia="DFKai-SB" w:cs="Arial"/>
      <w:sz w:val="28"/>
      <w:lang w:eastAsia="zh-TW"/>
    </w:rPr>
  </w:style>
  <w:style w:type="paragraph" w:styleId="5">
    <w:name w:val="Body Text First Indent"/>
    <w:basedOn w:val="6"/>
    <w:next w:val="8"/>
    <w:qFormat/>
    <w:uiPriority w:val="0"/>
    <w:pPr>
      <w:ind w:firstLine="420" w:firstLineChars="100"/>
    </w:pPr>
  </w:style>
  <w:style w:type="paragraph" w:styleId="6">
    <w:name w:val="Body Text"/>
    <w:basedOn w:val="1"/>
    <w:next w:val="7"/>
    <w:unhideWhenUsed/>
    <w:qFormat/>
    <w:uiPriority w:val="0"/>
    <w:pPr>
      <w:spacing w:after="120"/>
    </w:pPr>
  </w:style>
  <w:style w:type="paragraph" w:customStyle="1" w:styleId="7">
    <w:name w:val="Default"/>
    <w:next w:val="1"/>
    <w:qFormat/>
    <w:uiPriority w:val="0"/>
    <w:pPr>
      <w:widowControl w:val="0"/>
      <w:autoSpaceDE w:val="0"/>
      <w:autoSpaceDN w:val="0"/>
      <w:adjustRightInd w:val="0"/>
    </w:pPr>
    <w:rPr>
      <w:rFonts w:ascii="Arial" w:hAnsi="Arial" w:eastAsia="宋体" w:cs="Times New Roman"/>
      <w:color w:val="000000"/>
      <w:sz w:val="24"/>
      <w:lang w:val="en-US" w:eastAsia="zh-CN" w:bidi="ar-SA"/>
    </w:rPr>
  </w:style>
  <w:style w:type="paragraph" w:styleId="8">
    <w:name w:val="toc 6"/>
    <w:basedOn w:val="1"/>
    <w:next w:val="1"/>
    <w:qFormat/>
    <w:uiPriority w:val="0"/>
    <w:pPr>
      <w:ind w:left="1400"/>
      <w:jc w:val="left"/>
    </w:pPr>
    <w:rPr>
      <w:rFonts w:ascii="Calibri" w:hAnsi="Calibri"/>
      <w:sz w:val="18"/>
    </w:rPr>
  </w:style>
  <w:style w:type="paragraph" w:styleId="13">
    <w:name w:val="Normal Indent"/>
    <w:basedOn w:val="1"/>
    <w:qFormat/>
    <w:uiPriority w:val="99"/>
    <w:pPr>
      <w:ind w:firstLine="420"/>
    </w:pPr>
    <w:rPr>
      <w:szCs w:val="20"/>
    </w:rPr>
  </w:style>
  <w:style w:type="paragraph" w:styleId="14">
    <w:name w:val="annotation text"/>
    <w:basedOn w:val="1"/>
    <w:qFormat/>
    <w:uiPriority w:val="0"/>
    <w:pPr>
      <w:jc w:val="left"/>
    </w:pPr>
  </w:style>
  <w:style w:type="paragraph" w:styleId="15">
    <w:name w:val="Plain Text"/>
    <w:basedOn w:val="1"/>
    <w:next w:val="1"/>
    <w:qFormat/>
    <w:uiPriority w:val="99"/>
    <w:rPr>
      <w:rFonts w:ascii="宋体" w:hAnsi="Courier New"/>
      <w:szCs w:val="20"/>
    </w:rPr>
  </w:style>
  <w:style w:type="paragraph" w:styleId="16">
    <w:name w:val="Balloon Text"/>
    <w:basedOn w:val="1"/>
    <w:link w:val="34"/>
    <w:qFormat/>
    <w:uiPriority w:val="0"/>
    <w:rPr>
      <w:sz w:val="18"/>
      <w:szCs w:val="18"/>
    </w:rPr>
  </w:style>
  <w:style w:type="paragraph" w:styleId="17">
    <w:name w:val="footer"/>
    <w:basedOn w:val="1"/>
    <w:link w:val="33"/>
    <w:qFormat/>
    <w:uiPriority w:val="0"/>
    <w:pPr>
      <w:tabs>
        <w:tab w:val="center" w:pos="4153"/>
        <w:tab w:val="right" w:pos="8306"/>
      </w:tabs>
      <w:snapToGrid w:val="0"/>
      <w:jc w:val="left"/>
    </w:pPr>
    <w:rPr>
      <w:sz w:val="18"/>
      <w:szCs w:val="18"/>
    </w:rPr>
  </w:style>
  <w:style w:type="paragraph" w:styleId="18">
    <w:name w:val="header"/>
    <w:basedOn w:val="1"/>
    <w:link w:val="32"/>
    <w:qFormat/>
    <w:uiPriority w:val="0"/>
    <w:pPr>
      <w:pBdr>
        <w:bottom w:val="single" w:color="auto" w:sz="6" w:space="1"/>
      </w:pBdr>
      <w:tabs>
        <w:tab w:val="center" w:pos="4153"/>
        <w:tab w:val="right" w:pos="8306"/>
      </w:tabs>
      <w:snapToGrid w:val="0"/>
      <w:jc w:val="center"/>
    </w:pPr>
    <w:rPr>
      <w:sz w:val="18"/>
      <w:szCs w:val="18"/>
    </w:rPr>
  </w:style>
  <w:style w:type="table" w:styleId="20">
    <w:name w:val="Table Grid"/>
    <w:basedOn w:val="1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annotation reference"/>
    <w:basedOn w:val="21"/>
    <w:qFormat/>
    <w:uiPriority w:val="0"/>
    <w:rPr>
      <w:sz w:val="21"/>
      <w:szCs w:val="21"/>
    </w:rPr>
  </w:style>
  <w:style w:type="paragraph" w:customStyle="1" w:styleId="23">
    <w:name w:val="Fließtext"/>
    <w:basedOn w:val="1"/>
    <w:qFormat/>
    <w:uiPriority w:val="99"/>
    <w:pPr>
      <w:overflowPunct w:val="0"/>
      <w:autoSpaceDE w:val="0"/>
      <w:autoSpaceDN w:val="0"/>
      <w:adjustRightInd w:val="0"/>
      <w:textAlignment w:val="baseline"/>
    </w:pPr>
    <w:rPr>
      <w:kern w:val="28"/>
      <w:szCs w:val="20"/>
    </w:rPr>
  </w:style>
  <w:style w:type="paragraph" w:customStyle="1" w:styleId="24">
    <w:name w:val="列出段落1"/>
    <w:basedOn w:val="1"/>
    <w:qFormat/>
    <w:uiPriority w:val="99"/>
    <w:pPr>
      <w:ind w:firstLine="420" w:firstLineChars="200"/>
    </w:pPr>
  </w:style>
  <w:style w:type="paragraph" w:styleId="25">
    <w:name w:val="List Paragraph"/>
    <w:basedOn w:val="1"/>
    <w:unhideWhenUsed/>
    <w:qFormat/>
    <w:uiPriority w:val="34"/>
    <w:pPr>
      <w:ind w:firstLine="420" w:firstLineChars="200"/>
    </w:pPr>
  </w:style>
  <w:style w:type="character" w:customStyle="1" w:styleId="26">
    <w:name w:val="font01"/>
    <w:basedOn w:val="21"/>
    <w:qFormat/>
    <w:uiPriority w:val="0"/>
    <w:rPr>
      <w:rFonts w:hint="eastAsia" w:ascii="宋体" w:hAnsi="宋体" w:eastAsia="宋体" w:cs="宋体"/>
      <w:color w:val="000000"/>
      <w:sz w:val="24"/>
      <w:szCs w:val="24"/>
      <w:u w:val="none"/>
    </w:rPr>
  </w:style>
  <w:style w:type="character" w:customStyle="1" w:styleId="27">
    <w:name w:val="font51"/>
    <w:basedOn w:val="21"/>
    <w:qFormat/>
    <w:uiPriority w:val="0"/>
    <w:rPr>
      <w:rFonts w:hint="eastAsia" w:ascii="宋体" w:hAnsi="宋体" w:eastAsia="宋体" w:cs="宋体"/>
      <w:color w:val="000000"/>
      <w:sz w:val="22"/>
      <w:szCs w:val="22"/>
      <w:u w:val="none"/>
    </w:rPr>
  </w:style>
  <w:style w:type="character" w:customStyle="1" w:styleId="28">
    <w:name w:val="font31"/>
    <w:basedOn w:val="21"/>
    <w:qFormat/>
    <w:uiPriority w:val="0"/>
    <w:rPr>
      <w:rFonts w:hint="eastAsia" w:ascii="宋体" w:hAnsi="宋体" w:eastAsia="宋体" w:cs="宋体"/>
      <w:color w:val="000000"/>
      <w:sz w:val="22"/>
      <w:szCs w:val="22"/>
      <w:u w:val="none"/>
    </w:rPr>
  </w:style>
  <w:style w:type="paragraph" w:customStyle="1" w:styleId="29">
    <w:name w:val="正文首行缩进 21"/>
    <w:basedOn w:val="30"/>
    <w:qFormat/>
    <w:uiPriority w:val="0"/>
    <w:pPr>
      <w:ind w:firstLine="420"/>
    </w:pPr>
  </w:style>
  <w:style w:type="paragraph" w:customStyle="1" w:styleId="30">
    <w:name w:val="正文文本缩进1"/>
    <w:basedOn w:val="1"/>
    <w:qFormat/>
    <w:uiPriority w:val="0"/>
    <w:pPr>
      <w:spacing w:after="120"/>
      <w:ind w:left="420" w:leftChars="200"/>
    </w:pPr>
  </w:style>
  <w:style w:type="paragraph" w:customStyle="1" w:styleId="31">
    <w:name w:val="Table Paragraph"/>
    <w:basedOn w:val="1"/>
    <w:qFormat/>
    <w:uiPriority w:val="1"/>
    <w:rPr>
      <w:rFonts w:ascii="宋体" w:hAnsi="宋体" w:cs="宋体"/>
      <w:lang w:val="zh-CN" w:bidi="zh-CN"/>
    </w:rPr>
  </w:style>
  <w:style w:type="character" w:customStyle="1" w:styleId="32">
    <w:name w:val="页眉 Char"/>
    <w:basedOn w:val="21"/>
    <w:link w:val="18"/>
    <w:qFormat/>
    <w:uiPriority w:val="0"/>
    <w:rPr>
      <w:kern w:val="2"/>
      <w:sz w:val="18"/>
      <w:szCs w:val="18"/>
    </w:rPr>
  </w:style>
  <w:style w:type="character" w:customStyle="1" w:styleId="33">
    <w:name w:val="页脚 Char"/>
    <w:basedOn w:val="21"/>
    <w:link w:val="17"/>
    <w:qFormat/>
    <w:uiPriority w:val="0"/>
    <w:rPr>
      <w:kern w:val="2"/>
      <w:sz w:val="18"/>
      <w:szCs w:val="18"/>
    </w:rPr>
  </w:style>
  <w:style w:type="character" w:customStyle="1" w:styleId="34">
    <w:name w:val="批注框文本 Char"/>
    <w:basedOn w:val="21"/>
    <w:link w:val="16"/>
    <w:qFormat/>
    <w:uiPriority w:val="0"/>
    <w:rPr>
      <w:kern w:val="2"/>
      <w:sz w:val="18"/>
      <w:szCs w:val="18"/>
    </w:rPr>
  </w:style>
  <w:style w:type="paragraph" w:customStyle="1" w:styleId="35">
    <w:name w:val="*我是正文的格式"/>
    <w:basedOn w:val="1"/>
    <w:next w:val="6"/>
    <w:qFormat/>
    <w:uiPriority w:val="0"/>
    <w:pPr>
      <w:snapToGrid/>
      <w:ind w:firstLine="560"/>
    </w:pPr>
    <w:rPr>
      <w:rFonts w:ascii="Arial" w:hAnsi="Arial" w:cs="宋体"/>
      <w:szCs w:val="20"/>
      <w:lang w:val="zh-CN"/>
    </w:rPr>
  </w:style>
  <w:style w:type="paragraph" w:customStyle="1" w:styleId="36">
    <w:name w:val="*正文"/>
    <w:basedOn w:val="1"/>
    <w:qFormat/>
    <w:uiPriority w:val="0"/>
    <w:pPr>
      <w:snapToGrid/>
      <w:spacing w:beforeLines="50" w:afterLines="50"/>
    </w:pPr>
    <w:rPr>
      <w:rFonts w:ascii="宋体" w:hAnsi="宋体" w:cs="Times New Roman"/>
      <w:kern w:val="0"/>
      <w:szCs w:val="24"/>
    </w:rPr>
  </w:style>
</w:styles>
</file>

<file path=word/_rels/document.xml.rels><?xml version="1.0" encoding="UTF-8" standalone="yes"?>
<Relationships xmlns="http://schemas.openxmlformats.org/package/2006/relationships"><Relationship Id="rId9" Type="http://schemas.microsoft.com/office/2007/relationships/diagramDrawing" Target="diagrams/drawing1.xml"/><Relationship Id="rId8" Type="http://schemas.openxmlformats.org/officeDocument/2006/relationships/diagramColors" Target="diagrams/colors1.xml"/><Relationship Id="rId7" Type="http://schemas.openxmlformats.org/officeDocument/2006/relationships/diagramQuickStyle" Target="diagrams/quickStyle1.xml"/><Relationship Id="rId6" Type="http://schemas.openxmlformats.org/officeDocument/2006/relationships/diagramLayout" Target="diagrams/layout1.xml"/><Relationship Id="rId5" Type="http://schemas.openxmlformats.org/officeDocument/2006/relationships/diagramData" Target="diagrams/data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diagrams/colors1.xml><?xml version="1.0" encoding="utf-8"?>
<dgm:colorsDef xmlns:dgm="http://schemas.openxmlformats.org/drawingml/2006/diagram" xmlns:a="http://schemas.openxmlformats.org/drawingml/2006/main" uniqueId="urn:microsoft.com/office/officeart/2005/8/colors/accent1_2#3">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82746811-0941-459A-8D51-335D09076DA7}" type="doc">
      <dgm:prSet loTypeId="urn:microsoft.com/office/officeart/2009/3/layout/HorizontalOrganizationChart#1" loCatId="hierarchy" qsTypeId="urn:microsoft.com/office/officeart/2005/8/quickstyle/simple1#5" qsCatId="simple" csTypeId="urn:microsoft.com/office/officeart/2005/8/colors/accent1_2#3" csCatId="accent1" phldr="1"/>
      <dgm:spPr/>
      <dgm:t>
        <a:bodyPr/>
        <a:p>
          <a:endParaRPr lang="zh-CN" altLang="en-US"/>
        </a:p>
      </dgm:t>
    </dgm:pt>
    <dgm:pt modelId="{0FAE8198-7C8D-4D1E-8C03-D74960B4B0D8}">
      <dgm:prSet phldrT="[文本]" custT="1"/>
      <dgm:spPr/>
      <dgm:t>
        <a:bodyPr/>
        <a:p>
          <a:r>
            <a:rPr lang="zh-CN" altLang="en-US" sz="1200">
              <a:latin typeface="宋体" panose="02010600030101010101" charset="-122"/>
              <a:ea typeface="宋体" panose="02010600030101010101" charset="-122"/>
            </a:rPr>
            <a:t>项目总投资</a:t>
          </a:r>
        </a:p>
      </dgm:t>
    </dgm:pt>
    <dgm:pt modelId="{45FF1F23-E0AA-4931-80DF-4327BB31629F}" cxnId="{729BCC14-8A4E-4CB3-840B-A23AEC3EE56C}" type="parTrans">
      <dgm:prSet/>
      <dgm:spPr/>
      <dgm:t>
        <a:bodyPr/>
        <a:p>
          <a:endParaRPr lang="zh-CN" altLang="en-US" sz="1200">
            <a:latin typeface="宋体" panose="02010600030101010101" charset="-122"/>
            <a:ea typeface="宋体" panose="02010600030101010101" charset="-122"/>
          </a:endParaRPr>
        </a:p>
      </dgm:t>
    </dgm:pt>
    <dgm:pt modelId="{054A0F32-F08D-47FF-87BB-91E79DD5BECB}" cxnId="{729BCC14-8A4E-4CB3-840B-A23AEC3EE56C}" type="sibTrans">
      <dgm:prSet/>
      <dgm:spPr/>
      <dgm:t>
        <a:bodyPr/>
        <a:p>
          <a:endParaRPr lang="zh-CN" altLang="en-US" sz="1200">
            <a:latin typeface="宋体" panose="02010600030101010101" charset="-122"/>
            <a:ea typeface="宋体" panose="02010600030101010101" charset="-122"/>
          </a:endParaRPr>
        </a:p>
      </dgm:t>
    </dgm:pt>
    <dgm:pt modelId="{D3E74B2A-C454-4C90-BE46-3F283060FD5D}">
      <dgm:prSet phldrT="[文本]" custT="1"/>
      <dgm:spPr/>
      <dgm:t>
        <a:bodyPr/>
        <a:p>
          <a:r>
            <a:rPr lang="zh-CN" altLang="en-US" sz="1200">
              <a:latin typeface="宋体" panose="02010600030101010101" charset="-122"/>
              <a:ea typeface="宋体" panose="02010600030101010101" charset="-122"/>
            </a:rPr>
            <a:t>建设投资</a:t>
          </a:r>
        </a:p>
      </dgm:t>
    </dgm:pt>
    <dgm:pt modelId="{81C0AF61-B4DE-4E0D-91A9-8635B8DF7577}" cxnId="{6018655B-6F9E-42D0-B393-9FC4EDD49F42}" type="parTrans">
      <dgm:prSet/>
      <dgm:spPr/>
      <dgm:t>
        <a:bodyPr/>
        <a:p>
          <a:endParaRPr lang="zh-CN" altLang="en-US" sz="1200">
            <a:latin typeface="宋体" panose="02010600030101010101" charset="-122"/>
            <a:ea typeface="宋体" panose="02010600030101010101" charset="-122"/>
          </a:endParaRPr>
        </a:p>
      </dgm:t>
    </dgm:pt>
    <dgm:pt modelId="{A23770F4-1C43-4E80-90C6-56E9E8B220CE}" cxnId="{6018655B-6F9E-42D0-B393-9FC4EDD49F42}" type="sibTrans">
      <dgm:prSet/>
      <dgm:spPr/>
      <dgm:t>
        <a:bodyPr/>
        <a:p>
          <a:endParaRPr lang="zh-CN" altLang="en-US" sz="1200">
            <a:latin typeface="宋体" panose="02010600030101010101" charset="-122"/>
            <a:ea typeface="宋体" panose="02010600030101010101" charset="-122"/>
          </a:endParaRPr>
        </a:p>
      </dgm:t>
    </dgm:pt>
    <dgm:pt modelId="{C95ABA55-C21B-4068-A82F-E7922A148083}">
      <dgm:prSet phldrT="[文本]" custT="1"/>
      <dgm:spPr/>
      <dgm:t>
        <a:bodyPr/>
        <a:p>
          <a:r>
            <a:rPr lang="zh-CN" altLang="en-US" sz="1200">
              <a:latin typeface="宋体" panose="02010600030101010101" charset="-122"/>
              <a:ea typeface="宋体" panose="02010600030101010101" charset="-122"/>
            </a:rPr>
            <a:t>运营费</a:t>
          </a:r>
        </a:p>
      </dgm:t>
    </dgm:pt>
    <dgm:pt modelId="{8E83553B-85D2-4D00-A8DF-660114B8DE13}" cxnId="{73DA9640-99E9-4A6B-BF09-4B70F0BC4AE3}" type="parTrans">
      <dgm:prSet/>
      <dgm:spPr/>
      <dgm:t>
        <a:bodyPr/>
        <a:p>
          <a:endParaRPr lang="zh-CN" altLang="en-US" sz="1200">
            <a:latin typeface="宋体" panose="02010600030101010101" charset="-122"/>
            <a:ea typeface="宋体" panose="02010600030101010101" charset="-122"/>
          </a:endParaRPr>
        </a:p>
      </dgm:t>
    </dgm:pt>
    <dgm:pt modelId="{A660069D-43A7-4E5B-8A83-B8A87B53902F}" cxnId="{73DA9640-99E9-4A6B-BF09-4B70F0BC4AE3}" type="sibTrans">
      <dgm:prSet/>
      <dgm:spPr/>
      <dgm:t>
        <a:bodyPr/>
        <a:p>
          <a:endParaRPr lang="zh-CN" altLang="en-US" sz="1200">
            <a:latin typeface="宋体" panose="02010600030101010101" charset="-122"/>
            <a:ea typeface="宋体" panose="02010600030101010101" charset="-122"/>
          </a:endParaRPr>
        </a:p>
      </dgm:t>
    </dgm:pt>
    <dgm:pt modelId="{887767C3-23B2-4AF2-A7B0-8439F27AE007}">
      <dgm:prSet phldrT="[文本]" custT="1"/>
      <dgm:spPr/>
      <dgm:t>
        <a:bodyPr/>
        <a:p>
          <a:r>
            <a:rPr lang="zh-CN" altLang="en-US" sz="1200">
              <a:latin typeface="宋体" panose="02010600030101010101" charset="-122"/>
              <a:ea typeface="宋体" panose="02010600030101010101" charset="-122"/>
            </a:rPr>
            <a:t>控制中心建设费</a:t>
          </a:r>
        </a:p>
      </dgm:t>
    </dgm:pt>
    <dgm:pt modelId="{2524A80D-F7D6-4EEA-904A-A3A209A0A52C}" cxnId="{7B503C6A-4AED-4805-BAD7-DC634EBF1676}" type="parTrans">
      <dgm:prSet/>
      <dgm:spPr/>
      <dgm:t>
        <a:bodyPr/>
        <a:p>
          <a:endParaRPr lang="zh-CN" altLang="en-US" sz="1200">
            <a:latin typeface="宋体" panose="02010600030101010101" charset="-122"/>
            <a:ea typeface="宋体" panose="02010600030101010101" charset="-122"/>
          </a:endParaRPr>
        </a:p>
      </dgm:t>
    </dgm:pt>
    <dgm:pt modelId="{B204DB4E-ADDD-4E23-80D8-6A562AF787D5}" cxnId="{7B503C6A-4AED-4805-BAD7-DC634EBF1676}" type="sibTrans">
      <dgm:prSet/>
      <dgm:spPr/>
      <dgm:t>
        <a:bodyPr/>
        <a:p>
          <a:endParaRPr lang="zh-CN" altLang="en-US" sz="1200">
            <a:latin typeface="宋体" panose="02010600030101010101" charset="-122"/>
            <a:ea typeface="宋体" panose="02010600030101010101" charset="-122"/>
          </a:endParaRPr>
        </a:p>
      </dgm:t>
    </dgm:pt>
    <dgm:pt modelId="{9B4B693A-743F-46A0-B3DA-83CDF2EA358E}">
      <dgm:prSet phldrT="[文本]" custT="1"/>
      <dgm:spPr/>
      <dgm:t>
        <a:bodyPr/>
        <a:p>
          <a:r>
            <a:rPr lang="zh-CN" altLang="en-US" sz="1200">
              <a:latin typeface="宋体" panose="02010600030101010101" charset="-122"/>
              <a:ea typeface="宋体" panose="02010600030101010101" charset="-122"/>
            </a:rPr>
            <a:t>工程建设费</a:t>
          </a:r>
          <a:endParaRPr lang="en-US" altLang="zh-CN" sz="1200">
            <a:latin typeface="宋体" panose="02010600030101010101" charset="-122"/>
            <a:ea typeface="宋体" panose="02010600030101010101" charset="-122"/>
          </a:endParaRPr>
        </a:p>
      </dgm:t>
    </dgm:pt>
    <dgm:pt modelId="{0052C8D8-3EC4-47FB-92F4-85E58C2BC824}" cxnId="{8741305A-003B-4943-97A9-D48808332565}" type="parTrans">
      <dgm:prSet/>
      <dgm:spPr/>
      <dgm:t>
        <a:bodyPr/>
        <a:p>
          <a:endParaRPr lang="zh-CN" altLang="en-US" sz="1200">
            <a:latin typeface="宋体" panose="02010600030101010101" charset="-122"/>
            <a:ea typeface="宋体" panose="02010600030101010101" charset="-122"/>
          </a:endParaRPr>
        </a:p>
      </dgm:t>
    </dgm:pt>
    <dgm:pt modelId="{4292D5A6-ECEF-49F1-80F3-682A6AE0BBF6}" cxnId="{8741305A-003B-4943-97A9-D48808332565}" type="sibTrans">
      <dgm:prSet/>
      <dgm:spPr/>
      <dgm:t>
        <a:bodyPr/>
        <a:p>
          <a:endParaRPr lang="zh-CN" altLang="en-US" sz="1200">
            <a:latin typeface="宋体" panose="02010600030101010101" charset="-122"/>
            <a:ea typeface="宋体" panose="02010600030101010101" charset="-122"/>
          </a:endParaRPr>
        </a:p>
      </dgm:t>
    </dgm:pt>
    <dgm:pt modelId="{8226074C-914B-41C3-80DA-D5DE60F2CF13}">
      <dgm:prSet phldrT="[文本]" custT="1"/>
      <dgm:spPr/>
      <dgm:t>
        <a:bodyPr/>
        <a:p>
          <a:r>
            <a:rPr lang="zh-CN" altLang="en-US" sz="1200">
              <a:latin typeface="宋体" panose="02010600030101010101" charset="-122"/>
              <a:ea typeface="宋体" panose="02010600030101010101" charset="-122"/>
            </a:rPr>
            <a:t>工程建设其它费用</a:t>
          </a:r>
          <a:endParaRPr lang="en-US" altLang="zh-CN" sz="1200">
            <a:latin typeface="宋体" panose="02010600030101010101" charset="-122"/>
            <a:ea typeface="宋体" panose="02010600030101010101" charset="-122"/>
          </a:endParaRPr>
        </a:p>
      </dgm:t>
    </dgm:pt>
    <dgm:pt modelId="{9BE07F14-F757-4655-958D-4FA4C78934FA}" cxnId="{A11A6504-3F01-4532-9ED1-BB9B2359E67F}" type="parTrans">
      <dgm:prSet/>
      <dgm:spPr/>
      <dgm:t>
        <a:bodyPr/>
        <a:p>
          <a:endParaRPr lang="zh-CN" altLang="en-US" sz="1200">
            <a:latin typeface="宋体" panose="02010600030101010101" charset="-122"/>
            <a:ea typeface="宋体" panose="02010600030101010101" charset="-122"/>
          </a:endParaRPr>
        </a:p>
      </dgm:t>
    </dgm:pt>
    <dgm:pt modelId="{0B5CED87-406C-45DD-9540-C062986B78EB}" cxnId="{A11A6504-3F01-4532-9ED1-BB9B2359E67F}" type="sibTrans">
      <dgm:prSet/>
      <dgm:spPr/>
      <dgm:t>
        <a:bodyPr/>
        <a:p>
          <a:endParaRPr lang="zh-CN" altLang="en-US" sz="1200">
            <a:latin typeface="宋体" panose="02010600030101010101" charset="-122"/>
            <a:ea typeface="宋体" panose="02010600030101010101" charset="-122"/>
          </a:endParaRPr>
        </a:p>
      </dgm:t>
    </dgm:pt>
    <dgm:pt modelId="{7D0EA0BC-0A92-4396-BC32-ABCD951D2CF8}">
      <dgm:prSet phldrT="[文本]" custT="1"/>
      <dgm:spPr/>
      <dgm:t>
        <a:bodyPr/>
        <a:p>
          <a:r>
            <a:rPr lang="zh-CN" altLang="en-US" sz="1200">
              <a:latin typeface="宋体" panose="02010600030101010101" charset="-122"/>
              <a:ea typeface="宋体" panose="02010600030101010101" charset="-122"/>
            </a:rPr>
            <a:t>预备费用</a:t>
          </a:r>
          <a:endParaRPr lang="en-US" altLang="zh-CN" sz="1200">
            <a:latin typeface="宋体" panose="02010600030101010101" charset="-122"/>
            <a:ea typeface="宋体" panose="02010600030101010101" charset="-122"/>
          </a:endParaRPr>
        </a:p>
      </dgm:t>
    </dgm:pt>
    <dgm:pt modelId="{2C86C43F-C200-438E-AB66-C92A09BD4890}" cxnId="{912F9D61-1ABB-4BEA-8480-0AB4C788D89F}" type="parTrans">
      <dgm:prSet/>
      <dgm:spPr/>
      <dgm:t>
        <a:bodyPr/>
        <a:p>
          <a:endParaRPr lang="zh-CN" altLang="en-US" sz="1200">
            <a:latin typeface="宋体" panose="02010600030101010101" charset="-122"/>
            <a:ea typeface="宋体" panose="02010600030101010101" charset="-122"/>
          </a:endParaRPr>
        </a:p>
      </dgm:t>
    </dgm:pt>
    <dgm:pt modelId="{83A46633-2027-4EEA-9BF3-91D50178C251}" cxnId="{912F9D61-1ABB-4BEA-8480-0AB4C788D89F}" type="sibTrans">
      <dgm:prSet/>
      <dgm:spPr/>
      <dgm:t>
        <a:bodyPr/>
        <a:p>
          <a:endParaRPr lang="zh-CN" altLang="en-US" sz="1200">
            <a:latin typeface="宋体" panose="02010600030101010101" charset="-122"/>
            <a:ea typeface="宋体" panose="02010600030101010101" charset="-122"/>
          </a:endParaRPr>
        </a:p>
      </dgm:t>
    </dgm:pt>
    <dgm:pt modelId="{E7FAF97B-5AEC-435D-9A59-1326E48800F8}" type="pres">
      <dgm:prSet presAssocID="{82746811-0941-459A-8D51-335D09076DA7}" presName="hierChild1" presStyleCnt="0">
        <dgm:presLayoutVars>
          <dgm:orgChart val="1"/>
          <dgm:chPref val="1"/>
          <dgm:dir/>
          <dgm:animOne val="branch"/>
          <dgm:animLvl val="lvl"/>
          <dgm:resizeHandles/>
        </dgm:presLayoutVars>
      </dgm:prSet>
      <dgm:spPr/>
    </dgm:pt>
    <dgm:pt modelId="{A7EF2BDF-583B-479F-ACD8-ACD8F33AE170}" type="pres">
      <dgm:prSet presAssocID="{0FAE8198-7C8D-4D1E-8C03-D74960B4B0D8}" presName="hierRoot1" presStyleCnt="0">
        <dgm:presLayoutVars>
          <dgm:hierBranch val="init"/>
        </dgm:presLayoutVars>
      </dgm:prSet>
      <dgm:spPr/>
    </dgm:pt>
    <dgm:pt modelId="{31E24262-0C98-4626-8346-C0C40EFEE843}" type="pres">
      <dgm:prSet presAssocID="{0FAE8198-7C8D-4D1E-8C03-D74960B4B0D8}" presName="rootComposite1" presStyleCnt="0"/>
      <dgm:spPr/>
    </dgm:pt>
    <dgm:pt modelId="{D95B8104-72B0-4F24-BCB1-3EB50F79AAA2}" type="pres">
      <dgm:prSet presAssocID="{0FAE8198-7C8D-4D1E-8C03-D74960B4B0D8}" presName="rootText1" presStyleLbl="node0" presStyleIdx="0" presStyleCnt="1">
        <dgm:presLayoutVars>
          <dgm:chPref val="3"/>
        </dgm:presLayoutVars>
      </dgm:prSet>
      <dgm:spPr/>
    </dgm:pt>
    <dgm:pt modelId="{075EE492-AEF3-4C27-AB3B-090DB0854BDB}" type="pres">
      <dgm:prSet presAssocID="{0FAE8198-7C8D-4D1E-8C03-D74960B4B0D8}" presName="rootConnector1" presStyleLbl="node1" presStyleIdx="0" presStyleCnt="0"/>
      <dgm:spPr/>
    </dgm:pt>
    <dgm:pt modelId="{29EA57E6-108A-42D4-A13D-322070D58BBA}" type="pres">
      <dgm:prSet presAssocID="{0FAE8198-7C8D-4D1E-8C03-D74960B4B0D8}" presName="hierChild2" presStyleCnt="0"/>
      <dgm:spPr/>
    </dgm:pt>
    <dgm:pt modelId="{666863C3-48F3-43DA-91EC-FC9BC3F51DBF}" type="pres">
      <dgm:prSet presAssocID="{81C0AF61-B4DE-4E0D-91A9-8635B8DF7577}" presName="Name64" presStyleLbl="parChTrans1D2" presStyleIdx="0" presStyleCnt="2"/>
      <dgm:spPr/>
    </dgm:pt>
    <dgm:pt modelId="{A09FB50D-46B5-4201-8A4C-B0B7D805DCF2}" type="pres">
      <dgm:prSet presAssocID="{D3E74B2A-C454-4C90-BE46-3F283060FD5D}" presName="hierRoot2" presStyleCnt="0">
        <dgm:presLayoutVars>
          <dgm:hierBranch val="init"/>
        </dgm:presLayoutVars>
      </dgm:prSet>
      <dgm:spPr/>
    </dgm:pt>
    <dgm:pt modelId="{A1E81660-FF6D-4F59-B6CF-47CA937699F8}" type="pres">
      <dgm:prSet presAssocID="{D3E74B2A-C454-4C90-BE46-3F283060FD5D}" presName="rootComposite" presStyleCnt="0"/>
      <dgm:spPr/>
    </dgm:pt>
    <dgm:pt modelId="{5EF51FDA-D37B-4092-B1B9-987A89754ED3}" type="pres">
      <dgm:prSet presAssocID="{D3E74B2A-C454-4C90-BE46-3F283060FD5D}" presName="rootText" presStyleLbl="node2" presStyleIdx="0" presStyleCnt="2">
        <dgm:presLayoutVars>
          <dgm:chPref val="3"/>
        </dgm:presLayoutVars>
      </dgm:prSet>
      <dgm:spPr/>
    </dgm:pt>
    <dgm:pt modelId="{06977B8D-754D-4272-B18A-3DE5B6036651}" type="pres">
      <dgm:prSet presAssocID="{D3E74B2A-C454-4C90-BE46-3F283060FD5D}" presName="rootConnector" presStyleLbl="node2" presStyleIdx="0" presStyleCnt="2"/>
      <dgm:spPr/>
    </dgm:pt>
    <dgm:pt modelId="{3AC71921-7D21-45D1-BB3A-6B9E6EC1575A}" type="pres">
      <dgm:prSet presAssocID="{D3E74B2A-C454-4C90-BE46-3F283060FD5D}" presName="hierChild4" presStyleCnt="0"/>
      <dgm:spPr/>
    </dgm:pt>
    <dgm:pt modelId="{C4F17FA9-9501-4322-8CE3-8BF6E6DBE01F}" type="pres">
      <dgm:prSet presAssocID="{2524A80D-F7D6-4EEA-904A-A3A209A0A52C}" presName="Name64" presStyleLbl="parChTrans1D3" presStyleIdx="0" presStyleCnt="4"/>
      <dgm:spPr/>
    </dgm:pt>
    <dgm:pt modelId="{E9895847-444B-4725-BF9F-0B938AD6E339}" type="pres">
      <dgm:prSet presAssocID="{887767C3-23B2-4AF2-A7B0-8439F27AE007}" presName="hierRoot2" presStyleCnt="0">
        <dgm:presLayoutVars>
          <dgm:hierBranch val="init"/>
        </dgm:presLayoutVars>
      </dgm:prSet>
      <dgm:spPr/>
    </dgm:pt>
    <dgm:pt modelId="{B7091BB4-31F9-46CD-BC10-D5797DE98C74}" type="pres">
      <dgm:prSet presAssocID="{887767C3-23B2-4AF2-A7B0-8439F27AE007}" presName="rootComposite" presStyleCnt="0"/>
      <dgm:spPr/>
    </dgm:pt>
    <dgm:pt modelId="{69235A9E-0639-4A5B-AEE3-64A0F54FE535}" type="pres">
      <dgm:prSet presAssocID="{887767C3-23B2-4AF2-A7B0-8439F27AE007}" presName="rootText" presStyleLbl="node3" presStyleIdx="0" presStyleCnt="4">
        <dgm:presLayoutVars>
          <dgm:chPref val="3"/>
        </dgm:presLayoutVars>
      </dgm:prSet>
      <dgm:spPr/>
    </dgm:pt>
    <dgm:pt modelId="{B0E7110E-CA94-4C14-9E40-216CDF76A27B}" type="pres">
      <dgm:prSet presAssocID="{887767C3-23B2-4AF2-A7B0-8439F27AE007}" presName="rootConnector" presStyleLbl="node3" presStyleIdx="0" presStyleCnt="4"/>
      <dgm:spPr/>
    </dgm:pt>
    <dgm:pt modelId="{BE103DBA-CCA1-49EF-A65D-486B70B93C9C}" type="pres">
      <dgm:prSet presAssocID="{887767C3-23B2-4AF2-A7B0-8439F27AE007}" presName="hierChild4" presStyleCnt="0"/>
      <dgm:spPr/>
    </dgm:pt>
    <dgm:pt modelId="{B83B40D7-71BB-4870-A823-3858DA8F9032}" type="pres">
      <dgm:prSet presAssocID="{887767C3-23B2-4AF2-A7B0-8439F27AE007}" presName="hierChild5" presStyleCnt="0"/>
      <dgm:spPr/>
    </dgm:pt>
    <dgm:pt modelId="{7E4EEF8A-1868-4A8A-A840-CF946EED41A1}" type="pres">
      <dgm:prSet presAssocID="{0052C8D8-3EC4-47FB-92F4-85E58C2BC824}" presName="Name64" presStyleLbl="parChTrans1D3" presStyleIdx="1" presStyleCnt="4"/>
      <dgm:spPr/>
    </dgm:pt>
    <dgm:pt modelId="{2DD9A8F5-D2E0-46B6-9855-64F5DE57428E}" type="pres">
      <dgm:prSet presAssocID="{9B4B693A-743F-46A0-B3DA-83CDF2EA358E}" presName="hierRoot2" presStyleCnt="0">
        <dgm:presLayoutVars>
          <dgm:hierBranch val="init"/>
        </dgm:presLayoutVars>
      </dgm:prSet>
      <dgm:spPr/>
    </dgm:pt>
    <dgm:pt modelId="{CCD0EF84-071D-4374-925A-12719066A3A7}" type="pres">
      <dgm:prSet presAssocID="{9B4B693A-743F-46A0-B3DA-83CDF2EA358E}" presName="rootComposite" presStyleCnt="0"/>
      <dgm:spPr/>
    </dgm:pt>
    <dgm:pt modelId="{CB2FA626-D178-4297-886D-ED6AFE4F0350}" type="pres">
      <dgm:prSet presAssocID="{9B4B693A-743F-46A0-B3DA-83CDF2EA358E}" presName="rootText" presStyleLbl="node3" presStyleIdx="1" presStyleCnt="4">
        <dgm:presLayoutVars>
          <dgm:chPref val="3"/>
        </dgm:presLayoutVars>
      </dgm:prSet>
      <dgm:spPr/>
    </dgm:pt>
    <dgm:pt modelId="{B73F166A-883F-407F-82B5-2E8669543F1D}" type="pres">
      <dgm:prSet presAssocID="{9B4B693A-743F-46A0-B3DA-83CDF2EA358E}" presName="rootConnector" presStyleLbl="node3" presStyleIdx="1" presStyleCnt="4"/>
      <dgm:spPr/>
    </dgm:pt>
    <dgm:pt modelId="{61D11874-FDAF-42CE-91CC-F71A88594A7D}" type="pres">
      <dgm:prSet presAssocID="{9B4B693A-743F-46A0-B3DA-83CDF2EA358E}" presName="hierChild4" presStyleCnt="0"/>
      <dgm:spPr/>
    </dgm:pt>
    <dgm:pt modelId="{62533A0D-6B9D-48B5-B75A-9ABB95E62158}" type="pres">
      <dgm:prSet presAssocID="{9B4B693A-743F-46A0-B3DA-83CDF2EA358E}" presName="hierChild5" presStyleCnt="0"/>
      <dgm:spPr/>
    </dgm:pt>
    <dgm:pt modelId="{761F9231-9078-4BFF-ADBE-D116A19E3F88}" type="pres">
      <dgm:prSet presAssocID="{9BE07F14-F757-4655-958D-4FA4C78934FA}" presName="Name64" presStyleLbl="parChTrans1D3" presStyleIdx="2" presStyleCnt="4"/>
      <dgm:spPr/>
    </dgm:pt>
    <dgm:pt modelId="{09F2C3F0-05F3-4F19-B6E8-C1D879A0BCC7}" type="pres">
      <dgm:prSet presAssocID="{8226074C-914B-41C3-80DA-D5DE60F2CF13}" presName="hierRoot2" presStyleCnt="0">
        <dgm:presLayoutVars>
          <dgm:hierBranch val="init"/>
        </dgm:presLayoutVars>
      </dgm:prSet>
      <dgm:spPr/>
    </dgm:pt>
    <dgm:pt modelId="{412E7D5D-1966-454F-8A65-4F4E043DA877}" type="pres">
      <dgm:prSet presAssocID="{8226074C-914B-41C3-80DA-D5DE60F2CF13}" presName="rootComposite" presStyleCnt="0"/>
      <dgm:spPr/>
    </dgm:pt>
    <dgm:pt modelId="{C1D81B95-7D4B-463E-9AC1-8DCDF70B1170}" type="pres">
      <dgm:prSet presAssocID="{8226074C-914B-41C3-80DA-D5DE60F2CF13}" presName="rootText" presStyleLbl="node3" presStyleIdx="2" presStyleCnt="4">
        <dgm:presLayoutVars>
          <dgm:chPref val="3"/>
        </dgm:presLayoutVars>
      </dgm:prSet>
      <dgm:spPr/>
    </dgm:pt>
    <dgm:pt modelId="{75EA3333-16B0-44F5-B4B5-AEBCE253D4D4}" type="pres">
      <dgm:prSet presAssocID="{8226074C-914B-41C3-80DA-D5DE60F2CF13}" presName="rootConnector" presStyleLbl="node3" presStyleIdx="2" presStyleCnt="4"/>
      <dgm:spPr/>
    </dgm:pt>
    <dgm:pt modelId="{29DC9795-A7D5-472B-9A09-F38AA2C81B88}" type="pres">
      <dgm:prSet presAssocID="{8226074C-914B-41C3-80DA-D5DE60F2CF13}" presName="hierChild4" presStyleCnt="0"/>
      <dgm:spPr/>
    </dgm:pt>
    <dgm:pt modelId="{4D45F3AE-BC7E-45A3-8E31-41E46B66C821}" type="pres">
      <dgm:prSet presAssocID="{8226074C-914B-41C3-80DA-D5DE60F2CF13}" presName="hierChild5" presStyleCnt="0"/>
      <dgm:spPr/>
    </dgm:pt>
    <dgm:pt modelId="{1E871256-EB9E-4EFE-98BC-805A680FE894}" type="pres">
      <dgm:prSet presAssocID="{2C86C43F-C200-438E-AB66-C92A09BD4890}" presName="Name64" presStyleLbl="parChTrans1D3" presStyleIdx="3" presStyleCnt="4"/>
      <dgm:spPr/>
    </dgm:pt>
    <dgm:pt modelId="{76F834FB-5462-4631-B5F0-034E14671E3D}" type="pres">
      <dgm:prSet presAssocID="{7D0EA0BC-0A92-4396-BC32-ABCD951D2CF8}" presName="hierRoot2" presStyleCnt="0">
        <dgm:presLayoutVars>
          <dgm:hierBranch val="init"/>
        </dgm:presLayoutVars>
      </dgm:prSet>
      <dgm:spPr/>
    </dgm:pt>
    <dgm:pt modelId="{CA88F2C0-C3A5-40E8-BFC9-E09E8314518D}" type="pres">
      <dgm:prSet presAssocID="{7D0EA0BC-0A92-4396-BC32-ABCD951D2CF8}" presName="rootComposite" presStyleCnt="0"/>
      <dgm:spPr/>
    </dgm:pt>
    <dgm:pt modelId="{DC4A4602-5F41-4F53-8D18-14B5125F5745}" type="pres">
      <dgm:prSet presAssocID="{7D0EA0BC-0A92-4396-BC32-ABCD951D2CF8}" presName="rootText" presStyleLbl="node3" presStyleIdx="3" presStyleCnt="4">
        <dgm:presLayoutVars>
          <dgm:chPref val="3"/>
        </dgm:presLayoutVars>
      </dgm:prSet>
      <dgm:spPr/>
    </dgm:pt>
    <dgm:pt modelId="{39856935-23BC-4967-818C-239D76DCB74A}" type="pres">
      <dgm:prSet presAssocID="{7D0EA0BC-0A92-4396-BC32-ABCD951D2CF8}" presName="rootConnector" presStyleLbl="node3" presStyleIdx="3" presStyleCnt="4"/>
      <dgm:spPr/>
    </dgm:pt>
    <dgm:pt modelId="{559CDD22-8CA0-4BF7-BC3C-6BDF838A1786}" type="pres">
      <dgm:prSet presAssocID="{7D0EA0BC-0A92-4396-BC32-ABCD951D2CF8}" presName="hierChild4" presStyleCnt="0"/>
      <dgm:spPr/>
    </dgm:pt>
    <dgm:pt modelId="{9D145859-1204-47CA-B91D-293C24BD159C}" type="pres">
      <dgm:prSet presAssocID="{7D0EA0BC-0A92-4396-BC32-ABCD951D2CF8}" presName="hierChild5" presStyleCnt="0"/>
      <dgm:spPr/>
    </dgm:pt>
    <dgm:pt modelId="{FEE118BF-8844-49F4-898D-913B44408CAE}" type="pres">
      <dgm:prSet presAssocID="{D3E74B2A-C454-4C90-BE46-3F283060FD5D}" presName="hierChild5" presStyleCnt="0"/>
      <dgm:spPr/>
    </dgm:pt>
    <dgm:pt modelId="{2AADFBD6-EC27-42CE-AA7E-C86CDCE2E83F}" type="pres">
      <dgm:prSet presAssocID="{8E83553B-85D2-4D00-A8DF-660114B8DE13}" presName="Name64" presStyleLbl="parChTrans1D2" presStyleIdx="1" presStyleCnt="2"/>
      <dgm:spPr/>
    </dgm:pt>
    <dgm:pt modelId="{B768CFD8-3718-4DA4-8C95-10D2B3BDBD53}" type="pres">
      <dgm:prSet presAssocID="{C95ABA55-C21B-4068-A82F-E7922A148083}" presName="hierRoot2" presStyleCnt="0">
        <dgm:presLayoutVars>
          <dgm:hierBranch val="init"/>
        </dgm:presLayoutVars>
      </dgm:prSet>
      <dgm:spPr/>
    </dgm:pt>
    <dgm:pt modelId="{0973F3D2-9669-43ED-AE31-2D0E4456ACF1}" type="pres">
      <dgm:prSet presAssocID="{C95ABA55-C21B-4068-A82F-E7922A148083}" presName="rootComposite" presStyleCnt="0"/>
      <dgm:spPr/>
    </dgm:pt>
    <dgm:pt modelId="{6A32262C-6B44-4D78-A3BC-85AF6D1E6417}" type="pres">
      <dgm:prSet presAssocID="{C95ABA55-C21B-4068-A82F-E7922A148083}" presName="rootText" presStyleLbl="node2" presStyleIdx="1" presStyleCnt="2">
        <dgm:presLayoutVars>
          <dgm:chPref val="3"/>
        </dgm:presLayoutVars>
      </dgm:prSet>
      <dgm:spPr/>
    </dgm:pt>
    <dgm:pt modelId="{894D9896-0975-4B08-BB6A-551BC672A2CE}" type="pres">
      <dgm:prSet presAssocID="{C95ABA55-C21B-4068-A82F-E7922A148083}" presName="rootConnector" presStyleLbl="node2" presStyleIdx="1" presStyleCnt="2"/>
      <dgm:spPr/>
    </dgm:pt>
    <dgm:pt modelId="{362ADA8B-AD95-4FF5-B6AB-1F5B2EACE410}" type="pres">
      <dgm:prSet presAssocID="{C95ABA55-C21B-4068-A82F-E7922A148083}" presName="hierChild4" presStyleCnt="0"/>
      <dgm:spPr/>
    </dgm:pt>
    <dgm:pt modelId="{D8ABC972-0C6F-4609-B730-AC9F5A28C2B5}" type="pres">
      <dgm:prSet presAssocID="{C95ABA55-C21B-4068-A82F-E7922A148083}" presName="hierChild5" presStyleCnt="0"/>
      <dgm:spPr/>
    </dgm:pt>
    <dgm:pt modelId="{2C0975DD-8FE2-447D-BE66-BD44C322E2D0}" type="pres">
      <dgm:prSet presAssocID="{0FAE8198-7C8D-4D1E-8C03-D74960B4B0D8}" presName="hierChild3" presStyleCnt="0"/>
      <dgm:spPr/>
    </dgm:pt>
  </dgm:ptLst>
  <dgm:cxnLst>
    <dgm:cxn modelId="{A11A6504-3F01-4532-9ED1-BB9B2359E67F}" srcId="{D3E74B2A-C454-4C90-BE46-3F283060FD5D}" destId="{8226074C-914B-41C3-80DA-D5DE60F2CF13}" srcOrd="2" destOrd="0" parTransId="{9BE07F14-F757-4655-958D-4FA4C78934FA}" sibTransId="{0B5CED87-406C-45DD-9540-C062986B78EB}"/>
    <dgm:cxn modelId="{0996EA04-38FF-4494-BEEB-D7F796C13554}" type="presOf" srcId="{81C0AF61-B4DE-4E0D-91A9-8635B8DF7577}" destId="{666863C3-48F3-43DA-91EC-FC9BC3F51DBF}" srcOrd="0" destOrd="0" presId="urn:microsoft.com/office/officeart/2009/3/layout/HorizontalOrganizationChart#1"/>
    <dgm:cxn modelId="{729BCC14-8A4E-4CB3-840B-A23AEC3EE56C}" srcId="{82746811-0941-459A-8D51-335D09076DA7}" destId="{0FAE8198-7C8D-4D1E-8C03-D74960B4B0D8}" srcOrd="0" destOrd="0" parTransId="{45FF1F23-E0AA-4931-80DF-4327BB31629F}" sibTransId="{054A0F32-F08D-47FF-87BB-91E79DD5BECB}"/>
    <dgm:cxn modelId="{4914D51A-6DD6-4495-8B85-A7644000FB9A}" type="presOf" srcId="{9BE07F14-F757-4655-958D-4FA4C78934FA}" destId="{761F9231-9078-4BFF-ADBE-D116A19E3F88}" srcOrd="0" destOrd="0" presId="urn:microsoft.com/office/officeart/2009/3/layout/HorizontalOrganizationChart#1"/>
    <dgm:cxn modelId="{090CC926-DB8A-462E-B47C-EFB819F0F254}" type="presOf" srcId="{2524A80D-F7D6-4EEA-904A-A3A209A0A52C}" destId="{C4F17FA9-9501-4322-8CE3-8BF6E6DBE01F}" srcOrd="0" destOrd="0" presId="urn:microsoft.com/office/officeart/2009/3/layout/HorizontalOrganizationChart#1"/>
    <dgm:cxn modelId="{598CF626-C5FB-4F0E-A07B-D015C9C4DE9C}" type="presOf" srcId="{8226074C-914B-41C3-80DA-D5DE60F2CF13}" destId="{C1D81B95-7D4B-463E-9AC1-8DCDF70B1170}" srcOrd="0" destOrd="0" presId="urn:microsoft.com/office/officeart/2009/3/layout/HorizontalOrganizationChart#1"/>
    <dgm:cxn modelId="{7695503C-24BE-4EC1-BC6F-88C751CAA4F2}" type="presOf" srcId="{D3E74B2A-C454-4C90-BE46-3F283060FD5D}" destId="{06977B8D-754D-4272-B18A-3DE5B6036651}" srcOrd="1" destOrd="0" presId="urn:microsoft.com/office/officeart/2009/3/layout/HorizontalOrganizationChart#1"/>
    <dgm:cxn modelId="{23381140-0ED7-4944-A258-1647D10BA149}" type="presOf" srcId="{2C86C43F-C200-438E-AB66-C92A09BD4890}" destId="{1E871256-EB9E-4EFE-98BC-805A680FE894}" srcOrd="0" destOrd="0" presId="urn:microsoft.com/office/officeart/2009/3/layout/HorizontalOrganizationChart#1"/>
    <dgm:cxn modelId="{73DA9640-99E9-4A6B-BF09-4B70F0BC4AE3}" srcId="{0FAE8198-7C8D-4D1E-8C03-D74960B4B0D8}" destId="{C95ABA55-C21B-4068-A82F-E7922A148083}" srcOrd="1" destOrd="0" parTransId="{8E83553B-85D2-4D00-A8DF-660114B8DE13}" sibTransId="{A660069D-43A7-4E5B-8A83-B8A87B53902F}"/>
    <dgm:cxn modelId="{6018655B-6F9E-42D0-B393-9FC4EDD49F42}" srcId="{0FAE8198-7C8D-4D1E-8C03-D74960B4B0D8}" destId="{D3E74B2A-C454-4C90-BE46-3F283060FD5D}" srcOrd="0" destOrd="0" parTransId="{81C0AF61-B4DE-4E0D-91A9-8635B8DF7577}" sibTransId="{A23770F4-1C43-4E80-90C6-56E9E8B220CE}"/>
    <dgm:cxn modelId="{912F9D61-1ABB-4BEA-8480-0AB4C788D89F}" srcId="{D3E74B2A-C454-4C90-BE46-3F283060FD5D}" destId="{7D0EA0BC-0A92-4396-BC32-ABCD951D2CF8}" srcOrd="3" destOrd="0" parTransId="{2C86C43F-C200-438E-AB66-C92A09BD4890}" sibTransId="{83A46633-2027-4EEA-9BF3-91D50178C251}"/>
    <dgm:cxn modelId="{46541667-029C-4141-9637-BEA5F49E9797}" type="presOf" srcId="{9B4B693A-743F-46A0-B3DA-83CDF2EA358E}" destId="{CB2FA626-D178-4297-886D-ED6AFE4F0350}" srcOrd="0" destOrd="0" presId="urn:microsoft.com/office/officeart/2009/3/layout/HorizontalOrganizationChart#1"/>
    <dgm:cxn modelId="{7B503C6A-4AED-4805-BAD7-DC634EBF1676}" srcId="{D3E74B2A-C454-4C90-BE46-3F283060FD5D}" destId="{887767C3-23B2-4AF2-A7B0-8439F27AE007}" srcOrd="0" destOrd="0" parTransId="{2524A80D-F7D6-4EEA-904A-A3A209A0A52C}" sibTransId="{B204DB4E-ADDD-4E23-80D8-6A562AF787D5}"/>
    <dgm:cxn modelId="{8741305A-003B-4943-97A9-D48808332565}" srcId="{D3E74B2A-C454-4C90-BE46-3F283060FD5D}" destId="{9B4B693A-743F-46A0-B3DA-83CDF2EA358E}" srcOrd="1" destOrd="0" parTransId="{0052C8D8-3EC4-47FB-92F4-85E58C2BC824}" sibTransId="{4292D5A6-ECEF-49F1-80F3-682A6AE0BBF6}"/>
    <dgm:cxn modelId="{0DC8AF7D-838E-4EFE-9D02-FB6515E93094}" type="presOf" srcId="{887767C3-23B2-4AF2-A7B0-8439F27AE007}" destId="{B0E7110E-CA94-4C14-9E40-216CDF76A27B}" srcOrd="1" destOrd="0" presId="urn:microsoft.com/office/officeart/2009/3/layout/HorizontalOrganizationChart#1"/>
    <dgm:cxn modelId="{6991558C-CC75-4F7D-B0AF-925CF7CA6714}" type="presOf" srcId="{C95ABA55-C21B-4068-A82F-E7922A148083}" destId="{6A32262C-6B44-4D78-A3BC-85AF6D1E6417}" srcOrd="0" destOrd="0" presId="urn:microsoft.com/office/officeart/2009/3/layout/HorizontalOrganizationChart#1"/>
    <dgm:cxn modelId="{BA11248D-A658-4F55-A36A-A82AF0BAEE7F}" type="presOf" srcId="{0FAE8198-7C8D-4D1E-8C03-D74960B4B0D8}" destId="{D95B8104-72B0-4F24-BCB1-3EB50F79AAA2}" srcOrd="0" destOrd="0" presId="urn:microsoft.com/office/officeart/2009/3/layout/HorizontalOrganizationChart#1"/>
    <dgm:cxn modelId="{44C88697-7C4A-495F-BFB8-D1EA37A5DA57}" type="presOf" srcId="{0FAE8198-7C8D-4D1E-8C03-D74960B4B0D8}" destId="{075EE492-AEF3-4C27-AB3B-090DB0854BDB}" srcOrd="1" destOrd="0" presId="urn:microsoft.com/office/officeart/2009/3/layout/HorizontalOrganizationChart#1"/>
    <dgm:cxn modelId="{E0D61C99-F8CF-46AF-9D81-C3597789CF29}" type="presOf" srcId="{7D0EA0BC-0A92-4396-BC32-ABCD951D2CF8}" destId="{39856935-23BC-4967-818C-239D76DCB74A}" srcOrd="1" destOrd="0" presId="urn:microsoft.com/office/officeart/2009/3/layout/HorizontalOrganizationChart#1"/>
    <dgm:cxn modelId="{6430E2A3-A11E-4F99-8B48-9F2E836EEF19}" type="presOf" srcId="{9B4B693A-743F-46A0-B3DA-83CDF2EA358E}" destId="{B73F166A-883F-407F-82B5-2E8669543F1D}" srcOrd="1" destOrd="0" presId="urn:microsoft.com/office/officeart/2009/3/layout/HorizontalOrganizationChart#1"/>
    <dgm:cxn modelId="{44470BA4-24FB-44BF-B867-250461FCF581}" type="presOf" srcId="{8E83553B-85D2-4D00-A8DF-660114B8DE13}" destId="{2AADFBD6-EC27-42CE-AA7E-C86CDCE2E83F}" srcOrd="0" destOrd="0" presId="urn:microsoft.com/office/officeart/2009/3/layout/HorizontalOrganizationChart#1"/>
    <dgm:cxn modelId="{CCA694AD-FD32-4C79-8C9A-ACA5662CECB2}" type="presOf" srcId="{7D0EA0BC-0A92-4396-BC32-ABCD951D2CF8}" destId="{DC4A4602-5F41-4F53-8D18-14B5125F5745}" srcOrd="0" destOrd="0" presId="urn:microsoft.com/office/officeart/2009/3/layout/HorizontalOrganizationChart#1"/>
    <dgm:cxn modelId="{AC3F56AE-FA31-4886-9BBF-31B417BDAD36}" type="presOf" srcId="{82746811-0941-459A-8D51-335D09076DA7}" destId="{E7FAF97B-5AEC-435D-9A59-1326E48800F8}" srcOrd="0" destOrd="0" presId="urn:microsoft.com/office/officeart/2009/3/layout/HorizontalOrganizationChart#1"/>
    <dgm:cxn modelId="{E77848B6-3DC1-4E62-98F5-762BF6AD7E57}" type="presOf" srcId="{0052C8D8-3EC4-47FB-92F4-85E58C2BC824}" destId="{7E4EEF8A-1868-4A8A-A840-CF946EED41A1}" srcOrd="0" destOrd="0" presId="urn:microsoft.com/office/officeart/2009/3/layout/HorizontalOrganizationChart#1"/>
    <dgm:cxn modelId="{217346CA-7D0F-412E-8FD6-CFF960DE071E}" type="presOf" srcId="{8226074C-914B-41C3-80DA-D5DE60F2CF13}" destId="{75EA3333-16B0-44F5-B4B5-AEBCE253D4D4}" srcOrd="1" destOrd="0" presId="urn:microsoft.com/office/officeart/2009/3/layout/HorizontalOrganizationChart#1"/>
    <dgm:cxn modelId="{BD5FA5CF-CA77-4708-B9A4-F215BCD899A1}" type="presOf" srcId="{887767C3-23B2-4AF2-A7B0-8439F27AE007}" destId="{69235A9E-0639-4A5B-AEE3-64A0F54FE535}" srcOrd="0" destOrd="0" presId="urn:microsoft.com/office/officeart/2009/3/layout/HorizontalOrganizationChart#1"/>
    <dgm:cxn modelId="{982151DB-6C18-4170-8863-4B1E6AFE6547}" type="presOf" srcId="{C95ABA55-C21B-4068-A82F-E7922A148083}" destId="{894D9896-0975-4B08-BB6A-551BC672A2CE}" srcOrd="1" destOrd="0" presId="urn:microsoft.com/office/officeart/2009/3/layout/HorizontalOrganizationChart#1"/>
    <dgm:cxn modelId="{F5406BF1-52B8-4619-AADB-B3FFF3BC88F6}" type="presOf" srcId="{D3E74B2A-C454-4C90-BE46-3F283060FD5D}" destId="{5EF51FDA-D37B-4092-B1B9-987A89754ED3}" srcOrd="0" destOrd="0" presId="urn:microsoft.com/office/officeart/2009/3/layout/HorizontalOrganizationChart#1"/>
    <dgm:cxn modelId="{8653CB9D-B0CA-4977-B2C7-AFDF74E000B3}" type="presParOf" srcId="{E7FAF97B-5AEC-435D-9A59-1326E48800F8}" destId="{A7EF2BDF-583B-479F-ACD8-ACD8F33AE170}" srcOrd="0" destOrd="0" presId="urn:microsoft.com/office/officeart/2009/3/layout/HorizontalOrganizationChart#1"/>
    <dgm:cxn modelId="{B574EB80-9FB8-481B-962E-E9B893F21C5C}" type="presParOf" srcId="{A7EF2BDF-583B-479F-ACD8-ACD8F33AE170}" destId="{31E24262-0C98-4626-8346-C0C40EFEE843}" srcOrd="0" destOrd="0" presId="urn:microsoft.com/office/officeart/2009/3/layout/HorizontalOrganizationChart#1"/>
    <dgm:cxn modelId="{39DB61F0-9701-4AB6-9283-5BF7F239EBC1}" type="presParOf" srcId="{31E24262-0C98-4626-8346-C0C40EFEE843}" destId="{D95B8104-72B0-4F24-BCB1-3EB50F79AAA2}" srcOrd="0" destOrd="0" presId="urn:microsoft.com/office/officeart/2009/3/layout/HorizontalOrganizationChart#1"/>
    <dgm:cxn modelId="{F79ABE47-2D48-444C-A89A-1C288584869E}" type="presParOf" srcId="{31E24262-0C98-4626-8346-C0C40EFEE843}" destId="{075EE492-AEF3-4C27-AB3B-090DB0854BDB}" srcOrd="1" destOrd="0" presId="urn:microsoft.com/office/officeart/2009/3/layout/HorizontalOrganizationChart#1"/>
    <dgm:cxn modelId="{3511D14F-007A-46E2-8AFE-2B8C08DBD324}" type="presParOf" srcId="{A7EF2BDF-583B-479F-ACD8-ACD8F33AE170}" destId="{29EA57E6-108A-42D4-A13D-322070D58BBA}" srcOrd="1" destOrd="0" presId="urn:microsoft.com/office/officeart/2009/3/layout/HorizontalOrganizationChart#1"/>
    <dgm:cxn modelId="{555B26BF-69B2-4CDD-850F-0618D229AA88}" type="presParOf" srcId="{29EA57E6-108A-42D4-A13D-322070D58BBA}" destId="{666863C3-48F3-43DA-91EC-FC9BC3F51DBF}" srcOrd="0" destOrd="0" presId="urn:microsoft.com/office/officeart/2009/3/layout/HorizontalOrganizationChart#1"/>
    <dgm:cxn modelId="{9AC906D3-0137-4AF5-84BC-8AAF02AE0647}" type="presParOf" srcId="{29EA57E6-108A-42D4-A13D-322070D58BBA}" destId="{A09FB50D-46B5-4201-8A4C-B0B7D805DCF2}" srcOrd="1" destOrd="0" presId="urn:microsoft.com/office/officeart/2009/3/layout/HorizontalOrganizationChart#1"/>
    <dgm:cxn modelId="{0AA71DA4-C5DC-4296-BB0B-4DD2F3570E39}" type="presParOf" srcId="{A09FB50D-46B5-4201-8A4C-B0B7D805DCF2}" destId="{A1E81660-FF6D-4F59-B6CF-47CA937699F8}" srcOrd="0" destOrd="0" presId="urn:microsoft.com/office/officeart/2009/3/layout/HorizontalOrganizationChart#1"/>
    <dgm:cxn modelId="{9F15102F-C26E-4A56-AABF-2E9CB69C7896}" type="presParOf" srcId="{A1E81660-FF6D-4F59-B6CF-47CA937699F8}" destId="{5EF51FDA-D37B-4092-B1B9-987A89754ED3}" srcOrd="0" destOrd="0" presId="urn:microsoft.com/office/officeart/2009/3/layout/HorizontalOrganizationChart#1"/>
    <dgm:cxn modelId="{3E37384C-18A2-4DD3-BBCE-BF1173EF8516}" type="presParOf" srcId="{A1E81660-FF6D-4F59-B6CF-47CA937699F8}" destId="{06977B8D-754D-4272-B18A-3DE5B6036651}" srcOrd="1" destOrd="0" presId="urn:microsoft.com/office/officeart/2009/3/layout/HorizontalOrganizationChart#1"/>
    <dgm:cxn modelId="{6CDCFA41-17CB-4A9F-BCE2-8E2FB62E440A}" type="presParOf" srcId="{A09FB50D-46B5-4201-8A4C-B0B7D805DCF2}" destId="{3AC71921-7D21-45D1-BB3A-6B9E6EC1575A}" srcOrd="1" destOrd="0" presId="urn:microsoft.com/office/officeart/2009/3/layout/HorizontalOrganizationChart#1"/>
    <dgm:cxn modelId="{6735979D-CE5D-46DB-9B7D-764627EAFB72}" type="presParOf" srcId="{3AC71921-7D21-45D1-BB3A-6B9E6EC1575A}" destId="{C4F17FA9-9501-4322-8CE3-8BF6E6DBE01F}" srcOrd="0" destOrd="0" presId="urn:microsoft.com/office/officeart/2009/3/layout/HorizontalOrganizationChart#1"/>
    <dgm:cxn modelId="{CA49768F-EC68-4A4F-9A73-3C27F5BDEA6E}" type="presParOf" srcId="{3AC71921-7D21-45D1-BB3A-6B9E6EC1575A}" destId="{E9895847-444B-4725-BF9F-0B938AD6E339}" srcOrd="1" destOrd="0" presId="urn:microsoft.com/office/officeart/2009/3/layout/HorizontalOrganizationChart#1"/>
    <dgm:cxn modelId="{48CBA6E2-DE9D-4CE1-A259-E94B4C028169}" type="presParOf" srcId="{E9895847-444B-4725-BF9F-0B938AD6E339}" destId="{B7091BB4-31F9-46CD-BC10-D5797DE98C74}" srcOrd="0" destOrd="0" presId="urn:microsoft.com/office/officeart/2009/3/layout/HorizontalOrganizationChart#1"/>
    <dgm:cxn modelId="{67A99FC5-AB36-4FDE-B21E-29A0B3FEDBC9}" type="presParOf" srcId="{B7091BB4-31F9-46CD-BC10-D5797DE98C74}" destId="{69235A9E-0639-4A5B-AEE3-64A0F54FE535}" srcOrd="0" destOrd="0" presId="urn:microsoft.com/office/officeart/2009/3/layout/HorizontalOrganizationChart#1"/>
    <dgm:cxn modelId="{6E93E40B-6BC0-4F1C-8EF5-278780F9D2CE}" type="presParOf" srcId="{B7091BB4-31F9-46CD-BC10-D5797DE98C74}" destId="{B0E7110E-CA94-4C14-9E40-216CDF76A27B}" srcOrd="1" destOrd="0" presId="urn:microsoft.com/office/officeart/2009/3/layout/HorizontalOrganizationChart#1"/>
    <dgm:cxn modelId="{1A0142D2-4125-487E-B6BF-B9EF0FC7F016}" type="presParOf" srcId="{E9895847-444B-4725-BF9F-0B938AD6E339}" destId="{BE103DBA-CCA1-49EF-A65D-486B70B93C9C}" srcOrd="1" destOrd="0" presId="urn:microsoft.com/office/officeart/2009/3/layout/HorizontalOrganizationChart#1"/>
    <dgm:cxn modelId="{1391728F-5861-44D8-9E60-46183F41A0E5}" type="presParOf" srcId="{E9895847-444B-4725-BF9F-0B938AD6E339}" destId="{B83B40D7-71BB-4870-A823-3858DA8F9032}" srcOrd="2" destOrd="0" presId="urn:microsoft.com/office/officeart/2009/3/layout/HorizontalOrganizationChart#1"/>
    <dgm:cxn modelId="{05069067-4034-4562-9E66-D88F20D9D4D1}" type="presParOf" srcId="{3AC71921-7D21-45D1-BB3A-6B9E6EC1575A}" destId="{7E4EEF8A-1868-4A8A-A840-CF946EED41A1}" srcOrd="2" destOrd="0" presId="urn:microsoft.com/office/officeart/2009/3/layout/HorizontalOrganizationChart#1"/>
    <dgm:cxn modelId="{F236E28C-ACCB-462B-9612-B08D4EE562E4}" type="presParOf" srcId="{3AC71921-7D21-45D1-BB3A-6B9E6EC1575A}" destId="{2DD9A8F5-D2E0-46B6-9855-64F5DE57428E}" srcOrd="3" destOrd="0" presId="urn:microsoft.com/office/officeart/2009/3/layout/HorizontalOrganizationChart#1"/>
    <dgm:cxn modelId="{5E739B7C-14AF-45EC-9A2F-359640E61A6F}" type="presParOf" srcId="{2DD9A8F5-D2E0-46B6-9855-64F5DE57428E}" destId="{CCD0EF84-071D-4374-925A-12719066A3A7}" srcOrd="0" destOrd="0" presId="urn:microsoft.com/office/officeart/2009/3/layout/HorizontalOrganizationChart#1"/>
    <dgm:cxn modelId="{A1AF6257-6378-4CC0-8A73-87B09EA000D8}" type="presParOf" srcId="{CCD0EF84-071D-4374-925A-12719066A3A7}" destId="{CB2FA626-D178-4297-886D-ED6AFE4F0350}" srcOrd="0" destOrd="0" presId="urn:microsoft.com/office/officeart/2009/3/layout/HorizontalOrganizationChart#1"/>
    <dgm:cxn modelId="{907CF6A6-FEA0-4EFE-8F57-401D5C615676}" type="presParOf" srcId="{CCD0EF84-071D-4374-925A-12719066A3A7}" destId="{B73F166A-883F-407F-82B5-2E8669543F1D}" srcOrd="1" destOrd="0" presId="urn:microsoft.com/office/officeart/2009/3/layout/HorizontalOrganizationChart#1"/>
    <dgm:cxn modelId="{B209FB08-F1DF-4F7C-9C8B-D36B8308BD2E}" type="presParOf" srcId="{2DD9A8F5-D2E0-46B6-9855-64F5DE57428E}" destId="{61D11874-FDAF-42CE-91CC-F71A88594A7D}" srcOrd="1" destOrd="0" presId="urn:microsoft.com/office/officeart/2009/3/layout/HorizontalOrganizationChart#1"/>
    <dgm:cxn modelId="{700BAE4D-4647-4C9E-8D72-078DF9426199}" type="presParOf" srcId="{2DD9A8F5-D2E0-46B6-9855-64F5DE57428E}" destId="{62533A0D-6B9D-48B5-B75A-9ABB95E62158}" srcOrd="2" destOrd="0" presId="urn:microsoft.com/office/officeart/2009/3/layout/HorizontalOrganizationChart#1"/>
    <dgm:cxn modelId="{D6B7B9E0-CC8A-49CA-BB9D-445A17D2849D}" type="presParOf" srcId="{3AC71921-7D21-45D1-BB3A-6B9E6EC1575A}" destId="{761F9231-9078-4BFF-ADBE-D116A19E3F88}" srcOrd="4" destOrd="0" presId="urn:microsoft.com/office/officeart/2009/3/layout/HorizontalOrganizationChart#1"/>
    <dgm:cxn modelId="{9D154ADE-35B1-488D-A255-910EAF5C7FD8}" type="presParOf" srcId="{3AC71921-7D21-45D1-BB3A-6B9E6EC1575A}" destId="{09F2C3F0-05F3-4F19-B6E8-C1D879A0BCC7}" srcOrd="5" destOrd="0" presId="urn:microsoft.com/office/officeart/2009/3/layout/HorizontalOrganizationChart#1"/>
    <dgm:cxn modelId="{51638359-5864-4DA9-8C51-2311562CB3D8}" type="presParOf" srcId="{09F2C3F0-05F3-4F19-B6E8-C1D879A0BCC7}" destId="{412E7D5D-1966-454F-8A65-4F4E043DA877}" srcOrd="0" destOrd="0" presId="urn:microsoft.com/office/officeart/2009/3/layout/HorizontalOrganizationChart#1"/>
    <dgm:cxn modelId="{9967CC9F-8604-4088-BA94-C3F1B41EB309}" type="presParOf" srcId="{412E7D5D-1966-454F-8A65-4F4E043DA877}" destId="{C1D81B95-7D4B-463E-9AC1-8DCDF70B1170}" srcOrd="0" destOrd="0" presId="urn:microsoft.com/office/officeart/2009/3/layout/HorizontalOrganizationChart#1"/>
    <dgm:cxn modelId="{EB4C58B7-1940-4771-87FF-1E99C794110C}" type="presParOf" srcId="{412E7D5D-1966-454F-8A65-4F4E043DA877}" destId="{75EA3333-16B0-44F5-B4B5-AEBCE253D4D4}" srcOrd="1" destOrd="0" presId="urn:microsoft.com/office/officeart/2009/3/layout/HorizontalOrganizationChart#1"/>
    <dgm:cxn modelId="{C04B07EA-5678-4D02-B857-893BB4D5251D}" type="presParOf" srcId="{09F2C3F0-05F3-4F19-B6E8-C1D879A0BCC7}" destId="{29DC9795-A7D5-472B-9A09-F38AA2C81B88}" srcOrd="1" destOrd="0" presId="urn:microsoft.com/office/officeart/2009/3/layout/HorizontalOrganizationChart#1"/>
    <dgm:cxn modelId="{27BB67B3-0EBC-4CD3-9FF9-22252A0C09D3}" type="presParOf" srcId="{09F2C3F0-05F3-4F19-B6E8-C1D879A0BCC7}" destId="{4D45F3AE-BC7E-45A3-8E31-41E46B66C821}" srcOrd="2" destOrd="0" presId="urn:microsoft.com/office/officeart/2009/3/layout/HorizontalOrganizationChart#1"/>
    <dgm:cxn modelId="{DED784C8-5767-47DD-BABC-B5F6192539E9}" type="presParOf" srcId="{3AC71921-7D21-45D1-BB3A-6B9E6EC1575A}" destId="{1E871256-EB9E-4EFE-98BC-805A680FE894}" srcOrd="6" destOrd="0" presId="urn:microsoft.com/office/officeart/2009/3/layout/HorizontalOrganizationChart#1"/>
    <dgm:cxn modelId="{A0B46BAE-5AE8-42A0-A64F-C44389DF28DC}" type="presParOf" srcId="{3AC71921-7D21-45D1-BB3A-6B9E6EC1575A}" destId="{76F834FB-5462-4631-B5F0-034E14671E3D}" srcOrd="7" destOrd="0" presId="urn:microsoft.com/office/officeart/2009/3/layout/HorizontalOrganizationChart#1"/>
    <dgm:cxn modelId="{88FB850B-9D2F-4884-AACE-8D27052A3B8C}" type="presParOf" srcId="{76F834FB-5462-4631-B5F0-034E14671E3D}" destId="{CA88F2C0-C3A5-40E8-BFC9-E09E8314518D}" srcOrd="0" destOrd="0" presId="urn:microsoft.com/office/officeart/2009/3/layout/HorizontalOrganizationChart#1"/>
    <dgm:cxn modelId="{AC67FE02-7D2A-480B-B73D-8DA9E03B282A}" type="presParOf" srcId="{CA88F2C0-C3A5-40E8-BFC9-E09E8314518D}" destId="{DC4A4602-5F41-4F53-8D18-14B5125F5745}" srcOrd="0" destOrd="0" presId="urn:microsoft.com/office/officeart/2009/3/layout/HorizontalOrganizationChart#1"/>
    <dgm:cxn modelId="{F729A86E-CB2F-4DAF-A68F-13E2F75086E2}" type="presParOf" srcId="{CA88F2C0-C3A5-40E8-BFC9-E09E8314518D}" destId="{39856935-23BC-4967-818C-239D76DCB74A}" srcOrd="1" destOrd="0" presId="urn:microsoft.com/office/officeart/2009/3/layout/HorizontalOrganizationChart#1"/>
    <dgm:cxn modelId="{FF4C8B45-EC53-4D47-A224-7C2A15CF45FC}" type="presParOf" srcId="{76F834FB-5462-4631-B5F0-034E14671E3D}" destId="{559CDD22-8CA0-4BF7-BC3C-6BDF838A1786}" srcOrd="1" destOrd="0" presId="urn:microsoft.com/office/officeart/2009/3/layout/HorizontalOrganizationChart#1"/>
    <dgm:cxn modelId="{B5F2C778-3F98-4F16-A6C2-0FA036B7D52A}" type="presParOf" srcId="{76F834FB-5462-4631-B5F0-034E14671E3D}" destId="{9D145859-1204-47CA-B91D-293C24BD159C}" srcOrd="2" destOrd="0" presId="urn:microsoft.com/office/officeart/2009/3/layout/HorizontalOrganizationChart#1"/>
    <dgm:cxn modelId="{2585FC32-9883-4712-A1AB-D2775208CB80}" type="presParOf" srcId="{A09FB50D-46B5-4201-8A4C-B0B7D805DCF2}" destId="{FEE118BF-8844-49F4-898D-913B44408CAE}" srcOrd="2" destOrd="0" presId="urn:microsoft.com/office/officeart/2009/3/layout/HorizontalOrganizationChart#1"/>
    <dgm:cxn modelId="{331BCF65-E9D2-4CFE-AC66-EBEC17CABBED}" type="presParOf" srcId="{29EA57E6-108A-42D4-A13D-322070D58BBA}" destId="{2AADFBD6-EC27-42CE-AA7E-C86CDCE2E83F}" srcOrd="2" destOrd="0" presId="urn:microsoft.com/office/officeart/2009/3/layout/HorizontalOrganizationChart#1"/>
    <dgm:cxn modelId="{9C9CCF63-5F08-4926-9A95-76A1981B14D5}" type="presParOf" srcId="{29EA57E6-108A-42D4-A13D-322070D58BBA}" destId="{B768CFD8-3718-4DA4-8C95-10D2B3BDBD53}" srcOrd="3" destOrd="0" presId="urn:microsoft.com/office/officeart/2009/3/layout/HorizontalOrganizationChart#1"/>
    <dgm:cxn modelId="{29BB6090-9177-475A-B3D9-EB223783F097}" type="presParOf" srcId="{B768CFD8-3718-4DA4-8C95-10D2B3BDBD53}" destId="{0973F3D2-9669-43ED-AE31-2D0E4456ACF1}" srcOrd="0" destOrd="0" presId="urn:microsoft.com/office/officeart/2009/3/layout/HorizontalOrganizationChart#1"/>
    <dgm:cxn modelId="{5D4AC349-D376-4CA7-9A07-60223A087E40}" type="presParOf" srcId="{0973F3D2-9669-43ED-AE31-2D0E4456ACF1}" destId="{6A32262C-6B44-4D78-A3BC-85AF6D1E6417}" srcOrd="0" destOrd="0" presId="urn:microsoft.com/office/officeart/2009/3/layout/HorizontalOrganizationChart#1"/>
    <dgm:cxn modelId="{AD0F3CD2-4F29-4BB7-8117-33FA44DD2638}" type="presParOf" srcId="{0973F3D2-9669-43ED-AE31-2D0E4456ACF1}" destId="{894D9896-0975-4B08-BB6A-551BC672A2CE}" srcOrd="1" destOrd="0" presId="urn:microsoft.com/office/officeart/2009/3/layout/HorizontalOrganizationChart#1"/>
    <dgm:cxn modelId="{619A4DA8-51ED-407C-A5DD-0185739BB302}" type="presParOf" srcId="{B768CFD8-3718-4DA4-8C95-10D2B3BDBD53}" destId="{362ADA8B-AD95-4FF5-B6AB-1F5B2EACE410}" srcOrd="1" destOrd="0" presId="urn:microsoft.com/office/officeart/2009/3/layout/HorizontalOrganizationChart#1"/>
    <dgm:cxn modelId="{E0844EAE-7E9B-437D-B493-C1E3EBE373FB}" type="presParOf" srcId="{B768CFD8-3718-4DA4-8C95-10D2B3BDBD53}" destId="{D8ABC972-0C6F-4609-B730-AC9F5A28C2B5}" srcOrd="2" destOrd="0" presId="urn:microsoft.com/office/officeart/2009/3/layout/HorizontalOrganizationChart#1"/>
    <dgm:cxn modelId="{0161EE93-5997-4ECC-A959-8DA57584A823}" type="presParOf" srcId="{A7EF2BDF-583B-479F-ACD8-ACD8F33AE170}" destId="{2C0975DD-8FE2-447D-BE66-BD44C322E2D0}" srcOrd="2" destOrd="0" presId="urn:microsoft.com/office/officeart/2009/3/layout/HorizontalOrganizationChart#1"/>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xmlns:r="http://schemas.openxmlformats.org/officeDocument/2006/relationships">
  <dsp:spTree>
    <dsp:nvGrpSpPr>
      <dsp:cNvPr id="2" name="组合 1"/>
      <dsp:cNvGrpSpPr/>
    </dsp:nvGrpSpPr>
    <dsp:grpSpPr>
      <a:xfrm>
        <a:off x="0" y="0"/>
        <a:ext cx="5024755" cy="1800225"/>
        <a:chOff x="0" y="0"/>
        <a:chExt cx="5024755" cy="1800225"/>
      </a:xfrm>
    </dsp:grpSpPr>
    <dsp:sp modelId="{666863C3-48F3-43DA-91EC-FC9BC3F51DBF}">
      <dsp:nvSpPr>
        <dsp:cNvPr id="5" name="任意多边形 4"/>
        <dsp:cNvSpPr/>
      </dsp:nvSpPr>
      <dsp:spPr bwMode="white">
        <a:xfrm>
          <a:off x="1722310" y="900113"/>
          <a:ext cx="225734" cy="242664"/>
        </a:xfrm>
        <a:custGeom>
          <a:avLst/>
          <a:gdLst/>
          <a:ahLst/>
          <a:cxnLst/>
          <a:pathLst>
            <a:path w="355" h="382">
              <a:moveTo>
                <a:pt x="0" y="382"/>
              </a:moveTo>
              <a:lnTo>
                <a:pt x="244" y="382"/>
              </a:lnTo>
              <a:lnTo>
                <a:pt x="244" y="0"/>
              </a:lnTo>
              <a:lnTo>
                <a:pt x="355" y="0"/>
              </a:lnTo>
            </a:path>
          </a:pathLst>
        </a:custGeom>
      </dsp:spPr>
      <dsp:style>
        <a:lnRef idx="2">
          <a:schemeClr val="accent1">
            <a:shade val="60000"/>
          </a:schemeClr>
        </a:lnRef>
        <a:fillRef idx="0">
          <a:schemeClr val="accent1"/>
        </a:fillRef>
        <a:effectRef idx="0">
          <a:scrgbClr r="0" g="0" b="0"/>
        </a:effectRef>
        <a:fontRef idx="minor"/>
      </dsp:style>
      <dsp:txXfrm>
        <a:off x="1722310" y="900113"/>
        <a:ext cx="225734" cy="242664"/>
      </dsp:txXfrm>
    </dsp:sp>
    <dsp:sp modelId="{C4F17FA9-9501-4322-8CE3-8BF6E6DBE01F}">
      <dsp:nvSpPr>
        <dsp:cNvPr id="8" name="任意多边形 7"/>
        <dsp:cNvSpPr/>
      </dsp:nvSpPr>
      <dsp:spPr bwMode="white">
        <a:xfrm>
          <a:off x="3076711" y="172122"/>
          <a:ext cx="225734" cy="727991"/>
        </a:xfrm>
        <a:custGeom>
          <a:avLst/>
          <a:gdLst/>
          <a:ahLst/>
          <a:cxnLst/>
          <a:pathLst>
            <a:path w="355" h="1146">
              <a:moveTo>
                <a:pt x="0" y="1146"/>
              </a:moveTo>
              <a:lnTo>
                <a:pt x="244" y="1146"/>
              </a:lnTo>
              <a:lnTo>
                <a:pt x="244" y="0"/>
              </a:lnTo>
              <a:lnTo>
                <a:pt x="355" y="0"/>
              </a:lnTo>
            </a:path>
          </a:pathLst>
        </a:custGeom>
      </dsp:spPr>
      <dsp:style>
        <a:lnRef idx="2">
          <a:schemeClr val="accent1">
            <a:shade val="80000"/>
          </a:schemeClr>
        </a:lnRef>
        <a:fillRef idx="0">
          <a:schemeClr val="accent1"/>
        </a:fillRef>
        <a:effectRef idx="0">
          <a:scrgbClr r="0" g="0" b="0"/>
        </a:effectRef>
        <a:fontRef idx="minor"/>
      </dsp:style>
      <dsp:txXfrm>
        <a:off x="3076711" y="172122"/>
        <a:ext cx="225734" cy="727991"/>
      </dsp:txXfrm>
    </dsp:sp>
    <dsp:sp modelId="{7E4EEF8A-1868-4A8A-A840-CF946EED41A1}">
      <dsp:nvSpPr>
        <dsp:cNvPr id="11" name="任意多边形 10"/>
        <dsp:cNvSpPr/>
      </dsp:nvSpPr>
      <dsp:spPr bwMode="white">
        <a:xfrm>
          <a:off x="3076711" y="657449"/>
          <a:ext cx="225734" cy="242664"/>
        </a:xfrm>
        <a:custGeom>
          <a:avLst/>
          <a:gdLst/>
          <a:ahLst/>
          <a:cxnLst/>
          <a:pathLst>
            <a:path w="355" h="382">
              <a:moveTo>
                <a:pt x="0" y="382"/>
              </a:moveTo>
              <a:lnTo>
                <a:pt x="244" y="382"/>
              </a:lnTo>
              <a:lnTo>
                <a:pt x="244" y="0"/>
              </a:lnTo>
              <a:lnTo>
                <a:pt x="355" y="0"/>
              </a:lnTo>
            </a:path>
          </a:pathLst>
        </a:custGeom>
      </dsp:spPr>
      <dsp:style>
        <a:lnRef idx="2">
          <a:schemeClr val="accent1">
            <a:shade val="80000"/>
          </a:schemeClr>
        </a:lnRef>
        <a:fillRef idx="0">
          <a:schemeClr val="accent1"/>
        </a:fillRef>
        <a:effectRef idx="0">
          <a:scrgbClr r="0" g="0" b="0"/>
        </a:effectRef>
        <a:fontRef idx="minor"/>
      </dsp:style>
      <dsp:txXfrm>
        <a:off x="3076711" y="657449"/>
        <a:ext cx="225734" cy="242664"/>
      </dsp:txXfrm>
    </dsp:sp>
    <dsp:sp modelId="{761F9231-9078-4BFF-ADBE-D116A19E3F88}">
      <dsp:nvSpPr>
        <dsp:cNvPr id="14" name="任意多边形 13"/>
        <dsp:cNvSpPr/>
      </dsp:nvSpPr>
      <dsp:spPr bwMode="white">
        <a:xfrm>
          <a:off x="3076711" y="900113"/>
          <a:ext cx="225734" cy="242664"/>
        </a:xfrm>
        <a:custGeom>
          <a:avLst/>
          <a:gdLst/>
          <a:ahLst/>
          <a:cxnLst/>
          <a:pathLst>
            <a:path w="355" h="382">
              <a:moveTo>
                <a:pt x="0" y="0"/>
              </a:moveTo>
              <a:lnTo>
                <a:pt x="244" y="0"/>
              </a:lnTo>
              <a:lnTo>
                <a:pt x="244" y="382"/>
              </a:lnTo>
              <a:lnTo>
                <a:pt x="355" y="382"/>
              </a:lnTo>
            </a:path>
          </a:pathLst>
        </a:custGeom>
      </dsp:spPr>
      <dsp:style>
        <a:lnRef idx="2">
          <a:schemeClr val="accent1">
            <a:shade val="80000"/>
          </a:schemeClr>
        </a:lnRef>
        <a:fillRef idx="0">
          <a:schemeClr val="accent1"/>
        </a:fillRef>
        <a:effectRef idx="0">
          <a:scrgbClr r="0" g="0" b="0"/>
        </a:effectRef>
        <a:fontRef idx="minor"/>
      </dsp:style>
      <dsp:txXfrm>
        <a:off x="3076711" y="900113"/>
        <a:ext cx="225734" cy="242664"/>
      </dsp:txXfrm>
    </dsp:sp>
    <dsp:sp modelId="{1E871256-EB9E-4EFE-98BC-805A680FE894}">
      <dsp:nvSpPr>
        <dsp:cNvPr id="17" name="任意多边形 16"/>
        <dsp:cNvSpPr/>
      </dsp:nvSpPr>
      <dsp:spPr bwMode="white">
        <a:xfrm>
          <a:off x="3076711" y="900113"/>
          <a:ext cx="225734" cy="727991"/>
        </a:xfrm>
        <a:custGeom>
          <a:avLst/>
          <a:gdLst/>
          <a:ahLst/>
          <a:cxnLst/>
          <a:pathLst>
            <a:path w="355" h="1146">
              <a:moveTo>
                <a:pt x="0" y="0"/>
              </a:moveTo>
              <a:lnTo>
                <a:pt x="244" y="0"/>
              </a:lnTo>
              <a:lnTo>
                <a:pt x="244" y="1146"/>
              </a:lnTo>
              <a:lnTo>
                <a:pt x="355" y="1146"/>
              </a:lnTo>
            </a:path>
          </a:pathLst>
        </a:custGeom>
      </dsp:spPr>
      <dsp:style>
        <a:lnRef idx="2">
          <a:schemeClr val="accent1">
            <a:shade val="80000"/>
          </a:schemeClr>
        </a:lnRef>
        <a:fillRef idx="0">
          <a:schemeClr val="accent1"/>
        </a:fillRef>
        <a:effectRef idx="0">
          <a:scrgbClr r="0" g="0" b="0"/>
        </a:effectRef>
        <a:fontRef idx="minor"/>
      </dsp:style>
      <dsp:txXfrm>
        <a:off x="3076711" y="900113"/>
        <a:ext cx="225734" cy="727991"/>
      </dsp:txXfrm>
    </dsp:sp>
    <dsp:sp modelId="{2AADFBD6-EC27-42CE-AA7E-C86CDCE2E83F}">
      <dsp:nvSpPr>
        <dsp:cNvPr id="20" name="任意多边形 19"/>
        <dsp:cNvSpPr/>
      </dsp:nvSpPr>
      <dsp:spPr bwMode="white">
        <a:xfrm>
          <a:off x="1722310" y="1142776"/>
          <a:ext cx="225734" cy="242664"/>
        </a:xfrm>
        <a:custGeom>
          <a:avLst/>
          <a:gdLst/>
          <a:ahLst/>
          <a:cxnLst/>
          <a:pathLst>
            <a:path w="355" h="382">
              <a:moveTo>
                <a:pt x="0" y="0"/>
              </a:moveTo>
              <a:lnTo>
                <a:pt x="244" y="0"/>
              </a:lnTo>
              <a:lnTo>
                <a:pt x="244" y="382"/>
              </a:lnTo>
              <a:lnTo>
                <a:pt x="355" y="382"/>
              </a:lnTo>
            </a:path>
          </a:pathLst>
        </a:custGeom>
      </dsp:spPr>
      <dsp:style>
        <a:lnRef idx="2">
          <a:schemeClr val="accent1">
            <a:shade val="60000"/>
          </a:schemeClr>
        </a:lnRef>
        <a:fillRef idx="0">
          <a:schemeClr val="accent1"/>
        </a:fillRef>
        <a:effectRef idx="0">
          <a:scrgbClr r="0" g="0" b="0"/>
        </a:effectRef>
        <a:fontRef idx="minor"/>
      </dsp:style>
      <dsp:txXfrm>
        <a:off x="1722310" y="1142776"/>
        <a:ext cx="225734" cy="242664"/>
      </dsp:txXfrm>
    </dsp:sp>
    <dsp:sp modelId="{D95B8104-72B0-4F24-BCB1-3EB50F79AAA2}">
      <dsp:nvSpPr>
        <dsp:cNvPr id="3" name="矩形 2"/>
        <dsp:cNvSpPr/>
      </dsp:nvSpPr>
      <dsp:spPr bwMode="white">
        <a:xfrm>
          <a:off x="593642" y="970654"/>
          <a:ext cx="1128668" cy="344244"/>
        </a:xfrm>
        <a:prstGeom prst="rect">
          <a:avLst/>
        </a:prstGeom>
      </dsp:spPr>
      <dsp:style>
        <a:lnRef idx="2">
          <a:schemeClr val="lt1"/>
        </a:lnRef>
        <a:fillRef idx="1">
          <a:schemeClr val="accent1"/>
        </a:fillRef>
        <a:effectRef idx="0">
          <a:scrgbClr r="0" g="0" b="0"/>
        </a:effectRef>
        <a:fontRef idx="minor">
          <a:schemeClr val="lt1"/>
        </a:fontRef>
      </dsp:style>
      <dsp:txBody>
        <a:bodyPr lIns="7620" tIns="7620" rIns="7620" bIns="7620"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nSpc>
              <a:spcPct val="100000"/>
            </a:lnSpc>
            <a:spcBef>
              <a:spcPct val="0"/>
            </a:spcBef>
            <a:spcAft>
              <a:spcPct val="35000"/>
            </a:spcAft>
          </a:pPr>
          <a:r>
            <a:rPr lang="zh-CN" altLang="en-US" sz="1200">
              <a:latin typeface="宋体" panose="02010600030101010101" charset="-122"/>
              <a:ea typeface="宋体" panose="02010600030101010101" charset="-122"/>
            </a:rPr>
            <a:t>项目总投资</a:t>
          </a:r>
        </a:p>
      </dsp:txBody>
      <dsp:txXfrm>
        <a:off x="593642" y="970654"/>
        <a:ext cx="1128668" cy="344244"/>
      </dsp:txXfrm>
    </dsp:sp>
    <dsp:sp modelId="{5EF51FDA-D37B-4092-B1B9-987A89754ED3}">
      <dsp:nvSpPr>
        <dsp:cNvPr id="6" name="矩形 5"/>
        <dsp:cNvSpPr/>
      </dsp:nvSpPr>
      <dsp:spPr bwMode="white">
        <a:xfrm>
          <a:off x="1948044" y="727991"/>
          <a:ext cx="1128668" cy="344244"/>
        </a:xfrm>
        <a:prstGeom prst="rect">
          <a:avLst/>
        </a:prstGeom>
      </dsp:spPr>
      <dsp:style>
        <a:lnRef idx="2">
          <a:schemeClr val="lt1"/>
        </a:lnRef>
        <a:fillRef idx="1">
          <a:schemeClr val="accent1"/>
        </a:fillRef>
        <a:effectRef idx="0">
          <a:scrgbClr r="0" g="0" b="0"/>
        </a:effectRef>
        <a:fontRef idx="minor">
          <a:schemeClr val="lt1"/>
        </a:fontRef>
      </dsp:style>
      <dsp:txBody>
        <a:bodyPr lIns="7620" tIns="7620" rIns="7620" bIns="7620"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nSpc>
              <a:spcPct val="100000"/>
            </a:lnSpc>
            <a:spcBef>
              <a:spcPct val="0"/>
            </a:spcBef>
            <a:spcAft>
              <a:spcPct val="35000"/>
            </a:spcAft>
          </a:pPr>
          <a:r>
            <a:rPr lang="zh-CN" altLang="en-US" sz="1200">
              <a:latin typeface="宋体" panose="02010600030101010101" charset="-122"/>
              <a:ea typeface="宋体" panose="02010600030101010101" charset="-122"/>
            </a:rPr>
            <a:t>建设投资</a:t>
          </a:r>
        </a:p>
      </dsp:txBody>
      <dsp:txXfrm>
        <a:off x="1948044" y="727991"/>
        <a:ext cx="1128668" cy="344244"/>
      </dsp:txXfrm>
    </dsp:sp>
    <dsp:sp modelId="{69235A9E-0639-4A5B-AEE3-64A0F54FE535}">
      <dsp:nvSpPr>
        <dsp:cNvPr id="9" name="矩形 8"/>
        <dsp:cNvSpPr/>
      </dsp:nvSpPr>
      <dsp:spPr bwMode="white">
        <a:xfrm>
          <a:off x="3302445" y="0"/>
          <a:ext cx="1128668" cy="344244"/>
        </a:xfrm>
        <a:prstGeom prst="rect">
          <a:avLst/>
        </a:prstGeom>
      </dsp:spPr>
      <dsp:style>
        <a:lnRef idx="2">
          <a:schemeClr val="lt1"/>
        </a:lnRef>
        <a:fillRef idx="1">
          <a:schemeClr val="accent1"/>
        </a:fillRef>
        <a:effectRef idx="0">
          <a:scrgbClr r="0" g="0" b="0"/>
        </a:effectRef>
        <a:fontRef idx="minor">
          <a:schemeClr val="lt1"/>
        </a:fontRef>
      </dsp:style>
      <dsp:txBody>
        <a:bodyPr lIns="7620" tIns="7620" rIns="7620" bIns="7620"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nSpc>
              <a:spcPct val="100000"/>
            </a:lnSpc>
            <a:spcBef>
              <a:spcPct val="0"/>
            </a:spcBef>
            <a:spcAft>
              <a:spcPct val="35000"/>
            </a:spcAft>
          </a:pPr>
          <a:r>
            <a:rPr lang="zh-CN" altLang="en-US" sz="1200">
              <a:latin typeface="宋体" panose="02010600030101010101" charset="-122"/>
              <a:ea typeface="宋体" panose="02010600030101010101" charset="-122"/>
            </a:rPr>
            <a:t>控制中心建设费</a:t>
          </a:r>
        </a:p>
      </dsp:txBody>
      <dsp:txXfrm>
        <a:off x="3302445" y="0"/>
        <a:ext cx="1128668" cy="344244"/>
      </dsp:txXfrm>
    </dsp:sp>
    <dsp:sp modelId="{CB2FA626-D178-4297-886D-ED6AFE4F0350}">
      <dsp:nvSpPr>
        <dsp:cNvPr id="12" name="矩形 11"/>
        <dsp:cNvSpPr/>
      </dsp:nvSpPr>
      <dsp:spPr bwMode="white">
        <a:xfrm>
          <a:off x="3302445" y="485327"/>
          <a:ext cx="1128668" cy="344244"/>
        </a:xfrm>
        <a:prstGeom prst="rect">
          <a:avLst/>
        </a:prstGeom>
      </dsp:spPr>
      <dsp:style>
        <a:lnRef idx="2">
          <a:schemeClr val="lt1"/>
        </a:lnRef>
        <a:fillRef idx="1">
          <a:schemeClr val="accent1"/>
        </a:fillRef>
        <a:effectRef idx="0">
          <a:scrgbClr r="0" g="0" b="0"/>
        </a:effectRef>
        <a:fontRef idx="minor">
          <a:schemeClr val="lt1"/>
        </a:fontRef>
      </dsp:style>
      <dsp:txBody>
        <a:bodyPr lIns="7620" tIns="7620" rIns="7620" bIns="7620"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nSpc>
              <a:spcPct val="100000"/>
            </a:lnSpc>
            <a:spcBef>
              <a:spcPct val="0"/>
            </a:spcBef>
            <a:spcAft>
              <a:spcPct val="35000"/>
            </a:spcAft>
          </a:pPr>
          <a:r>
            <a:rPr lang="zh-CN" altLang="en-US" sz="1200">
              <a:latin typeface="宋体" panose="02010600030101010101" charset="-122"/>
              <a:ea typeface="宋体" panose="02010600030101010101" charset="-122"/>
            </a:rPr>
            <a:t>工程建设费</a:t>
          </a:r>
          <a:endParaRPr lang="en-US" altLang="zh-CN" sz="1200">
            <a:latin typeface="宋体" panose="02010600030101010101" charset="-122"/>
            <a:ea typeface="宋体" panose="02010600030101010101" charset="-122"/>
          </a:endParaRPr>
        </a:p>
      </dsp:txBody>
      <dsp:txXfrm>
        <a:off x="3302445" y="485327"/>
        <a:ext cx="1128668" cy="344244"/>
      </dsp:txXfrm>
    </dsp:sp>
    <dsp:sp modelId="{C1D81B95-7D4B-463E-9AC1-8DCDF70B1170}">
      <dsp:nvSpPr>
        <dsp:cNvPr id="15" name="矩形 14"/>
        <dsp:cNvSpPr/>
      </dsp:nvSpPr>
      <dsp:spPr bwMode="white">
        <a:xfrm>
          <a:off x="3302445" y="970654"/>
          <a:ext cx="1128668" cy="344244"/>
        </a:xfrm>
        <a:prstGeom prst="rect">
          <a:avLst/>
        </a:prstGeom>
      </dsp:spPr>
      <dsp:style>
        <a:lnRef idx="2">
          <a:schemeClr val="lt1"/>
        </a:lnRef>
        <a:fillRef idx="1">
          <a:schemeClr val="accent1"/>
        </a:fillRef>
        <a:effectRef idx="0">
          <a:scrgbClr r="0" g="0" b="0"/>
        </a:effectRef>
        <a:fontRef idx="minor">
          <a:schemeClr val="lt1"/>
        </a:fontRef>
      </dsp:style>
      <dsp:txBody>
        <a:bodyPr lIns="7620" tIns="7620" rIns="7620" bIns="7620"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nSpc>
              <a:spcPct val="100000"/>
            </a:lnSpc>
            <a:spcBef>
              <a:spcPct val="0"/>
            </a:spcBef>
            <a:spcAft>
              <a:spcPct val="35000"/>
            </a:spcAft>
          </a:pPr>
          <a:r>
            <a:rPr lang="zh-CN" altLang="en-US" sz="1200">
              <a:latin typeface="宋体" panose="02010600030101010101" charset="-122"/>
              <a:ea typeface="宋体" panose="02010600030101010101" charset="-122"/>
            </a:rPr>
            <a:t>工程建设其它费用</a:t>
          </a:r>
          <a:endParaRPr lang="en-US" altLang="zh-CN" sz="1200">
            <a:latin typeface="宋体" panose="02010600030101010101" charset="-122"/>
            <a:ea typeface="宋体" panose="02010600030101010101" charset="-122"/>
          </a:endParaRPr>
        </a:p>
      </dsp:txBody>
      <dsp:txXfrm>
        <a:off x="3302445" y="970654"/>
        <a:ext cx="1128668" cy="344244"/>
      </dsp:txXfrm>
    </dsp:sp>
    <dsp:sp modelId="{DC4A4602-5F41-4F53-8D18-14B5125F5745}">
      <dsp:nvSpPr>
        <dsp:cNvPr id="18" name="矩形 17"/>
        <dsp:cNvSpPr/>
      </dsp:nvSpPr>
      <dsp:spPr bwMode="white">
        <a:xfrm>
          <a:off x="3302445" y="1455981"/>
          <a:ext cx="1128668" cy="344244"/>
        </a:xfrm>
        <a:prstGeom prst="rect">
          <a:avLst/>
        </a:prstGeom>
      </dsp:spPr>
      <dsp:style>
        <a:lnRef idx="2">
          <a:schemeClr val="lt1"/>
        </a:lnRef>
        <a:fillRef idx="1">
          <a:schemeClr val="accent1"/>
        </a:fillRef>
        <a:effectRef idx="0">
          <a:scrgbClr r="0" g="0" b="0"/>
        </a:effectRef>
        <a:fontRef idx="minor">
          <a:schemeClr val="lt1"/>
        </a:fontRef>
      </dsp:style>
      <dsp:txBody>
        <a:bodyPr lIns="7620" tIns="7620" rIns="7620" bIns="7620"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nSpc>
              <a:spcPct val="100000"/>
            </a:lnSpc>
            <a:spcBef>
              <a:spcPct val="0"/>
            </a:spcBef>
            <a:spcAft>
              <a:spcPct val="35000"/>
            </a:spcAft>
          </a:pPr>
          <a:r>
            <a:rPr lang="zh-CN" altLang="en-US" sz="1200">
              <a:latin typeface="宋体" panose="02010600030101010101" charset="-122"/>
              <a:ea typeface="宋体" panose="02010600030101010101" charset="-122"/>
            </a:rPr>
            <a:t>预备费用</a:t>
          </a:r>
          <a:endParaRPr lang="en-US" altLang="zh-CN" sz="1200">
            <a:latin typeface="宋体" panose="02010600030101010101" charset="-122"/>
            <a:ea typeface="宋体" panose="02010600030101010101" charset="-122"/>
          </a:endParaRPr>
        </a:p>
      </dsp:txBody>
      <dsp:txXfrm>
        <a:off x="3302445" y="1455981"/>
        <a:ext cx="1128668" cy="344244"/>
      </dsp:txXfrm>
    </dsp:sp>
    <dsp:sp modelId="{6A32262C-6B44-4D78-A3BC-85AF6D1E6417}">
      <dsp:nvSpPr>
        <dsp:cNvPr id="21" name="矩形 20"/>
        <dsp:cNvSpPr/>
      </dsp:nvSpPr>
      <dsp:spPr bwMode="white">
        <a:xfrm>
          <a:off x="1948044" y="1213318"/>
          <a:ext cx="1128668" cy="344244"/>
        </a:xfrm>
        <a:prstGeom prst="rect">
          <a:avLst/>
        </a:prstGeom>
      </dsp:spPr>
      <dsp:style>
        <a:lnRef idx="2">
          <a:schemeClr val="lt1"/>
        </a:lnRef>
        <a:fillRef idx="1">
          <a:schemeClr val="accent1"/>
        </a:fillRef>
        <a:effectRef idx="0">
          <a:scrgbClr r="0" g="0" b="0"/>
        </a:effectRef>
        <a:fontRef idx="minor">
          <a:schemeClr val="lt1"/>
        </a:fontRef>
      </dsp:style>
      <dsp:txBody>
        <a:bodyPr lIns="7620" tIns="7620" rIns="7620" bIns="7620"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nSpc>
              <a:spcPct val="100000"/>
            </a:lnSpc>
            <a:spcBef>
              <a:spcPct val="0"/>
            </a:spcBef>
            <a:spcAft>
              <a:spcPct val="35000"/>
            </a:spcAft>
          </a:pPr>
          <a:r>
            <a:rPr lang="zh-CN" altLang="en-US" sz="1200">
              <a:latin typeface="宋体" panose="02010600030101010101" charset="-122"/>
              <a:ea typeface="宋体" panose="02010600030101010101" charset="-122"/>
            </a:rPr>
            <a:t>运营费</a:t>
          </a:r>
        </a:p>
      </dsp:txBody>
      <dsp:txXfrm>
        <a:off x="1948044" y="1213318"/>
        <a:ext cx="1128668" cy="344244"/>
      </dsp:txXfrm>
    </dsp:sp>
    <dsp:sp modelId="{075EE492-AEF3-4C27-AB3B-090DB0854BDB}">
      <dsp:nvSpPr>
        <dsp:cNvPr id="4" name="矩形 3" hidden="1"/>
        <dsp:cNvSpPr/>
      </dsp:nvSpPr>
      <dsp:spPr bwMode="white">
        <a:xfrm>
          <a:off x="593642" y="970654"/>
          <a:ext cx="225734" cy="344244"/>
        </a:xfrm>
        <a:prstGeom prst="rect">
          <a:avLst/>
        </a:prstGeom>
      </dsp:spPr>
      <dsp:style>
        <a:lnRef idx="2">
          <a:schemeClr val="lt1"/>
        </a:lnRef>
        <a:fillRef idx="1">
          <a:schemeClr val="accent1"/>
        </a:fillRef>
        <a:effectRef idx="0">
          <a:scrgbClr r="0" g="0" b="0"/>
        </a:effectRef>
        <a:fontRef idx="minor">
          <a:schemeClr val="lt1"/>
        </a:fontRef>
      </dsp:style>
      <dsp:txXfrm>
        <a:off x="593642" y="970654"/>
        <a:ext cx="225734" cy="344244"/>
      </dsp:txXfrm>
    </dsp:sp>
    <dsp:sp modelId="{06977B8D-754D-4272-B18A-3DE5B6036651}">
      <dsp:nvSpPr>
        <dsp:cNvPr id="7" name="矩形 6" hidden="1"/>
        <dsp:cNvSpPr/>
      </dsp:nvSpPr>
      <dsp:spPr bwMode="white">
        <a:xfrm>
          <a:off x="1948044" y="727991"/>
          <a:ext cx="225734" cy="344244"/>
        </a:xfrm>
        <a:prstGeom prst="rect">
          <a:avLst/>
        </a:prstGeom>
      </dsp:spPr>
      <dsp:style>
        <a:lnRef idx="2">
          <a:schemeClr val="lt1"/>
        </a:lnRef>
        <a:fillRef idx="1">
          <a:schemeClr val="accent1"/>
        </a:fillRef>
        <a:effectRef idx="0">
          <a:scrgbClr r="0" g="0" b="0"/>
        </a:effectRef>
        <a:fontRef idx="minor">
          <a:schemeClr val="lt1"/>
        </a:fontRef>
      </dsp:style>
      <dsp:txXfrm>
        <a:off x="1948044" y="727991"/>
        <a:ext cx="225734" cy="344244"/>
      </dsp:txXfrm>
    </dsp:sp>
    <dsp:sp modelId="{B0E7110E-CA94-4C14-9E40-216CDF76A27B}">
      <dsp:nvSpPr>
        <dsp:cNvPr id="10" name="矩形 9" hidden="1"/>
        <dsp:cNvSpPr/>
      </dsp:nvSpPr>
      <dsp:spPr bwMode="white">
        <a:xfrm>
          <a:off x="3302445" y="0"/>
          <a:ext cx="225734" cy="344244"/>
        </a:xfrm>
        <a:prstGeom prst="rect">
          <a:avLst/>
        </a:prstGeom>
      </dsp:spPr>
      <dsp:style>
        <a:lnRef idx="2">
          <a:schemeClr val="lt1"/>
        </a:lnRef>
        <a:fillRef idx="1">
          <a:schemeClr val="accent1"/>
        </a:fillRef>
        <a:effectRef idx="0">
          <a:scrgbClr r="0" g="0" b="0"/>
        </a:effectRef>
        <a:fontRef idx="minor">
          <a:schemeClr val="lt1"/>
        </a:fontRef>
      </dsp:style>
      <dsp:txXfrm>
        <a:off x="3302445" y="0"/>
        <a:ext cx="225734" cy="344244"/>
      </dsp:txXfrm>
    </dsp:sp>
    <dsp:sp modelId="{B73F166A-883F-407F-82B5-2E8669543F1D}">
      <dsp:nvSpPr>
        <dsp:cNvPr id="13" name="矩形 12" hidden="1"/>
        <dsp:cNvSpPr/>
      </dsp:nvSpPr>
      <dsp:spPr bwMode="white">
        <a:xfrm>
          <a:off x="3302445" y="485327"/>
          <a:ext cx="225734" cy="344244"/>
        </a:xfrm>
        <a:prstGeom prst="rect">
          <a:avLst/>
        </a:prstGeom>
      </dsp:spPr>
      <dsp:style>
        <a:lnRef idx="2">
          <a:schemeClr val="lt1"/>
        </a:lnRef>
        <a:fillRef idx="1">
          <a:schemeClr val="accent1"/>
        </a:fillRef>
        <a:effectRef idx="0">
          <a:scrgbClr r="0" g="0" b="0"/>
        </a:effectRef>
        <a:fontRef idx="minor">
          <a:schemeClr val="lt1"/>
        </a:fontRef>
      </dsp:style>
      <dsp:txXfrm>
        <a:off x="3302445" y="485327"/>
        <a:ext cx="225734" cy="344244"/>
      </dsp:txXfrm>
    </dsp:sp>
    <dsp:sp modelId="{75EA3333-16B0-44F5-B4B5-AEBCE253D4D4}">
      <dsp:nvSpPr>
        <dsp:cNvPr id="16" name="矩形 15" hidden="1"/>
        <dsp:cNvSpPr/>
      </dsp:nvSpPr>
      <dsp:spPr bwMode="white">
        <a:xfrm>
          <a:off x="3302445" y="970654"/>
          <a:ext cx="225734" cy="344244"/>
        </a:xfrm>
        <a:prstGeom prst="rect">
          <a:avLst/>
        </a:prstGeom>
      </dsp:spPr>
      <dsp:style>
        <a:lnRef idx="2">
          <a:schemeClr val="lt1"/>
        </a:lnRef>
        <a:fillRef idx="1">
          <a:schemeClr val="accent1"/>
        </a:fillRef>
        <a:effectRef idx="0">
          <a:scrgbClr r="0" g="0" b="0"/>
        </a:effectRef>
        <a:fontRef idx="minor">
          <a:schemeClr val="lt1"/>
        </a:fontRef>
      </dsp:style>
      <dsp:txXfrm>
        <a:off x="3302445" y="970654"/>
        <a:ext cx="225734" cy="344244"/>
      </dsp:txXfrm>
    </dsp:sp>
    <dsp:sp modelId="{39856935-23BC-4967-818C-239D76DCB74A}">
      <dsp:nvSpPr>
        <dsp:cNvPr id="19" name="矩形 18" hidden="1"/>
        <dsp:cNvSpPr/>
      </dsp:nvSpPr>
      <dsp:spPr bwMode="white">
        <a:xfrm>
          <a:off x="3302445" y="1455981"/>
          <a:ext cx="225734" cy="344244"/>
        </a:xfrm>
        <a:prstGeom prst="rect">
          <a:avLst/>
        </a:prstGeom>
      </dsp:spPr>
      <dsp:style>
        <a:lnRef idx="2">
          <a:schemeClr val="lt1"/>
        </a:lnRef>
        <a:fillRef idx="1">
          <a:schemeClr val="accent1"/>
        </a:fillRef>
        <a:effectRef idx="0">
          <a:scrgbClr r="0" g="0" b="0"/>
        </a:effectRef>
        <a:fontRef idx="minor">
          <a:schemeClr val="lt1"/>
        </a:fontRef>
      </dsp:style>
      <dsp:txXfrm>
        <a:off x="3302445" y="1455981"/>
        <a:ext cx="225734" cy="344244"/>
      </dsp:txXfrm>
    </dsp:sp>
    <dsp:sp modelId="{894D9896-0975-4B08-BB6A-551BC672A2CE}">
      <dsp:nvSpPr>
        <dsp:cNvPr id="22" name="矩形 21" hidden="1"/>
        <dsp:cNvSpPr/>
      </dsp:nvSpPr>
      <dsp:spPr bwMode="white">
        <a:xfrm>
          <a:off x="1948044" y="1213318"/>
          <a:ext cx="225734" cy="344244"/>
        </a:xfrm>
        <a:prstGeom prst="rect">
          <a:avLst/>
        </a:prstGeom>
      </dsp:spPr>
      <dsp:style>
        <a:lnRef idx="2">
          <a:schemeClr val="lt1"/>
        </a:lnRef>
        <a:fillRef idx="1">
          <a:schemeClr val="accent1"/>
        </a:fillRef>
        <a:effectRef idx="0">
          <a:scrgbClr r="0" g="0" b="0"/>
        </a:effectRef>
        <a:fontRef idx="minor">
          <a:schemeClr val="lt1"/>
        </a:fontRef>
      </dsp:style>
      <dsp:txXfrm>
        <a:off x="1948044" y="1213318"/>
        <a:ext cx="225734" cy="344244"/>
      </dsp:txXfrm>
    </dsp:sp>
  </dsp:spTree>
</dsp:drawing>
</file>

<file path=word/diagrams/layout1.xml><?xml version="1.0" encoding="utf-8"?>
<dgm:layoutDef xmlns:dgm="http://schemas.openxmlformats.org/drawingml/2006/diagram" xmlns:a="http://schemas.openxmlformats.org/drawingml/2006/main" uniqueId="urn:microsoft.com/office/officeart/2009/3/layout/HorizontalOrganizationChart#1">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linDir" val="fromL"/>
                      <dgm:param type="chAlign" val="t"/>
                    </dgm:alg>
                  </dgm:if>
                  <dgm:else name="Name31">
                    <dgm:alg type="hierChild">
                      <dgm:param type="linDir" val="fromR"/>
                      <dgm:param type="chAlign" val="t"/>
                    </dgm:alg>
                  </dgm:else>
                </dgm:choose>
              </dgm:if>
              <dgm:if name="Name32" func="var" arg="hierBranch" op="equ" val="r">
                <dgm:choose name="Name33">
                  <dgm:if name="Name34" func="var" arg="dir" op="equ" val="norm">
                    <dgm:alg type="hierChild">
                      <dgm:param type="linDir" val="fromL"/>
                      <dgm:param type="chAlign" val="b"/>
                    </dgm:alg>
                  </dgm:if>
                  <dgm:else name="Name35">
                    <dgm:alg type="hierChild">
                      <dgm:param type="linDir" val="fromR"/>
                      <dgm:param type="chAlign" val="b"/>
                    </dgm:alg>
                  </dgm:else>
                </dgm:choose>
              </dgm:if>
              <dgm:if name="Name36" func="var" arg="hierBranch" op="equ" val="hang">
                <dgm:choose name="Name37">
                  <dgm:if name="Name38" func="var" arg="dir" op="equ" val="norm">
                    <dgm:alg type="hierChild">
                      <dgm:param type="linDir" val="fromT"/>
                      <dgm:param type="chAlign" val="l"/>
                      <dgm:param type="secLinDir" val="fromL"/>
                      <dgm:param type="secChAlign" val="t"/>
                    </dgm:alg>
                  </dgm:if>
                  <dgm:else name="Name39">
                    <dgm:alg type="hierChild">
                      <dgm:param type="linDir" val="fromT"/>
                      <dgm:param type="chAlign" val="r"/>
                      <dgm:param type="secLinDir" val="fromR"/>
                      <dgm:param type="secChAlign" val="t"/>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dim" val="1D"/>
                            <dgm:param type="endSty" val="noArr"/>
                            <dgm:param type="connRout" val="bend"/>
                            <dgm:param type="begPts" val="midR"/>
                            <dgm:param type="endPts" val="bCtr tCtr"/>
                          </dgm:alg>
                        </dgm:if>
                        <dgm:else name="Name50">
                          <dgm:alg type="conn">
                            <dgm:param type="dim" val="1D"/>
                            <dgm:param type="endSty" val="noArr"/>
                            <dgm:param type="connRout" val="bend"/>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dim" val="1D"/>
                            <dgm:param type="endSty" val="noArr"/>
                            <dgm:param type="connRout" val="bend"/>
                            <dgm:param type="begPts" val="midR"/>
                            <dgm:param type="endPts" val="tCtr"/>
                          </dgm:alg>
                        </dgm:if>
                        <dgm:else name="Name55">
                          <dgm:alg type="conn">
                            <dgm:param type="dim" val="1D"/>
                            <dgm:param type="endSty" val="noArr"/>
                            <dgm:param type="connRout" val="bend"/>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dim" val="1D"/>
                            <dgm:param type="endSty" val="noArr"/>
                            <dgm:param type="connRout" val="bend"/>
                            <dgm:param type="begPts" val="midR"/>
                            <dgm:param type="endPts" val="bCtr"/>
                          </dgm:alg>
                        </dgm:if>
                        <dgm:else name="Name60">
                          <dgm:alg type="conn">
                            <dgm:param type="dim" val="1D"/>
                            <dgm:param type="endSty" val="noArr"/>
                            <dgm:param type="connRout" val="bend"/>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dim" val="1D"/>
                            <dgm:param type="endSty" val="noArr"/>
                            <dgm:param type="connRout" val="bend"/>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dim" val="1D"/>
                            <dgm:param type="endSty" val="noArr"/>
                            <dgm:param type="connRout" val="bend"/>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linDir" val="fromL"/>
                            <dgm:param type="chAlign" val="t"/>
                          </dgm:alg>
                        </dgm:if>
                        <dgm:else name="Name93">
                          <dgm:alg type="hierChild">
                            <dgm:param type="linDir" val="fromR"/>
                            <dgm:param type="chAlign" val="t"/>
                          </dgm:alg>
                        </dgm:else>
                      </dgm:choose>
                    </dgm:if>
                    <dgm:if name="Name94" func="var" arg="hierBranch" op="equ" val="r">
                      <dgm:choose name="Name95">
                        <dgm:if name="Name96" func="var" arg="dir" op="equ" val="norm">
                          <dgm:alg type="hierChild">
                            <dgm:param type="linDir" val="fromL"/>
                            <dgm:param type="chAlign" val="b"/>
                          </dgm:alg>
                        </dgm:if>
                        <dgm:else name="Name97">
                          <dgm:alg type="hierChild">
                            <dgm:param type="linDir" val="fromR"/>
                            <dgm:param type="chAlign" val="b"/>
                          </dgm:alg>
                        </dgm:else>
                      </dgm:choose>
                    </dgm:if>
                    <dgm:if name="Name98" func="var" arg="hierBranch" op="equ" val="hang">
                      <dgm:choose name="Name99">
                        <dgm:if name="Name100" func="var" arg="dir" op="equ" val="norm">
                          <dgm:alg type="hierChild">
                            <dgm:param type="linDir" val="fromT"/>
                            <dgm:param type="chAlign" val="l"/>
                            <dgm:param type="secLinDir" val="fromL"/>
                            <dgm:param type="secChAlign" val="t"/>
                          </dgm:alg>
                        </dgm:if>
                        <dgm:else name="Name101">
                          <dgm:alg type="hierChild">
                            <dgm:param type="linDir" val="fromT"/>
                            <dgm:param type="chAlign" val="r"/>
                            <dgm:param type="secLinDir" val="fromR"/>
                            <dgm:param type="secChAlign" val="t"/>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linDir" val="fromT"/>
                        <dgm:param type="chAlign" val="l"/>
                        <dgm:param type="secLinDir" val="fromL"/>
                        <dgm:param type="secChAlign" val="t"/>
                      </dgm:alg>
                    </dgm:if>
                    <dgm:else name="Name109">
                      <dgm:alg type="hierChild">
                        <dgm:param type="linDir" val="fromT"/>
                        <dgm:param type="chAlign" val="r"/>
                        <dgm:param type="secLinDir" val="fromR"/>
                        <dgm:param type="secChAlign" val="t"/>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linDir" val="fromT"/>
                  <dgm:param type="chAlign" val="l"/>
                  <dgm:param type="secLinDir" val="fromL"/>
                  <dgm:param type="secChAlign" val="t"/>
                </dgm:alg>
              </dgm:if>
              <dgm:else name="Name113">
                <dgm:alg type="hierChild">
                  <dgm:param type="linDir" val="fromT"/>
                  <dgm:param type="chAlign" val="r"/>
                  <dgm:param type="secLinDir" val="fromR"/>
                  <dgm:param type="secChAlign" val="t"/>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dim" val="1D"/>
                        <dgm:param type="endSty" val="noArr"/>
                        <dgm:param type="connRout" val="bend"/>
                        <dgm:param type="begPts" val="midR"/>
                        <dgm:param type="endPts" val="bCtr tCtr"/>
                      </dgm:alg>
                    </dgm:if>
                    <dgm:else name="Name118">
                      <dgm:alg type="conn">
                        <dgm:param type="dim" val="1D"/>
                        <dgm:param type="endSty" val="noArr"/>
                        <dgm:param type="connRout" val="bend"/>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linDir" val="fromL"/>
                            <dgm:param type="chAlign" val="t"/>
                          </dgm:alg>
                        </dgm:if>
                        <dgm:else name="Name145">
                          <dgm:alg type="hierChild">
                            <dgm:param type="linDir" val="fromR"/>
                            <dgm:param type="chAlign" val="t"/>
                          </dgm:alg>
                        </dgm:else>
                      </dgm:choose>
                    </dgm:if>
                    <dgm:if name="Name146" func="var" arg="hierBranch" op="equ" val="r">
                      <dgm:choose name="Name147">
                        <dgm:if name="Name148" func="var" arg="dir" op="equ" val="norm">
                          <dgm:alg type="hierChild">
                            <dgm:param type="linDir" val="fromL"/>
                            <dgm:param type="chAlign" val="b"/>
                          </dgm:alg>
                        </dgm:if>
                        <dgm:else name="Name149">
                          <dgm:alg type="hierChild">
                            <dgm:param type="linDir" val="fromR"/>
                            <dgm:param type="chAlign" val="b"/>
                          </dgm:alg>
                        </dgm:else>
                      </dgm:choose>
                    </dgm:if>
                    <dgm:if name="Name150" func="var" arg="hierBranch" op="equ" val="hang">
                      <dgm:choose name="Name151">
                        <dgm:if name="Name152" func="var" arg="dir" op="equ" val="norm">
                          <dgm:alg type="hierChild">
                            <dgm:param type="linDir" val="fromT"/>
                            <dgm:param type="chAlign" val="l"/>
                            <dgm:param type="secLinDir" val="fromL"/>
                            <dgm:param type="secChAlign" val="t"/>
                          </dgm:alg>
                        </dgm:if>
                        <dgm:else name="Name153">
                          <dgm:alg type="hierChild">
                            <dgm:param type="linDir" val="fromT"/>
                            <dgm:param type="chAlign" val="r"/>
                            <dgm:param type="secLinDir" val="fromR"/>
                            <dgm:param type="secChAlign" val="t"/>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linDir" val="fromT"/>
                        <dgm:param type="chAlign" val="l"/>
                        <dgm:param type="secLinDir" val="fromL"/>
                        <dgm:param type="secChAlign" val="t"/>
                      </dgm:alg>
                    </dgm:if>
                    <dgm:else name="Name161">
                      <dgm:alg type="hierChild">
                        <dgm:param type="linDir" val="fromT"/>
                        <dgm:param type="chAlign" val="r"/>
                        <dgm:param type="secLinDir" val="fromR"/>
                        <dgm:param type="secChAlign" val="t"/>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5">
  <dgm:title val=""/>
  <dgm:desc val=""/>
  <dgm:catLst>
    <dgm:cat type="simple" pri="10100"/>
  </dgm:catLst>
  <dgm:scene3d>
    <a:camera prst="orthographicFront"/>
    <a:lightRig rig="threePt" dir="t"/>
  </dgm:scene3d>
  <dgm:styleLbl name="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txPr/>
    <dgm:style>
      <a:lnRef idx="2">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C8F0298-4956-4263-A5FB-EF659F691399}">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43</Pages>
  <Words>16259</Words>
  <Characters>16652</Characters>
  <Lines>38</Lines>
  <Paragraphs>10</Paragraphs>
  <TotalTime>4</TotalTime>
  <ScaleCrop>false</ScaleCrop>
  <LinksUpToDate>false</LinksUpToDate>
  <CharactersWithSpaces>16695</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2022-03-19T14:44:00Z</dcterms:created>
  <dc:creator> Emily</dc:creator>
  <cp:lastModifiedBy>.</cp:lastModifiedBy>
  <cp:lastPrinted>2022-03-24T07:25:00Z</cp:lastPrinted>
  <dcterms:modified xsi:type="dcterms:W3CDTF">2025-05-29T03:46:03Z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37BF405F953141F78A6954C2E3706521</vt:lpwstr>
  </property>
  <property fmtid="{D5CDD505-2E9C-101B-9397-08002B2CF9AE}" pid="4" name="KSOTemplateDocerSaveRecord">
    <vt:lpwstr>eyJoZGlkIjoiYjEwZGI3YTIyMjllNDgwZWU2NDBmNjNkNDYzMGFlYzUiLCJ1c2VySWQiOiI3ODYzMDM4MDIifQ==</vt:lpwstr>
  </property>
</Properties>
</file>