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460" w:lineRule="exact"/>
        <w:jc w:val="center"/>
        <w:rPr>
          <w:rFonts w:hint="eastAsia" w:ascii="宋体" w:hAnsi="宋体" w:eastAsia="宋体" w:cs="宋体"/>
          <w:b/>
          <w:color w:val="auto"/>
          <w:spacing w:val="4"/>
          <w:w w:val="95"/>
          <w:sz w:val="21"/>
          <w:szCs w:val="21"/>
        </w:rPr>
      </w:pPr>
      <w:bookmarkStart w:id="8" w:name="_GoBack"/>
      <w:bookmarkEnd w:id="8"/>
    </w:p>
    <w:p>
      <w:pPr>
        <w:keepNext w:val="0"/>
        <w:keepLines w:val="0"/>
        <w:pageBreakBefore w:val="0"/>
        <w:kinsoku/>
        <w:wordWrap/>
        <w:topLinePunct w:val="0"/>
        <w:bidi w:val="0"/>
        <w:snapToGrid/>
        <w:spacing w:line="460" w:lineRule="exact"/>
        <w:jc w:val="center"/>
        <w:rPr>
          <w:rFonts w:hint="eastAsia" w:ascii="宋体" w:hAnsi="宋体" w:eastAsia="宋体" w:cs="宋体"/>
          <w:b/>
          <w:color w:val="auto"/>
          <w:spacing w:val="4"/>
          <w:w w:val="95"/>
          <w:sz w:val="21"/>
          <w:szCs w:val="21"/>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pacing w:val="4"/>
          <w:w w:val="95"/>
          <w:sz w:val="52"/>
          <w:szCs w:val="52"/>
          <w:lang w:eastAsia="zh-CN"/>
        </w:rPr>
      </w:pPr>
      <w:r>
        <w:rPr>
          <w:rFonts w:hint="eastAsia" w:ascii="宋体" w:hAnsi="宋体" w:cs="宋体"/>
          <w:b/>
          <w:color w:val="auto"/>
          <w:spacing w:val="4"/>
          <w:w w:val="95"/>
          <w:sz w:val="52"/>
          <w:szCs w:val="52"/>
          <w:lang w:eastAsia="zh-CN"/>
        </w:rPr>
        <w:t>海陵试验区智慧停车特许经营项目</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pacing w:val="4"/>
          <w:w w:val="95"/>
          <w:sz w:val="52"/>
          <w:szCs w:val="52"/>
          <w:lang w:eastAsia="zh-CN"/>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pacing w:val="4"/>
          <w:w w:val="95"/>
          <w:sz w:val="52"/>
          <w:szCs w:val="52"/>
          <w:lang w:eastAsia="zh-CN"/>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pacing w:val="4"/>
          <w:w w:val="95"/>
          <w:sz w:val="52"/>
          <w:szCs w:val="52"/>
          <w:highlight w:val="none"/>
          <w:lang w:val="en-US" w:eastAsia="zh-CN"/>
        </w:rPr>
      </w:pPr>
      <w:r>
        <w:rPr>
          <w:rFonts w:hint="eastAsia" w:ascii="宋体" w:hAnsi="宋体" w:eastAsia="宋体" w:cs="宋体"/>
          <w:b/>
          <w:color w:val="auto"/>
          <w:spacing w:val="4"/>
          <w:w w:val="95"/>
          <w:sz w:val="52"/>
          <w:szCs w:val="52"/>
          <w:highlight w:val="none"/>
          <w:lang w:val="en-US" w:eastAsia="zh-CN"/>
        </w:rPr>
        <w:t>实</w:t>
      </w:r>
    </w:p>
    <w:p>
      <w:pPr>
        <w:pStyle w:val="2"/>
        <w:keepNext w:val="0"/>
        <w:keepLines w:val="0"/>
        <w:pageBreakBefore w:val="0"/>
        <w:widowControl w:val="0"/>
        <w:kinsoku/>
        <w:wordWrap/>
        <w:overflowPunct/>
        <w:topLinePunct w:val="0"/>
        <w:bidi w:val="0"/>
        <w:adjustRightInd/>
        <w:snapToGrid/>
        <w:spacing w:line="600" w:lineRule="exact"/>
        <w:textAlignment w:val="auto"/>
        <w:rPr>
          <w:rFonts w:hint="eastAsia"/>
          <w:color w:val="auto"/>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pacing w:val="4"/>
          <w:w w:val="95"/>
          <w:sz w:val="52"/>
          <w:szCs w:val="52"/>
          <w:highlight w:val="none"/>
          <w:lang w:val="en-US" w:eastAsia="zh-CN"/>
        </w:rPr>
      </w:pPr>
      <w:r>
        <w:rPr>
          <w:rFonts w:hint="eastAsia" w:ascii="宋体" w:hAnsi="宋体" w:eastAsia="宋体" w:cs="宋体"/>
          <w:b/>
          <w:color w:val="auto"/>
          <w:spacing w:val="4"/>
          <w:w w:val="95"/>
          <w:sz w:val="52"/>
          <w:szCs w:val="52"/>
          <w:highlight w:val="none"/>
          <w:lang w:val="en-US" w:eastAsia="zh-CN"/>
        </w:rPr>
        <w:t>施</w:t>
      </w:r>
    </w:p>
    <w:p>
      <w:pPr>
        <w:pStyle w:val="2"/>
        <w:keepNext w:val="0"/>
        <w:keepLines w:val="0"/>
        <w:pageBreakBefore w:val="0"/>
        <w:widowControl w:val="0"/>
        <w:kinsoku/>
        <w:wordWrap/>
        <w:overflowPunct/>
        <w:topLinePunct w:val="0"/>
        <w:bidi w:val="0"/>
        <w:adjustRightInd/>
        <w:snapToGrid/>
        <w:spacing w:line="600" w:lineRule="exact"/>
        <w:textAlignment w:val="auto"/>
        <w:rPr>
          <w:rFonts w:hint="eastAsia"/>
          <w:color w:val="auto"/>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pacing w:val="4"/>
          <w:w w:val="95"/>
          <w:sz w:val="52"/>
          <w:szCs w:val="52"/>
          <w:highlight w:val="none"/>
          <w:lang w:val="en-US" w:eastAsia="zh-CN"/>
        </w:rPr>
      </w:pPr>
      <w:r>
        <w:rPr>
          <w:rFonts w:hint="eastAsia" w:ascii="宋体" w:hAnsi="宋体" w:eastAsia="宋体" w:cs="宋体"/>
          <w:b/>
          <w:color w:val="auto"/>
          <w:spacing w:val="4"/>
          <w:w w:val="95"/>
          <w:sz w:val="52"/>
          <w:szCs w:val="52"/>
          <w:highlight w:val="none"/>
          <w:lang w:val="en-US" w:eastAsia="zh-CN"/>
        </w:rPr>
        <w:t>方</w:t>
      </w:r>
    </w:p>
    <w:p>
      <w:pPr>
        <w:pStyle w:val="2"/>
        <w:keepNext w:val="0"/>
        <w:keepLines w:val="0"/>
        <w:pageBreakBefore w:val="0"/>
        <w:widowControl w:val="0"/>
        <w:kinsoku/>
        <w:wordWrap/>
        <w:overflowPunct/>
        <w:topLinePunct w:val="0"/>
        <w:bidi w:val="0"/>
        <w:adjustRightInd/>
        <w:snapToGrid/>
        <w:spacing w:line="600" w:lineRule="exact"/>
        <w:textAlignment w:val="auto"/>
        <w:rPr>
          <w:rFonts w:hint="eastAsia"/>
          <w:color w:val="auto"/>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pacing w:val="4"/>
          <w:w w:val="95"/>
          <w:sz w:val="52"/>
          <w:szCs w:val="52"/>
          <w:lang w:eastAsia="zh-CN"/>
        </w:rPr>
      </w:pPr>
      <w:r>
        <w:rPr>
          <w:rFonts w:hint="eastAsia" w:ascii="宋体" w:hAnsi="宋体" w:eastAsia="宋体" w:cs="宋体"/>
          <w:b/>
          <w:color w:val="auto"/>
          <w:spacing w:val="4"/>
          <w:w w:val="95"/>
          <w:sz w:val="52"/>
          <w:szCs w:val="52"/>
          <w:highlight w:val="none"/>
          <w:lang w:val="en-US" w:eastAsia="zh-CN"/>
        </w:rPr>
        <w:t>案</w:t>
      </w:r>
    </w:p>
    <w:p>
      <w:pPr>
        <w:pStyle w:val="29"/>
        <w:keepNext w:val="0"/>
        <w:keepLines w:val="0"/>
        <w:pageBreakBefore w:val="0"/>
        <w:widowControl w:val="0"/>
        <w:kinsoku/>
        <w:wordWrap/>
        <w:overflowPunct/>
        <w:topLinePunct w:val="0"/>
        <w:bidi w:val="0"/>
        <w:adjustRightInd/>
        <w:snapToGrid/>
        <w:spacing w:line="600" w:lineRule="exac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pacing w:val="4"/>
          <w:w w:val="95"/>
          <w:sz w:val="21"/>
          <w:szCs w:val="21"/>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z w:val="21"/>
          <w:szCs w:val="21"/>
        </w:rPr>
      </w:pPr>
    </w:p>
    <w:p>
      <w:pPr>
        <w:pStyle w:val="15"/>
        <w:keepNext w:val="0"/>
        <w:keepLines w:val="0"/>
        <w:pageBreakBefore w:val="0"/>
        <w:widowControl w:val="0"/>
        <w:kinsoku/>
        <w:wordWrap/>
        <w:overflowPunct/>
        <w:topLinePunct w:val="0"/>
        <w:bidi w:val="0"/>
        <w:adjustRightInd/>
        <w:snapToGrid/>
        <w:spacing w:line="600" w:lineRule="exact"/>
        <w:textAlignment w:val="auto"/>
        <w:rPr>
          <w:rFonts w:hint="eastAsia" w:ascii="宋体" w:hAnsi="宋体" w:eastAsia="宋体" w:cs="宋体"/>
          <w:b/>
          <w:color w:val="auto"/>
          <w:sz w:val="21"/>
          <w:szCs w:val="21"/>
        </w:rPr>
      </w:pPr>
    </w:p>
    <w:p>
      <w:pPr>
        <w:keepNext w:val="0"/>
        <w:keepLines w:val="0"/>
        <w:pageBreakBefore w:val="0"/>
        <w:widowControl w:val="0"/>
        <w:kinsoku/>
        <w:wordWrap/>
        <w:overflowPunct/>
        <w:topLinePunct w:val="0"/>
        <w:bidi w:val="0"/>
        <w:adjustRightInd/>
        <w:snapToGrid/>
        <w:spacing w:line="600" w:lineRule="exact"/>
        <w:textAlignment w:val="auto"/>
        <w:rPr>
          <w:rFonts w:hint="eastAsia" w:ascii="宋体" w:hAnsi="宋体" w:eastAsia="宋体" w:cs="宋体"/>
          <w:b/>
          <w:color w:val="auto"/>
          <w:sz w:val="21"/>
          <w:szCs w:val="21"/>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z w:val="21"/>
          <w:szCs w:val="21"/>
        </w:rPr>
      </w:pPr>
    </w:p>
    <w:p>
      <w:pPr>
        <w:pStyle w:val="2"/>
        <w:keepNext w:val="0"/>
        <w:keepLines w:val="0"/>
        <w:pageBreakBefore w:val="0"/>
        <w:widowControl w:val="0"/>
        <w:kinsoku/>
        <w:wordWrap/>
        <w:overflowPunct/>
        <w:topLinePunct w:val="0"/>
        <w:bidi w:val="0"/>
        <w:adjustRightInd/>
        <w:snapToGrid/>
        <w:spacing w:line="600" w:lineRule="exact"/>
        <w:textAlignment w:val="auto"/>
        <w:rPr>
          <w:rFonts w:hint="eastAsia"/>
          <w:color w:val="auto"/>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z w:val="36"/>
          <w:szCs w:val="36"/>
          <w:lang w:eastAsia="zh-CN"/>
        </w:rPr>
      </w:pPr>
      <w:r>
        <w:rPr>
          <w:rFonts w:hint="eastAsia" w:ascii="宋体" w:hAnsi="宋体" w:eastAsia="宋体" w:cs="宋体"/>
          <w:b/>
          <w:color w:val="auto"/>
          <w:sz w:val="36"/>
          <w:szCs w:val="36"/>
          <w:lang w:eastAsia="zh-CN"/>
        </w:rPr>
        <w:t>阳江市海陵岛经济开发试验区城市管理和综合执法局</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eastAsia="宋体" w:cs="宋体"/>
          <w:b/>
          <w:color w:val="auto"/>
          <w:sz w:val="36"/>
          <w:szCs w:val="36"/>
        </w:rPr>
      </w:pPr>
      <w:r>
        <w:rPr>
          <w:rFonts w:hint="eastAsia" w:ascii="宋体" w:hAnsi="宋体" w:eastAsia="宋体" w:cs="宋体"/>
          <w:b/>
          <w:color w:val="auto"/>
          <w:sz w:val="36"/>
          <w:szCs w:val="36"/>
        </w:rPr>
        <w:t>2022年03月</w:t>
      </w:r>
    </w:p>
    <w:p>
      <w:pPr>
        <w:keepNext w:val="0"/>
        <w:keepLines w:val="0"/>
        <w:pageBreakBefore w:val="0"/>
        <w:widowControl w:val="0"/>
        <w:tabs>
          <w:tab w:val="left" w:pos="0"/>
        </w:tabs>
        <w:kinsoku/>
        <w:wordWrap/>
        <w:overflowPunct/>
        <w:topLinePunct w:val="0"/>
        <w:autoSpaceDE w:val="0"/>
        <w:autoSpaceDN w:val="0"/>
        <w:bidi w:val="0"/>
        <w:adjustRightInd/>
        <w:snapToGrid/>
        <w:spacing w:line="600" w:lineRule="exact"/>
        <w:jc w:val="center"/>
        <w:textAlignment w:val="auto"/>
        <w:outlineLvl w:val="0"/>
        <w:rPr>
          <w:rFonts w:hint="eastAsia" w:ascii="宋体" w:hAnsi="宋体" w:eastAsia="宋体" w:cs="宋体"/>
          <w:b/>
          <w:bCs/>
          <w:color w:val="auto"/>
          <w:sz w:val="21"/>
          <w:szCs w:val="21"/>
        </w:rPr>
        <w:sectPr>
          <w:pgSz w:w="11906" w:h="16838"/>
          <w:pgMar w:top="1440" w:right="1417" w:bottom="1440" w:left="1417" w:header="851" w:footer="992" w:gutter="0"/>
          <w:cols w:space="720" w:num="1"/>
          <w:docGrid w:type="lines" w:linePitch="312" w:charSpace="0"/>
        </w:sectPr>
      </w:pPr>
      <w:bookmarkStart w:id="0" w:name="_Toc11017"/>
      <w:bookmarkStart w:id="1" w:name="_Toc24851"/>
    </w:p>
    <w:p>
      <w:pPr>
        <w:keepNext w:val="0"/>
        <w:keepLines w:val="0"/>
        <w:pageBreakBefore w:val="0"/>
        <w:numPr>
          <w:ilvl w:val="0"/>
          <w:numId w:val="0"/>
        </w:numPr>
        <w:tabs>
          <w:tab w:val="left" w:pos="0"/>
        </w:tabs>
        <w:kinsoku/>
        <w:wordWrap/>
        <w:topLinePunct w:val="0"/>
        <w:autoSpaceDE w:val="0"/>
        <w:autoSpaceDN w:val="0"/>
        <w:bidi w:val="0"/>
        <w:snapToGrid/>
        <w:spacing w:line="460" w:lineRule="exact"/>
        <w:ind w:leftChars="0" w:firstLine="422" w:firstLineChars="200"/>
        <w:outlineLvl w:val="0"/>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一、</w:t>
      </w:r>
      <w:r>
        <w:rPr>
          <w:rFonts w:hint="eastAsia" w:ascii="宋体" w:hAnsi="宋体" w:eastAsia="宋体" w:cs="宋体"/>
          <w:b/>
          <w:bCs/>
          <w:color w:val="auto"/>
          <w:sz w:val="21"/>
          <w:szCs w:val="21"/>
        </w:rPr>
        <w:t>采购一览表</w:t>
      </w:r>
    </w:p>
    <w:tbl>
      <w:tblPr>
        <w:tblStyle w:val="19"/>
        <w:tblW w:w="8168"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1"/>
        <w:gridCol w:w="1202"/>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01" w:type="dxa"/>
            <w:vAlign w:val="center"/>
          </w:tcPr>
          <w:p>
            <w:pPr>
              <w:pStyle w:val="31"/>
              <w:keepNext w:val="0"/>
              <w:keepLines w:val="0"/>
              <w:pageBreakBefore w:val="0"/>
              <w:kinsoku/>
              <w:wordWrap/>
              <w:topLinePunct w:val="0"/>
              <w:bidi w:val="0"/>
              <w:snapToGrid/>
              <w:spacing w:before="109" w:line="46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en-US"/>
              </w:rPr>
              <w:t>采购内容</w:t>
            </w:r>
          </w:p>
        </w:tc>
        <w:tc>
          <w:tcPr>
            <w:tcW w:w="1202" w:type="dxa"/>
            <w:vAlign w:val="center"/>
          </w:tcPr>
          <w:p>
            <w:pPr>
              <w:pStyle w:val="31"/>
              <w:keepNext w:val="0"/>
              <w:keepLines w:val="0"/>
              <w:pageBreakBefore w:val="0"/>
              <w:kinsoku/>
              <w:wordWrap/>
              <w:topLinePunct w:val="0"/>
              <w:bidi w:val="0"/>
              <w:snapToGrid/>
              <w:spacing w:before="109" w:line="460" w:lineRule="exact"/>
              <w:jc w:val="center"/>
              <w:rPr>
                <w:rFonts w:hint="eastAsia" w:ascii="宋体" w:hAnsi="宋体" w:eastAsia="宋体" w:cs="宋体"/>
                <w:b/>
                <w:color w:val="auto"/>
                <w:sz w:val="21"/>
                <w:szCs w:val="21"/>
              </w:rPr>
            </w:pPr>
            <w:r>
              <w:rPr>
                <w:rFonts w:hint="eastAsia" w:cs="宋体"/>
                <w:b/>
                <w:color w:val="auto"/>
                <w:sz w:val="21"/>
                <w:szCs w:val="21"/>
                <w:lang w:val="en-US" w:eastAsia="zh-CN"/>
              </w:rPr>
              <w:t>车位</w:t>
            </w:r>
            <w:r>
              <w:rPr>
                <w:rFonts w:hint="eastAsia" w:ascii="宋体" w:hAnsi="宋体" w:eastAsia="宋体" w:cs="宋体"/>
                <w:b/>
                <w:color w:val="auto"/>
                <w:sz w:val="21"/>
                <w:szCs w:val="21"/>
              </w:rPr>
              <w:t>数量</w:t>
            </w:r>
          </w:p>
        </w:tc>
        <w:tc>
          <w:tcPr>
            <w:tcW w:w="4265" w:type="dxa"/>
            <w:vAlign w:val="center"/>
          </w:tcPr>
          <w:p>
            <w:pPr>
              <w:pStyle w:val="31"/>
              <w:keepNext w:val="0"/>
              <w:keepLines w:val="0"/>
              <w:pageBreakBefore w:val="0"/>
              <w:kinsoku/>
              <w:wordWrap/>
              <w:topLinePunct w:val="0"/>
              <w:bidi w:val="0"/>
              <w:snapToGrid/>
              <w:spacing w:before="109" w:line="460" w:lineRule="exact"/>
              <w:jc w:val="center"/>
              <w:rPr>
                <w:rFonts w:hint="eastAsia" w:ascii="宋体" w:hAnsi="宋体" w:eastAsia="宋体" w:cs="宋体"/>
                <w:b/>
                <w:color w:val="auto"/>
                <w:sz w:val="21"/>
                <w:szCs w:val="21"/>
                <w:lang w:val="en-US"/>
              </w:rPr>
            </w:pPr>
            <w:r>
              <w:rPr>
                <w:rFonts w:hint="eastAsia" w:ascii="宋体" w:hAnsi="宋体" w:eastAsia="宋体" w:cs="宋体"/>
                <w:b/>
                <w:color w:val="auto"/>
                <w:sz w:val="21"/>
                <w:szCs w:val="21"/>
                <w:lang w:val="en-US"/>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2701" w:type="dxa"/>
            <w:vAlign w:val="center"/>
          </w:tcPr>
          <w:p>
            <w:pPr>
              <w:pStyle w:val="31"/>
              <w:keepNext w:val="0"/>
              <w:keepLines w:val="0"/>
              <w:pageBreakBefore w:val="0"/>
              <w:kinsoku/>
              <w:wordWrap/>
              <w:topLinePunct w:val="0"/>
              <w:bidi w:val="0"/>
              <w:snapToGrid/>
              <w:spacing w:before="109" w:line="460" w:lineRule="exact"/>
              <w:jc w:val="center"/>
              <w:rPr>
                <w:rFonts w:hint="eastAsia" w:ascii="宋体" w:hAnsi="宋体" w:eastAsia="宋体" w:cs="宋体"/>
                <w:color w:val="auto"/>
                <w:sz w:val="21"/>
                <w:szCs w:val="21"/>
                <w:lang w:eastAsia="zh-CN"/>
              </w:rPr>
            </w:pPr>
            <w:r>
              <w:rPr>
                <w:rFonts w:hint="eastAsia" w:cs="宋体"/>
                <w:color w:val="auto"/>
                <w:sz w:val="21"/>
                <w:szCs w:val="21"/>
                <w:lang w:eastAsia="zh-CN"/>
              </w:rPr>
              <w:t>海陵试验区智慧停车特许经营项目</w:t>
            </w:r>
          </w:p>
        </w:tc>
        <w:tc>
          <w:tcPr>
            <w:tcW w:w="1202" w:type="dxa"/>
            <w:vAlign w:val="center"/>
          </w:tcPr>
          <w:p>
            <w:pPr>
              <w:pStyle w:val="31"/>
              <w:keepNext w:val="0"/>
              <w:keepLines w:val="0"/>
              <w:pageBreakBefore w:val="0"/>
              <w:kinsoku/>
              <w:wordWrap/>
              <w:topLinePunct w:val="0"/>
              <w:bidi w:val="0"/>
              <w:snapToGrid/>
              <w:spacing w:before="109" w:line="460" w:lineRule="exact"/>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2530个</w:t>
            </w:r>
          </w:p>
        </w:tc>
        <w:tc>
          <w:tcPr>
            <w:tcW w:w="4265" w:type="dxa"/>
            <w:vAlign w:val="center"/>
          </w:tcPr>
          <w:p>
            <w:pPr>
              <w:pStyle w:val="31"/>
              <w:keepNext w:val="0"/>
              <w:keepLines w:val="0"/>
              <w:pageBreakBefore w:val="0"/>
              <w:kinsoku/>
              <w:wordWrap/>
              <w:topLinePunct w:val="0"/>
              <w:bidi w:val="0"/>
              <w:snapToGrid/>
              <w:spacing w:before="109" w:line="460" w:lineRule="exact"/>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rPr>
              <w:t>共</w:t>
            </w:r>
            <w:r>
              <w:rPr>
                <w:rFonts w:hint="eastAsia" w:cs="宋体"/>
                <w:color w:val="auto"/>
                <w:sz w:val="21"/>
                <w:szCs w:val="21"/>
                <w:lang w:val="en-US" w:eastAsia="zh-CN"/>
              </w:rPr>
              <w:t>十二</w:t>
            </w:r>
            <w:r>
              <w:rPr>
                <w:rFonts w:hint="eastAsia" w:ascii="宋体" w:hAnsi="宋体" w:eastAsia="宋体" w:cs="宋体"/>
                <w:color w:val="auto"/>
                <w:sz w:val="21"/>
                <w:szCs w:val="21"/>
                <w:lang w:val="en-US"/>
              </w:rPr>
              <w:t>年，其中建设期</w:t>
            </w:r>
            <w:r>
              <w:rPr>
                <w:rFonts w:hint="eastAsia" w:cs="宋体"/>
                <w:color w:val="auto"/>
                <w:sz w:val="21"/>
                <w:szCs w:val="21"/>
                <w:lang w:val="en-US" w:eastAsia="zh-CN"/>
              </w:rPr>
              <w:t>二</w:t>
            </w:r>
            <w:r>
              <w:rPr>
                <w:rFonts w:hint="eastAsia" w:ascii="宋体" w:hAnsi="宋体" w:eastAsia="宋体" w:cs="宋体"/>
                <w:color w:val="auto"/>
                <w:sz w:val="21"/>
                <w:szCs w:val="21"/>
                <w:lang w:val="en-US"/>
              </w:rPr>
              <w:t>年，运营期</w:t>
            </w:r>
            <w:r>
              <w:rPr>
                <w:rFonts w:hint="eastAsia" w:cs="宋体"/>
                <w:color w:val="auto"/>
                <w:sz w:val="21"/>
                <w:szCs w:val="21"/>
                <w:lang w:val="en-US" w:eastAsia="zh-CN"/>
              </w:rPr>
              <w:t>十</w:t>
            </w:r>
            <w:r>
              <w:rPr>
                <w:rFonts w:hint="eastAsia" w:ascii="宋体" w:hAnsi="宋体" w:eastAsia="宋体" w:cs="宋体"/>
                <w:color w:val="auto"/>
                <w:sz w:val="21"/>
                <w:szCs w:val="21"/>
                <w:lang w:val="en-US"/>
              </w:rPr>
              <w:t>年</w:t>
            </w:r>
          </w:p>
        </w:tc>
      </w:tr>
    </w:tbl>
    <w:p>
      <w:pPr>
        <w:keepNext w:val="0"/>
        <w:keepLines w:val="0"/>
        <w:pageBreakBefore w:val="0"/>
        <w:numPr>
          <w:ilvl w:val="0"/>
          <w:numId w:val="0"/>
        </w:numPr>
        <w:tabs>
          <w:tab w:val="left" w:pos="0"/>
        </w:tabs>
        <w:kinsoku/>
        <w:wordWrap/>
        <w:topLinePunct w:val="0"/>
        <w:autoSpaceDE w:val="0"/>
        <w:autoSpaceDN w:val="0"/>
        <w:bidi w:val="0"/>
        <w:snapToGrid/>
        <w:spacing w:line="460" w:lineRule="exact"/>
        <w:ind w:leftChars="0" w:firstLine="422" w:firstLineChars="200"/>
        <w:outlineLvl w:val="0"/>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二、</w:t>
      </w:r>
      <w:r>
        <w:rPr>
          <w:rFonts w:hint="eastAsia" w:ascii="宋体" w:hAnsi="宋体" w:eastAsia="宋体" w:cs="宋体"/>
          <w:b/>
          <w:bCs/>
          <w:color w:val="auto"/>
          <w:sz w:val="21"/>
          <w:szCs w:val="21"/>
        </w:rPr>
        <w:t>申请人的资格要求：</w:t>
      </w:r>
      <w:bookmarkEnd w:id="0"/>
      <w:bookmarkEnd w:id="1"/>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rPr>
        <w:t>满足《中华人民共和国政府采购法》第二十二条规定；</w:t>
      </w:r>
    </w:p>
    <w:p>
      <w:pPr>
        <w:keepNext w:val="0"/>
        <w:keepLines w:val="0"/>
        <w:pageBreakBefore w:val="0"/>
        <w:numPr>
          <w:ilvl w:val="0"/>
          <w:numId w:val="0"/>
        </w:numPr>
        <w:kinsoku/>
        <w:wordWrap/>
        <w:topLinePunct w:val="0"/>
        <w:autoSpaceDE w:val="0"/>
        <w:autoSpaceDN w:val="0"/>
        <w:bidi w:val="0"/>
        <w:snapToGrid/>
        <w:spacing w:line="460" w:lineRule="exact"/>
        <w:ind w:leftChars="0"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具有独立承担民事责任的能力：提供在中华人民共和国境内注册的法人或其他组织的营业执照或事业单位法人证书或社会团体法人登记证书复印件，如响应供应商为自然人的提供自然人身份证明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keepNext w:val="0"/>
        <w:keepLines w:val="0"/>
        <w:pageBreakBefore w:val="0"/>
        <w:numPr>
          <w:ilvl w:val="0"/>
          <w:numId w:val="0"/>
        </w:numPr>
        <w:kinsoku/>
        <w:wordWrap/>
        <w:topLinePunct w:val="0"/>
        <w:autoSpaceDE w:val="0"/>
        <w:autoSpaceDN w:val="0"/>
        <w:bidi w:val="0"/>
        <w:snapToGrid/>
        <w:spacing w:line="460" w:lineRule="exact"/>
        <w:ind w:leftChars="0"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有依法缴纳税收和社会保障资金的良好记录：提供2021年至今任意1个月依法缴纳税收和社会保障资金的相关材料。如依法免税或不需要缴纳社会保障资金的，提供相应证明材料；</w:t>
      </w:r>
    </w:p>
    <w:p>
      <w:pPr>
        <w:keepNext w:val="0"/>
        <w:keepLines w:val="0"/>
        <w:pageBreakBefore w:val="0"/>
        <w:numPr>
          <w:ilvl w:val="0"/>
          <w:numId w:val="0"/>
        </w:numPr>
        <w:kinsoku/>
        <w:wordWrap/>
        <w:topLinePunct w:val="0"/>
        <w:autoSpaceDE w:val="0"/>
        <w:autoSpaceDN w:val="0"/>
        <w:bidi w:val="0"/>
        <w:snapToGrid/>
        <w:spacing w:line="460" w:lineRule="exact"/>
        <w:ind w:leftChars="0"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具有良好的商业信誉和健全的财务会计制度，提供以下任意一项证明材料：①提供2021年度财务状况报告或2021年至今任意1个月的财务报表，内容含盖资产负债表和利润表和现金流量表②基本户开户银行出具的资信证明，并提供开户许可证（适用于法人或其他组织）③中国人民银行出具的个人信用报告（适用于自然人）；</w:t>
      </w:r>
    </w:p>
    <w:p>
      <w:pPr>
        <w:keepNext w:val="0"/>
        <w:keepLines w:val="0"/>
        <w:pageBreakBefore w:val="0"/>
        <w:numPr>
          <w:ilvl w:val="0"/>
          <w:numId w:val="0"/>
        </w:numPr>
        <w:kinsoku/>
        <w:wordWrap/>
        <w:topLinePunct w:val="0"/>
        <w:autoSpaceDE w:val="0"/>
        <w:autoSpaceDN w:val="0"/>
        <w:bidi w:val="0"/>
        <w:snapToGrid/>
        <w:spacing w:line="460" w:lineRule="exact"/>
        <w:ind w:leftChars="0"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履行合同所必需的设备和专业技术能力：按投标（响应）文件格式填报设备及专业技术能力情况（提供签署及盖章合格的《资格声明函》）；</w:t>
      </w:r>
    </w:p>
    <w:p>
      <w:pPr>
        <w:keepNext w:val="0"/>
        <w:keepLines w:val="0"/>
        <w:pageBreakBefore w:val="0"/>
        <w:numPr>
          <w:ilvl w:val="0"/>
          <w:numId w:val="0"/>
        </w:numPr>
        <w:kinsoku/>
        <w:wordWrap/>
        <w:topLinePunct w:val="0"/>
        <w:autoSpaceDE w:val="0"/>
        <w:autoSpaceDN w:val="0"/>
        <w:bidi w:val="0"/>
        <w:snapToGrid/>
        <w:spacing w:line="460" w:lineRule="exact"/>
        <w:ind w:leftChars="0"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参加采购活动前3年内，在经营活动中没有重大违法记录：（提供签署及盖章合格的《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rPr>
        <w:t>落实政府采购政策需满足的资格要求：无。</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w:t>
      </w:r>
      <w:r>
        <w:rPr>
          <w:rFonts w:hint="eastAsia" w:ascii="宋体" w:hAnsi="宋体" w:eastAsia="宋体" w:cs="宋体"/>
          <w:color w:val="auto"/>
          <w:sz w:val="21"/>
          <w:szCs w:val="21"/>
        </w:rPr>
        <w:t>本项目的特定资格要求：</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单位负责人为同一人或者存在直接控股、管理关系的不同供应商，不得同时参加本采购项目（或采购包）投标（响应）。为本项目提供整体设计、规范编制或者项目管理、监理、检测等服务的供应商，不得再参与本项目投标（响应）。提供签署及盖章合格的《资格声明函》）。</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已登记报名并获取本项目采购文件。</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cs="宋体"/>
          <w:color w:val="auto"/>
          <w:sz w:val="21"/>
          <w:szCs w:val="21"/>
          <w:lang w:eastAsia="zh-CN"/>
        </w:rPr>
        <w:t>）</w:t>
      </w:r>
      <w:r>
        <w:rPr>
          <w:rFonts w:hint="eastAsia" w:ascii="宋体" w:hAnsi="宋体" w:eastAsia="宋体" w:cs="宋体"/>
          <w:color w:val="auto"/>
          <w:sz w:val="21"/>
          <w:szCs w:val="21"/>
        </w:rPr>
        <w:t>本项目不接受联合体投标。</w:t>
      </w:r>
    </w:p>
    <w:p>
      <w:pPr>
        <w:keepNext w:val="0"/>
        <w:keepLines w:val="0"/>
        <w:pageBreakBefore w:val="0"/>
        <w:kinsoku/>
        <w:wordWrap/>
        <w:topLinePunct w:val="0"/>
        <w:bidi w:val="0"/>
        <w:snapToGrid/>
        <w:spacing w:line="46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p>
      <w:pPr>
        <w:keepNext w:val="0"/>
        <w:keepLines w:val="0"/>
        <w:pageBreakBefore w:val="0"/>
        <w:kinsoku/>
        <w:wordWrap/>
        <w:topLinePunct w:val="0"/>
        <w:bidi w:val="0"/>
        <w:snapToGrid/>
        <w:spacing w:line="460" w:lineRule="exact"/>
        <w:jc w:val="center"/>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rPr>
        <w:t>技术商务要求</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cs="宋体"/>
          <w:b w:val="0"/>
          <w:bCs w:val="0"/>
          <w:color w:val="auto"/>
        </w:rPr>
      </w:pPr>
      <w:r>
        <w:rPr>
          <w:rFonts w:hint="eastAsia" w:ascii="宋体" w:hAnsi="宋体" w:cs="宋体"/>
          <w:b/>
          <w:bCs/>
          <w:color w:val="auto"/>
        </w:rPr>
        <w:t>项目名称：</w:t>
      </w:r>
      <w:r>
        <w:rPr>
          <w:rFonts w:hint="eastAsia" w:ascii="宋体" w:hAnsi="宋体" w:cs="宋体"/>
          <w:b w:val="0"/>
          <w:bCs w:val="0"/>
          <w:color w:val="auto"/>
        </w:rPr>
        <w:t>海陵试验区智慧停车特许经营项目</w:t>
      </w:r>
      <w:r>
        <w:rPr>
          <w:rFonts w:hint="eastAsia" w:ascii="宋体" w:hAnsi="宋体" w:cs="宋体"/>
          <w:b w:val="0"/>
          <w:bCs w:val="0"/>
          <w:color w:val="auto"/>
          <w:lang w:eastAsia="zh-CN"/>
        </w:rPr>
        <w:t>。</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cs="宋体"/>
          <w:b/>
          <w:bCs/>
          <w:color w:val="auto"/>
        </w:rPr>
        <w:t>项目实施机构：</w:t>
      </w:r>
      <w:r>
        <w:rPr>
          <w:rFonts w:hint="eastAsia" w:ascii="宋体" w:hAnsi="宋体" w:cs="宋体"/>
          <w:b w:val="0"/>
          <w:bCs w:val="0"/>
          <w:color w:val="auto"/>
        </w:rPr>
        <w:t>由项目中标公司根据项目建设要求，完成项目的研究、实施及各项管理工作。</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项目背景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随着我区旅游经济不断发展，游客数量逐年增加，中心区域“出行难、停车难”问题日益突出，圈占车位、私自收费、乱停乱放、交通拥堵等问题严重破坏了海陵岛滨海旅游景区的整体生态景观，停车服务、交通管理等问题已成为制约我区旅游经济发展的短板。经实地调研，充分借鉴其他省市的典型经验，结合我区实际，本次项目将采用政府授予特许经营模式完成系统建设和运营收费管理，以BOT模式引入社会资本投资，通过特许经营权招标方式招选有实力有经验的投资人，为本项目实施建设、运营与管理。</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工作目标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贯彻落实《国务院办公厅转发国家发展改革委等部门关于推动城市停车设施发展意见的通知》（国办函〔2021〕46号）的文件要求，坚持科学规划、分类施策、政府引导、市场运作、建管并重的工作原则，加强老旧街区、农贸市场、学校等重点区域停车设施建设管理，优化停车设施供给结构，盘活存量资源，推动停车资源在区域上、时段上、空间上均衡分布、利用，推进现代信息技术融合应用，实现整个海陵岛城市停车系统布局合理、供给充足、智能高效、便捷可及的发展目标。深入推进智慧城市建设,加快基础设施信息化、智慧应用普惠化,全面提高城市服务和社会治理效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通过运用人工智能、大数据、云计算、物联网、移动互联网等技术，实现城市统一的停车信息采集、共享与服务平台。计划采用最新无线卧式图像识别类设备，结合5G、云计算、大数据、物联网、图像识别等新科技手段，汇集全区所有停车数据资源，形成海陵区停车信息一张图，向政府提供数据共享与决策支持服务，向公众提供停车信息服务，构建一整套手机端、PC终端的停车信息引导、泊位自主查询、停车自动计时收费、停车支付结算的完善服务体系，提升车主出行效率与行业服务质量，打造海陵区智慧城市建设创新典范。</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工作措施</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（一）协商清退</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阳江市海陵交通投资发展有限公司与原运营企业阳江市兴凯智慧停车运营管理有限公司充分协商，根据有关法律法规，依照招投标合同约定，在规定期限内停止路边停车收费运营工作，有序退出海陵岛路边停车项目</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并应于2022年4月中旬启动终止合同程序</w:t>
      </w:r>
      <w:r>
        <w:rPr>
          <w:rFonts w:hint="eastAsia" w:ascii="宋体" w:hAnsi="宋体" w:eastAsia="宋体" w:cs="宋体"/>
          <w:color w:val="auto"/>
          <w:sz w:val="21"/>
          <w:szCs w:val="21"/>
        </w:rPr>
        <w:t>。</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（二）集中清理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针对公共停车位、停车场乱停乱放、私占泊位的情况，区城管部门、区交警部门应采取有效措施，清理、搬离占用停车位、停车场地的物品以及非机动车辆。严肃禁止商家店铺私划停车位、霸占门前车位，严厉打击随意占道、乱停乱放的行为。</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）科学划区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配建停车场为主，路外停车为辅，路内停车为补充”的原则，对有停车需求且符合停放条件的区域及道路，科学划定停车泊位，停车标识明显醒目，综合考虑热门景区、农贸市场、居住小区等人车聚集点，区域盘活、合理布局、科学配比、分类施策。对于车流量大的区域，应满足各类车辆配建车位的适度供给，采用电子技术手段限制部分车辆进入；对于居住区应鼓励公共停车设施夜间对外开放，满足周边居民的停车需求。</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）有序运营</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公司须在开展运营前在本市设立，并引入高智能化停车服务设备系统，制定有效的内部管理机制，停车服务收费标准应当报区经发局按程序批准、公布实施，应按要求设立收费公示牌（包括收费时间、收费标准、收费依据、免收时间、监督投诉电话等），不公示不得收费，并积极做好宣传解释工作。</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海陵区停车现状</w:t>
      </w:r>
    </w:p>
    <w:p>
      <w:pPr>
        <w:keepNext w:val="0"/>
        <w:keepLines w:val="0"/>
        <w:pageBreakBefore w:val="0"/>
        <w:kinsoku/>
        <w:wordWrap/>
        <w:topLinePunct w:val="0"/>
        <w:bidi w:val="0"/>
        <w:snapToGrid/>
        <w:spacing w:line="460" w:lineRule="exact"/>
        <w:ind w:firstLine="420" w:firstLineChars="200"/>
        <w:rPr>
          <w:rFonts w:ascii="宋体" w:hAnsi="宋体" w:cs="宋体"/>
          <w:color w:val="auto"/>
        </w:rPr>
      </w:pPr>
      <w:r>
        <w:rPr>
          <w:rFonts w:hint="eastAsia" w:ascii="宋体" w:hAnsi="宋体" w:cs="宋体"/>
          <w:color w:val="auto"/>
        </w:rPr>
        <w:t>随着城市发展和现代化水平的提高，机动车尤其是私家轿车的数量呈现出突飞猛进的增长态势</w:t>
      </w:r>
      <w:r>
        <w:rPr>
          <w:rFonts w:hint="eastAsia" w:ascii="宋体" w:hAnsi="宋体" w:cs="宋体"/>
          <w:color w:val="auto"/>
          <w:highlight w:val="none"/>
        </w:rPr>
        <w:t>。</w:t>
      </w:r>
      <w:r>
        <w:rPr>
          <w:rFonts w:hint="eastAsia" w:ascii="宋体" w:hAnsi="宋体" w:cs="宋体"/>
          <w:color w:val="auto"/>
          <w:highlight w:val="none"/>
          <w:lang w:val="en-US" w:eastAsia="zh-CN"/>
        </w:rPr>
        <w:t>截</w:t>
      </w:r>
      <w:r>
        <w:rPr>
          <w:rFonts w:hint="eastAsia" w:ascii="宋体" w:hAnsi="宋体" w:cs="宋体"/>
          <w:color w:val="auto"/>
          <w:highlight w:val="none"/>
        </w:rPr>
        <w:t>至2019年，海陵区民用汽车拥有量约为18000辆。通</w:t>
      </w:r>
      <w:r>
        <w:rPr>
          <w:rFonts w:hint="eastAsia" w:ascii="宋体" w:hAnsi="宋体" w:cs="宋体"/>
          <w:color w:val="auto"/>
        </w:rPr>
        <w:t>过对过去四年的汽车量统计分析，预计未来汽车数量仍将以每年10%左右增速增长，并在2027年实现汽车数量翻倍。虽然拥有庞大的汽车数量，但城市的停车情况不容乐观。</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存在的问题</w:t>
      </w:r>
    </w:p>
    <w:p>
      <w:pPr>
        <w:keepNext w:val="0"/>
        <w:keepLines w:val="0"/>
        <w:pageBreakBefore w:val="0"/>
        <w:numPr>
          <w:ilvl w:val="0"/>
          <w:numId w:val="5"/>
        </w:numPr>
        <w:kinsoku/>
        <w:wordWrap/>
        <w:topLinePunct w:val="0"/>
        <w:bidi w:val="0"/>
        <w:snapToGrid/>
        <w:spacing w:line="460" w:lineRule="exact"/>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停车泊位严重不足</w:t>
      </w:r>
    </w:p>
    <w:p>
      <w:pPr>
        <w:keepNext w:val="0"/>
        <w:keepLines w:val="0"/>
        <w:pageBreakBefore w:val="0"/>
        <w:numPr>
          <w:ilvl w:val="0"/>
          <w:numId w:val="5"/>
        </w:numPr>
        <w:kinsoku/>
        <w:wordWrap/>
        <w:topLinePunct w:val="0"/>
        <w:bidi w:val="0"/>
        <w:snapToGrid/>
        <w:spacing w:line="460" w:lineRule="exact"/>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停车泊位利用率低</w:t>
      </w:r>
    </w:p>
    <w:p>
      <w:pPr>
        <w:keepNext w:val="0"/>
        <w:keepLines w:val="0"/>
        <w:pageBreakBefore w:val="0"/>
        <w:numPr>
          <w:ilvl w:val="0"/>
          <w:numId w:val="5"/>
        </w:numPr>
        <w:kinsoku/>
        <w:wordWrap/>
        <w:topLinePunct w:val="0"/>
        <w:bidi w:val="0"/>
        <w:snapToGrid/>
        <w:spacing w:line="460" w:lineRule="exact"/>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停车资源缺乏有效管理</w:t>
      </w:r>
    </w:p>
    <w:p>
      <w:pPr>
        <w:keepNext w:val="0"/>
        <w:keepLines w:val="0"/>
        <w:pageBreakBefore w:val="0"/>
        <w:numPr>
          <w:ilvl w:val="0"/>
          <w:numId w:val="5"/>
        </w:numPr>
        <w:kinsoku/>
        <w:wordWrap/>
        <w:topLinePunct w:val="0"/>
        <w:bidi w:val="0"/>
        <w:snapToGrid/>
        <w:spacing w:line="460" w:lineRule="exact"/>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停车智能化程度较低</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总体方案</w:t>
      </w:r>
    </w:p>
    <w:p>
      <w:pPr>
        <w:keepNext w:val="0"/>
        <w:keepLines w:val="0"/>
        <w:pageBreakBefore w:val="0"/>
        <w:numPr>
          <w:ilvl w:val="0"/>
          <w:numId w:val="0"/>
        </w:numPr>
        <w:kinsoku/>
        <w:wordWrap/>
        <w:topLinePunct w:val="0"/>
        <w:bidi w:val="0"/>
        <w:snapToGrid/>
        <w:spacing w:line="460" w:lineRule="exact"/>
        <w:ind w:left="420"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智能化改造，</w:t>
      </w:r>
      <w:r>
        <w:rPr>
          <w:rFonts w:hint="eastAsia" w:ascii="宋体" w:hAnsi="宋体" w:cs="宋体"/>
          <w:color w:val="auto"/>
          <w:sz w:val="21"/>
          <w:szCs w:val="21"/>
          <w:lang w:val="en-US" w:eastAsia="zh-CN"/>
        </w:rPr>
        <w:t>打造全区停车一张图，</w:t>
      </w:r>
      <w:r>
        <w:rPr>
          <w:rFonts w:hint="eastAsia" w:ascii="宋体" w:hAnsi="宋体" w:eastAsia="宋体" w:cs="宋体"/>
          <w:color w:val="auto"/>
          <w:sz w:val="21"/>
          <w:szCs w:val="21"/>
        </w:rPr>
        <w:t>解决城市停车难</w:t>
      </w:r>
      <w:r>
        <w:rPr>
          <w:rFonts w:hint="eastAsia" w:ascii="宋体" w:hAnsi="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对于路侧停车位，通过在路侧安装中低位智慧车位感应器或其它等智能终端，实现车辆停放实时监控和实时计费，停车缴费可以实现无人化，进一步规范城市路内停车，形成城市停车统一管理。</w:t>
      </w:r>
    </w:p>
    <w:p>
      <w:pPr>
        <w:keepNext w:val="0"/>
        <w:keepLines w:val="0"/>
        <w:pageBreakBefore w:val="0"/>
        <w:numPr>
          <w:ilvl w:val="0"/>
          <w:numId w:val="0"/>
        </w:numPr>
        <w:kinsoku/>
        <w:wordWrap/>
        <w:topLinePunct w:val="0"/>
        <w:bidi w:val="0"/>
        <w:snapToGrid/>
        <w:spacing w:line="460" w:lineRule="exact"/>
        <w:ind w:left="420" w:leftChars="0"/>
        <w:outlineLvl w:val="9"/>
        <w:rPr>
          <w:rFonts w:hint="default" w:eastAsia="宋体"/>
          <w:color w:val="auto"/>
          <w:lang w:val="en-US" w:eastAsia="zh-CN"/>
        </w:rPr>
      </w:pPr>
      <w:r>
        <w:rPr>
          <w:rFonts w:hint="eastAsia" w:ascii="宋体" w:hAnsi="宋体" w:eastAsia="宋体" w:cs="宋体"/>
          <w:color w:val="auto"/>
          <w:sz w:val="21"/>
          <w:szCs w:val="21"/>
          <w:lang w:val="en-US" w:eastAsia="zh-CN"/>
        </w:rPr>
        <w:t>对于</w:t>
      </w:r>
      <w:r>
        <w:rPr>
          <w:rFonts w:hint="eastAsia" w:ascii="宋体" w:hAnsi="宋体" w:cs="宋体"/>
          <w:color w:val="auto"/>
          <w:sz w:val="21"/>
          <w:szCs w:val="21"/>
          <w:lang w:val="en-US" w:eastAsia="zh-CN"/>
        </w:rPr>
        <w:t>停车场车位，通过安装智能道闸、ETC等终端，实现无人值守、自动缴费。</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color w:val="auto"/>
          <w:sz w:val="21"/>
          <w:szCs w:val="21"/>
        </w:rPr>
      </w:pPr>
      <w:r>
        <w:rPr>
          <w:rFonts w:hint="eastAsia" w:ascii="宋体" w:hAnsi="宋体" w:eastAsia="宋体" w:cs="宋体"/>
          <w:color w:val="auto"/>
          <w:sz w:val="21"/>
          <w:szCs w:val="21"/>
        </w:rPr>
        <w:t>项目建设的必要性</w:t>
      </w:r>
    </w:p>
    <w:p>
      <w:pPr>
        <w:keepNext w:val="0"/>
        <w:keepLines w:val="0"/>
        <w:pageBreakBefore w:val="0"/>
        <w:numPr>
          <w:ilvl w:val="0"/>
          <w:numId w:val="0"/>
        </w:numPr>
        <w:kinsoku/>
        <w:wordWrap/>
        <w:topLinePunct w:val="0"/>
        <w:bidi w:val="0"/>
        <w:snapToGrid/>
        <w:spacing w:line="460" w:lineRule="exact"/>
        <w:ind w:left="420" w:leftChars="0"/>
        <w:outlineLvl w:val="9"/>
        <w:rPr>
          <w:rFonts w:hint="eastAsia" w:ascii="宋体" w:hAnsi="宋体" w:eastAsia="宋体" w:cs="宋体"/>
          <w:color w:val="auto"/>
          <w:sz w:val="21"/>
          <w:szCs w:val="21"/>
        </w:rPr>
      </w:pPr>
      <w:r>
        <w:rPr>
          <w:rFonts w:hint="eastAsia" w:ascii="宋体" w:hAnsi="宋体" w:eastAsia="宋体" w:cs="宋体"/>
          <w:color w:val="auto"/>
          <w:sz w:val="21"/>
          <w:szCs w:val="21"/>
        </w:rPr>
        <w:t>项目建设是解决城市停车难问题的需要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近年来，随着海陵区经济的快速增长，汽车进入家庭的步伐加快，城市机动车发展迅猛，私家车数量日益增长。相比之下，城市停车设施建设明显滞后，使停车供求矛盾日益尖锐，停车难的问题日益凸显。尤其在海陵区，由于很多公用建筑配建泊位严重不足，停车位更是一位难求。停车难，已经成为海陵区旅游事业发展、交通发展、汽车消费的瓶颈之一。通过本项目的实施，可以有效的解决城市停车难这一问题。</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项目建设是提升民众出行幸福体验度的需要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本项目通过提供APP、微信小程序等多种方式，为市民出行停车提供便民服务，市民可即时查找当前位置或者目标位置的停车空位信息，方便市民出行和停车，减少寻找停车位的时间，提升市民满意度和幸福度。</w:t>
      </w:r>
    </w:p>
    <w:p>
      <w:pPr>
        <w:keepNext w:val="0"/>
        <w:keepLines w:val="0"/>
        <w:pageBreakBefore w:val="0"/>
        <w:numPr>
          <w:ilvl w:val="0"/>
          <w:numId w:val="0"/>
        </w:numPr>
        <w:kinsoku/>
        <w:wordWrap/>
        <w:topLinePunct w:val="0"/>
        <w:bidi w:val="0"/>
        <w:snapToGrid/>
        <w:spacing w:line="460" w:lineRule="exact"/>
        <w:ind w:left="420" w:leftChars="0"/>
        <w:outlineLvl w:val="9"/>
        <w:rPr>
          <w:rFonts w:hint="eastAsia" w:ascii="宋体" w:hAnsi="宋体" w:eastAsia="宋体" w:cs="宋体"/>
          <w:color w:val="auto"/>
          <w:sz w:val="21"/>
          <w:szCs w:val="21"/>
        </w:rPr>
      </w:pPr>
      <w:r>
        <w:rPr>
          <w:rFonts w:hint="eastAsia" w:ascii="宋体" w:hAnsi="宋体" w:eastAsia="宋体" w:cs="宋体"/>
          <w:color w:val="auto"/>
          <w:sz w:val="21"/>
          <w:szCs w:val="21"/>
        </w:rPr>
        <w:t>项目建设是完善信用体系建设的需要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智慧停车可以通过车主画像、停车轨迹、支付行为和LBS数据帮助政府建立停车征信体系，并将停车征信纳入国家整体信用体系，有效缓解停车逃费和乱停车现象。</w:t>
      </w:r>
    </w:p>
    <w:p>
      <w:pPr>
        <w:keepNext w:val="0"/>
        <w:keepLines w:val="0"/>
        <w:pageBreakBefore w:val="0"/>
        <w:numPr>
          <w:ilvl w:val="0"/>
          <w:numId w:val="0"/>
        </w:numPr>
        <w:kinsoku/>
        <w:wordWrap/>
        <w:topLinePunct w:val="0"/>
        <w:bidi w:val="0"/>
        <w:snapToGrid/>
        <w:spacing w:line="460" w:lineRule="exact"/>
        <w:ind w:left="420" w:leftChars="0"/>
        <w:outlineLvl w:val="9"/>
        <w:rPr>
          <w:rFonts w:hint="eastAsia" w:ascii="宋体" w:hAnsi="宋体" w:eastAsia="宋体" w:cs="宋体"/>
          <w:color w:val="auto"/>
          <w:sz w:val="21"/>
          <w:szCs w:val="21"/>
        </w:rPr>
      </w:pPr>
      <w:r>
        <w:rPr>
          <w:rFonts w:hint="eastAsia" w:ascii="宋体" w:hAnsi="宋体" w:eastAsia="宋体" w:cs="宋体"/>
          <w:color w:val="auto"/>
          <w:sz w:val="21"/>
          <w:szCs w:val="21"/>
        </w:rPr>
        <w:t>项目建设是提升城市交通智能化水平的需要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color w:val="auto"/>
        </w:rPr>
      </w:pPr>
      <w:r>
        <w:rPr>
          <w:rFonts w:hint="eastAsia" w:ascii="宋体" w:hAnsi="宋体" w:eastAsia="宋体" w:cs="宋体"/>
          <w:color w:val="auto"/>
          <w:sz w:val="21"/>
          <w:szCs w:val="21"/>
        </w:rPr>
        <w:t>本项目通过停车位引导、反向寻车诱导等手段减少找车与徘徊时间，提高泊位的利用率和周转率，有效缓解城市停车压力和交通拥堵情况；城市规划、交通管理等部门可以获得城市停车数据，有效整治全市交通违章现象；实时获取的城市静态停车数据有助于实现老旧停车场改造与信息化升级、辅助城市停车场规划等建设。通过本项目建设可以大幅提高</w:t>
      </w:r>
      <w:r>
        <w:rPr>
          <w:rFonts w:hint="eastAsia"/>
          <w:color w:val="auto"/>
        </w:rPr>
        <w:t>城市交通运行效率，提升城市交通智能化水平，进而对改善城市交通状况、缓解道路交通压力、减少交警路面工作量、方便市民出行、促进车主遵纪守法和提高市民素质都具有重大意义。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color w:val="auto"/>
        </w:rPr>
      </w:pPr>
      <w:r>
        <w:rPr>
          <w:rFonts w:hint="eastAsia"/>
          <w:color w:val="auto"/>
        </w:rPr>
        <w:t>项目建设是打造智慧停车产业生态的需要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color w:val="auto"/>
        </w:rPr>
      </w:pPr>
      <w:r>
        <w:rPr>
          <w:rFonts w:hint="eastAsia"/>
          <w:color w:val="auto"/>
        </w:rPr>
        <w:t>本项目建设以停车为中心，将上下游全部纳入停车生态。例如通过APP、公众号线上运营渠道与商业中心，超市，餐饮等线下商户建立合作。以车辆维度将汽车保养维修、加油、汽车保险等纳入停车生态。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color w:val="auto"/>
        </w:rPr>
      </w:pPr>
      <w:r>
        <w:rPr>
          <w:rFonts w:hint="eastAsia"/>
          <w:color w:val="auto"/>
        </w:rPr>
        <w:t>项目建设是提高城市品位形象及区域服务质量的需要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color w:val="auto"/>
        </w:rPr>
      </w:pPr>
      <w:r>
        <w:rPr>
          <w:rFonts w:hint="eastAsia"/>
          <w:color w:val="auto"/>
        </w:rPr>
        <w:t>本项目的建设将有助于改善海陵区地区交通和停车的环境，缓解区域内的停车位不足的问题，从而大大提高了海陵区的环境档次，改善了海陵区的停车和交通的状况，缓解海陵区停车位不足的问题，大大提升海陵区区域的服务水平和服务质量，对于提升海陵区的知名度和美誉度以及提高海陵区的区域竞争力和影响力影响深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color w:val="auto"/>
        </w:rPr>
      </w:pPr>
      <w:r>
        <w:rPr>
          <w:rFonts w:hint="eastAsia"/>
          <w:color w:val="auto"/>
        </w:rPr>
        <w:t>综上所述，本项目的建设是海陵区发展的需要，是解决城市停车难问题的需要，是符合海陵区城市规划建设的需要，是提高区域服务质量的需要，是解决城市发展与土地紧缺矛盾的有效途径，项目的建设是很有必要的。</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color w:val="auto"/>
          <w:sz w:val="21"/>
          <w:szCs w:val="21"/>
        </w:rPr>
      </w:pPr>
      <w:r>
        <w:rPr>
          <w:rFonts w:hint="eastAsia" w:ascii="宋体" w:hAnsi="宋体" w:eastAsia="宋体" w:cs="宋体"/>
          <w:b/>
          <w:bCs/>
          <w:color w:val="auto"/>
          <w:sz w:val="21"/>
          <w:szCs w:val="21"/>
        </w:rPr>
        <w:t>招标范围：</w:t>
      </w:r>
    </w:p>
    <w:p>
      <w:pPr>
        <w:keepNext w:val="0"/>
        <w:keepLines w:val="0"/>
        <w:pageBreakBefore w:val="0"/>
        <w:numPr>
          <w:ilvl w:val="0"/>
          <w:numId w:val="0"/>
        </w:numPr>
        <w:kinsoku/>
        <w:wordWrap/>
        <w:topLinePunct w:val="0"/>
        <w:bidi w:val="0"/>
        <w:snapToGrid/>
        <w:spacing w:line="460" w:lineRule="exact"/>
        <w:ind w:firstLine="420" w:firstLineChars="200"/>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项目</w:t>
      </w:r>
      <w:r>
        <w:rPr>
          <w:rFonts w:hint="eastAsia" w:ascii="宋体" w:hAnsi="宋体" w:cs="宋体"/>
          <w:color w:val="auto"/>
          <w:sz w:val="21"/>
          <w:szCs w:val="21"/>
          <w:lang w:val="en-US" w:eastAsia="zh-CN"/>
        </w:rPr>
        <w:t>公开招标方式选取</w:t>
      </w:r>
      <w:r>
        <w:rPr>
          <w:rFonts w:hint="eastAsia" w:ascii="宋体" w:hAnsi="宋体" w:eastAsia="宋体" w:cs="宋体"/>
          <w:color w:val="auto"/>
          <w:sz w:val="21"/>
          <w:szCs w:val="21"/>
        </w:rPr>
        <w:t>特许经营</w:t>
      </w:r>
      <w:r>
        <w:rPr>
          <w:rFonts w:hint="eastAsia" w:ascii="宋体" w:hAnsi="宋体" w:eastAsia="宋体" w:cs="宋体"/>
          <w:color w:val="auto"/>
          <w:sz w:val="21"/>
          <w:szCs w:val="21"/>
          <w:lang w:val="en-US" w:eastAsia="zh-CN"/>
        </w:rPr>
        <w:t>单位</w:t>
      </w:r>
      <w:r>
        <w:rPr>
          <w:rFonts w:hint="eastAsia" w:ascii="宋体" w:hAnsi="宋体" w:eastAsia="宋体" w:cs="宋体"/>
          <w:color w:val="auto"/>
          <w:sz w:val="21"/>
          <w:szCs w:val="21"/>
        </w:rPr>
        <w:t>，中标特许经营</w:t>
      </w:r>
      <w:r>
        <w:rPr>
          <w:rFonts w:hint="eastAsia" w:ascii="宋体" w:hAnsi="宋体" w:cs="宋体"/>
          <w:color w:val="auto"/>
          <w:sz w:val="21"/>
          <w:szCs w:val="21"/>
          <w:lang w:val="en-US" w:eastAsia="zh-CN"/>
        </w:rPr>
        <w:t>单位</w:t>
      </w:r>
      <w:r>
        <w:rPr>
          <w:rFonts w:hint="eastAsia" w:ascii="宋体" w:hAnsi="宋体" w:eastAsia="宋体" w:cs="宋体"/>
          <w:color w:val="auto"/>
          <w:sz w:val="21"/>
          <w:szCs w:val="21"/>
        </w:rPr>
        <w:t>负责本项目的投融资、建设、运营、维护、移交，通过运营获得合理利润，并向海陵试验区</w:t>
      </w:r>
      <w:r>
        <w:rPr>
          <w:rFonts w:hint="eastAsia" w:ascii="宋体" w:hAnsi="宋体" w:eastAsia="宋体" w:cs="宋体"/>
          <w:color w:val="auto"/>
          <w:sz w:val="21"/>
          <w:szCs w:val="21"/>
          <w:lang w:val="en-US" w:eastAsia="zh-CN"/>
        </w:rPr>
        <w:t>财政局专用账户</w:t>
      </w:r>
      <w:r>
        <w:rPr>
          <w:rFonts w:hint="eastAsia" w:ascii="宋体" w:hAnsi="宋体" w:eastAsia="宋体" w:cs="宋体"/>
          <w:color w:val="auto"/>
          <w:sz w:val="21"/>
          <w:szCs w:val="21"/>
        </w:rPr>
        <w:t>缴纳规定比例的</w:t>
      </w:r>
      <w:r>
        <w:rPr>
          <w:rFonts w:hint="eastAsia" w:ascii="宋体" w:hAnsi="宋体" w:cs="宋体"/>
          <w:color w:val="auto"/>
          <w:sz w:val="21"/>
          <w:szCs w:val="21"/>
          <w:lang w:val="en-US" w:eastAsia="zh-CN"/>
        </w:rPr>
        <w:t>特许经营权费</w:t>
      </w:r>
      <w:r>
        <w:rPr>
          <w:rFonts w:hint="eastAsia" w:ascii="宋体" w:hAnsi="宋体" w:eastAsia="宋体" w:cs="宋体"/>
          <w:color w:val="auto"/>
          <w:sz w:val="21"/>
          <w:szCs w:val="21"/>
        </w:rPr>
        <w:t>。</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建设内容：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本项目为阳江市市</w:t>
      </w:r>
      <w:r>
        <w:rPr>
          <w:rFonts w:hint="eastAsia" w:ascii="宋体" w:hAnsi="宋体" w:cs="宋体"/>
          <w:color w:val="auto"/>
          <w:sz w:val="21"/>
          <w:szCs w:val="21"/>
          <w:lang w:eastAsia="zh-CN"/>
        </w:rPr>
        <w:t>海陵试验区智慧停车特许经营项目</w:t>
      </w:r>
      <w:r>
        <w:rPr>
          <w:rFonts w:hint="eastAsia" w:ascii="宋体" w:hAnsi="宋体" w:eastAsia="宋体" w:cs="宋体"/>
          <w:color w:val="auto"/>
          <w:sz w:val="21"/>
          <w:szCs w:val="21"/>
        </w:rPr>
        <w:t>，主要规划建设路内改造车位、公共停车场。具体</w:t>
      </w:r>
      <w:r>
        <w:rPr>
          <w:rFonts w:hint="eastAsia" w:ascii="宋体" w:hAnsi="宋体" w:eastAsia="宋体" w:cs="宋体"/>
          <w:color w:val="auto"/>
          <w:sz w:val="21"/>
          <w:szCs w:val="21"/>
          <w:lang w:val="en-US" w:eastAsia="zh-CN"/>
        </w:rPr>
        <w:t>路段及区域</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重点路线：黄金海岸敏捷大道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恒大路段一海上夏威夷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瓦晒湾一海洋秘境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海滨二路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金桥路(兴安街)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东风路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环港路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人民路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宋康大道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海滨西路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望角路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北洛湾大道</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重点区域：闹坡国际海产交易商场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碧桂园-北洛明珠停车场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自由港饭店门口</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四海一家鱼排停车场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美海湾(香港)国际能源加油站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牛塘山文化公</w:t>
      </w:r>
      <w:r>
        <w:rPr>
          <w:rFonts w:hint="eastAsia" w:ascii="宋体" w:hAnsi="宋体" w:cs="宋体"/>
          <w:color w:val="auto"/>
          <w:sz w:val="21"/>
          <w:szCs w:val="21"/>
          <w:lang w:val="en-US" w:eastAsia="zh-CN"/>
        </w:rPr>
        <w:t>园</w:t>
      </w:r>
      <w:r>
        <w:rPr>
          <w:rFonts w:hint="eastAsia" w:ascii="宋体" w:hAnsi="宋体" w:eastAsia="宋体" w:cs="宋体"/>
          <w:color w:val="auto"/>
          <w:sz w:val="21"/>
          <w:szCs w:val="21"/>
        </w:rPr>
        <w:t>前(白石根路)</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南海一号</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大道保利小区入口</w:t>
      </w:r>
      <w:r>
        <w:rPr>
          <w:rFonts w:hint="eastAsia" w:ascii="宋体" w:hAnsi="宋体" w:eastAsia="宋体" w:cs="宋体"/>
          <w:color w:val="auto"/>
          <w:kern w:val="0"/>
          <w:sz w:val="21"/>
          <w:szCs w:val="21"/>
          <w:lang w:eastAsia="zh-CN"/>
        </w:rPr>
        <w:t>、</w:t>
      </w:r>
      <w:r>
        <w:rPr>
          <w:rFonts w:hint="eastAsia" w:ascii="宋体" w:hAnsi="宋体" w:eastAsia="宋体" w:cs="宋体"/>
          <w:color w:val="auto"/>
          <w:sz w:val="21"/>
          <w:szCs w:val="21"/>
        </w:rPr>
        <w:t>海陵税局对面停车场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大角湾地下停车场</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车位数量：</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新规划</w:t>
      </w:r>
      <w:r>
        <w:rPr>
          <w:rFonts w:hint="eastAsia" w:ascii="宋体" w:hAnsi="宋体" w:eastAsia="宋体" w:cs="宋体"/>
          <w:color w:val="auto"/>
          <w:sz w:val="21"/>
          <w:szCs w:val="21"/>
        </w:rPr>
        <w:t>智慧停车泊位</w:t>
      </w:r>
      <w:r>
        <w:rPr>
          <w:rFonts w:hint="eastAsia" w:ascii="宋体" w:hAnsi="宋体" w:eastAsia="宋体" w:cs="宋体"/>
          <w:color w:val="auto"/>
          <w:kern w:val="0"/>
          <w:sz w:val="21"/>
          <w:szCs w:val="21"/>
        </w:rPr>
        <w:t>1361</w:t>
      </w:r>
      <w:r>
        <w:rPr>
          <w:rFonts w:hint="eastAsia" w:ascii="宋体" w:hAnsi="宋体" w:eastAsia="宋体" w:cs="宋体"/>
          <w:color w:val="auto"/>
          <w:sz w:val="21"/>
          <w:szCs w:val="21"/>
        </w:rPr>
        <w:t>个</w:t>
      </w:r>
      <w:r>
        <w:rPr>
          <w:rFonts w:hint="eastAsia" w:ascii="宋体" w:hAnsi="宋体" w:eastAsia="宋体" w:cs="宋体"/>
          <w:color w:val="auto"/>
          <w:sz w:val="21"/>
          <w:szCs w:val="21"/>
          <w:lang w:eastAsia="zh-CN"/>
        </w:rPr>
        <w:t>；</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rPr>
        <w:t>）</w:t>
      </w:r>
      <w:r>
        <w:rPr>
          <w:rFonts w:hint="eastAsia" w:ascii="宋体" w:hAnsi="宋体" w:eastAsia="宋体" w:cs="宋体"/>
          <w:b w:val="0"/>
          <w:bCs w:val="0"/>
          <w:color w:val="auto"/>
          <w:kern w:val="0"/>
          <w:sz w:val="21"/>
          <w:szCs w:val="21"/>
        </w:rPr>
        <w:t>待规划</w:t>
      </w:r>
      <w:r>
        <w:rPr>
          <w:rFonts w:hint="eastAsia" w:ascii="宋体" w:hAnsi="宋体" w:eastAsia="宋体" w:cs="宋体"/>
          <w:b w:val="0"/>
          <w:bCs w:val="0"/>
          <w:color w:val="auto"/>
          <w:sz w:val="21"/>
          <w:szCs w:val="21"/>
        </w:rPr>
        <w:t>智</w:t>
      </w:r>
      <w:r>
        <w:rPr>
          <w:rFonts w:hint="eastAsia" w:ascii="宋体" w:hAnsi="宋体" w:eastAsia="宋体" w:cs="宋体"/>
          <w:color w:val="auto"/>
          <w:sz w:val="21"/>
          <w:szCs w:val="21"/>
        </w:rPr>
        <w:t>慧停车泊位</w:t>
      </w:r>
      <w:r>
        <w:rPr>
          <w:rFonts w:hint="eastAsia" w:ascii="宋体" w:hAnsi="宋体" w:eastAsia="宋体" w:cs="宋体"/>
          <w:color w:val="auto"/>
          <w:kern w:val="0"/>
          <w:sz w:val="21"/>
          <w:szCs w:val="21"/>
        </w:rPr>
        <w:t>1169</w:t>
      </w:r>
      <w:r>
        <w:rPr>
          <w:rFonts w:hint="eastAsia" w:ascii="宋体" w:hAnsi="宋体" w:eastAsia="宋体" w:cs="宋体"/>
          <w:color w:val="auto"/>
          <w:kern w:val="0"/>
          <w:sz w:val="21"/>
          <w:szCs w:val="21"/>
          <w:lang w:eastAsia="zh-CN"/>
        </w:rPr>
        <w:t>个</w:t>
      </w:r>
      <w:r>
        <w:rPr>
          <w:rFonts w:hint="eastAsia" w:ascii="宋体" w:hAnsi="宋体" w:eastAsia="宋体" w:cs="宋体"/>
          <w:color w:val="auto"/>
          <w:sz w:val="21"/>
          <w:szCs w:val="21"/>
        </w:rPr>
        <w:t>；</w:t>
      </w:r>
    </w:p>
    <w:p>
      <w:pPr>
        <w:keepNext w:val="0"/>
        <w:keepLines w:val="0"/>
        <w:pageBreakBefore w:val="0"/>
        <w:kinsoku/>
        <w:wordWrap/>
        <w:topLinePunct w:val="0"/>
        <w:bidi w:val="0"/>
        <w:snapToGrid/>
        <w:spacing w:line="460" w:lineRule="exact"/>
        <w:jc w:val="center"/>
        <w:rPr>
          <w:rFonts w:hint="eastAsia" w:ascii="宋体" w:hAnsi="宋体" w:cs="宋体"/>
          <w:color w:val="auto"/>
        </w:rPr>
      </w:pPr>
      <w:r>
        <w:rPr>
          <w:rFonts w:hint="eastAsia" w:ascii="宋体" w:hAnsi="宋体" w:eastAsia="宋体" w:cs="宋体"/>
          <w:color w:val="auto"/>
          <w:sz w:val="21"/>
          <w:szCs w:val="21"/>
          <w:lang w:val="en-US" w:eastAsia="zh-CN"/>
        </w:rPr>
        <w:t>表</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w:t>
      </w:r>
      <w:r>
        <w:rPr>
          <w:rFonts w:hint="eastAsia" w:ascii="宋体" w:hAnsi="宋体" w:cs="宋体"/>
          <w:color w:val="auto"/>
        </w:rPr>
        <w:t>停车泊位智能化升级建设明细如下：</w:t>
      </w:r>
    </w:p>
    <w:tbl>
      <w:tblPr>
        <w:tblStyle w:val="19"/>
        <w:tblW w:w="5000" w:type="pct"/>
        <w:tblInd w:w="0" w:type="dxa"/>
        <w:tblLayout w:type="autofit"/>
        <w:tblCellMar>
          <w:top w:w="0" w:type="dxa"/>
          <w:left w:w="108" w:type="dxa"/>
          <w:bottom w:w="0" w:type="dxa"/>
          <w:right w:w="108" w:type="dxa"/>
        </w:tblCellMar>
      </w:tblPr>
      <w:tblGrid>
        <w:gridCol w:w="638"/>
        <w:gridCol w:w="3461"/>
        <w:gridCol w:w="1251"/>
        <w:gridCol w:w="1253"/>
        <w:gridCol w:w="1919"/>
      </w:tblGrid>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left"/>
              <w:textAlignment w:val="center"/>
              <w:rPr>
                <w:rFonts w:hint="default" w:ascii="宋体" w:hAnsi="宋体" w:eastAsia="宋体" w:cs="宋体"/>
                <w:b/>
                <w:bCs/>
                <w:color w:val="auto"/>
                <w:sz w:val="21"/>
                <w:szCs w:val="21"/>
                <w:lang w:val="en-US" w:eastAsia="zh-CN"/>
              </w:rPr>
            </w:pPr>
            <w:r>
              <w:rPr>
                <w:rFonts w:hint="eastAsia" w:ascii="宋体" w:hAnsi="宋体" w:cs="宋体"/>
                <w:b/>
                <w:bCs/>
                <w:color w:val="auto"/>
                <w:kern w:val="0"/>
                <w:sz w:val="21"/>
                <w:szCs w:val="21"/>
                <w:lang w:bidi="ar"/>
              </w:rPr>
              <w:t>一、道路停车泊位</w:t>
            </w:r>
            <w:r>
              <w:rPr>
                <w:rFonts w:hint="eastAsia" w:ascii="宋体" w:hAnsi="宋体" w:cs="宋体"/>
                <w:b/>
                <w:bCs/>
                <w:color w:val="auto"/>
                <w:kern w:val="0"/>
                <w:sz w:val="21"/>
                <w:szCs w:val="21"/>
                <w:lang w:val="en-US" w:eastAsia="zh-CN" w:bidi="ar"/>
              </w:rPr>
              <w:t>-智能化升级建设</w:t>
            </w: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20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路段</w:t>
            </w:r>
          </w:p>
        </w:tc>
        <w:tc>
          <w:tcPr>
            <w:tcW w:w="7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已规划泊位数</w:t>
            </w:r>
          </w:p>
        </w:tc>
        <w:tc>
          <w:tcPr>
            <w:tcW w:w="7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待规划泊位数</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东风路</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291</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2</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人民路</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91</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3</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金桥路（兴安街）</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58</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4</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海滨二路</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39</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5</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环港路</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27</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6</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海滨西路</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24</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7</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宋康大道</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181</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8</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南海一号大道保利小区入口</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137</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9</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北洛湾大道</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50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10</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望角路</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26</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11</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恒大路段-海上夏威夷</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300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12</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黄金海岸-敏捷大道</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246</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13</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美海湾（香港）国际能源加油站</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60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rPr>
                <w:rFonts w:ascii="宋体" w:hAnsi="宋体" w:cs="宋体"/>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b/>
                <w:bCs/>
                <w:color w:val="auto"/>
                <w:kern w:val="0"/>
                <w:sz w:val="21"/>
                <w:szCs w:val="21"/>
                <w:lang w:bidi="ar"/>
              </w:rPr>
              <w:t>14</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color w:val="auto"/>
                <w:kern w:val="0"/>
                <w:sz w:val="21"/>
                <w:szCs w:val="21"/>
                <w:lang w:bidi="ar"/>
              </w:rPr>
              <w:t>自由港饭店门口</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color w:val="auto"/>
                <w:kern w:val="0"/>
                <w:sz w:val="21"/>
                <w:szCs w:val="21"/>
                <w:lang w:bidi="ar"/>
              </w:rPr>
              <w:t>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color w:val="auto"/>
                <w:kern w:val="0"/>
                <w:sz w:val="21"/>
                <w:szCs w:val="21"/>
                <w:lang w:bidi="ar"/>
              </w:rPr>
              <w:t>80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rPr>
                <w:rFonts w:ascii="宋体" w:hAnsi="宋体" w:cs="宋体"/>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b/>
                <w:bCs/>
                <w:color w:val="auto"/>
                <w:kern w:val="0"/>
                <w:sz w:val="21"/>
                <w:szCs w:val="21"/>
                <w:lang w:bidi="ar"/>
              </w:rPr>
              <w:t>15</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color w:val="auto"/>
                <w:kern w:val="0"/>
                <w:sz w:val="21"/>
                <w:szCs w:val="21"/>
                <w:lang w:bidi="ar"/>
              </w:rPr>
              <w:t>瓦晒湾-海洋秘境</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color w:val="auto"/>
                <w:kern w:val="0"/>
                <w:sz w:val="21"/>
                <w:szCs w:val="21"/>
                <w:lang w:bidi="ar"/>
              </w:rPr>
              <w:t>66</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rPr>
                <w:rFonts w:ascii="宋体" w:hAnsi="宋体" w:cs="宋体"/>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b/>
                <w:bCs/>
                <w:color w:val="auto"/>
                <w:kern w:val="0"/>
                <w:sz w:val="21"/>
                <w:szCs w:val="21"/>
                <w:lang w:bidi="ar"/>
              </w:rPr>
              <w:t>16</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color w:val="auto"/>
                <w:kern w:val="0"/>
                <w:sz w:val="21"/>
                <w:szCs w:val="21"/>
                <w:lang w:bidi="ar"/>
              </w:rPr>
              <w:t>牛塘山文化公</w:t>
            </w:r>
            <w:r>
              <w:rPr>
                <w:rFonts w:hint="eastAsia" w:ascii="宋体" w:hAnsi="宋体" w:cs="宋体"/>
                <w:color w:val="auto"/>
                <w:kern w:val="0"/>
                <w:sz w:val="21"/>
                <w:szCs w:val="21"/>
                <w:lang w:val="en-US" w:eastAsia="zh-CN" w:bidi="ar"/>
              </w:rPr>
              <w:t>园</w:t>
            </w:r>
            <w:r>
              <w:rPr>
                <w:rFonts w:hint="eastAsia" w:ascii="宋体" w:hAnsi="宋体" w:cs="宋体"/>
                <w:color w:val="auto"/>
                <w:kern w:val="0"/>
                <w:sz w:val="21"/>
                <w:szCs w:val="21"/>
                <w:lang w:bidi="ar"/>
              </w:rPr>
              <w:t>前（白石根路）</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color w:val="auto"/>
                <w:kern w:val="0"/>
                <w:sz w:val="21"/>
                <w:szCs w:val="21"/>
                <w:lang w:bidi="ar"/>
              </w:rPr>
              <w:t>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kern w:val="0"/>
                <w:sz w:val="21"/>
                <w:szCs w:val="21"/>
                <w:lang w:bidi="ar"/>
              </w:rPr>
            </w:pPr>
            <w:r>
              <w:rPr>
                <w:rFonts w:hint="eastAsia" w:ascii="宋体" w:hAnsi="宋体" w:cs="宋体"/>
                <w:color w:val="auto"/>
                <w:kern w:val="0"/>
                <w:sz w:val="21"/>
                <w:szCs w:val="21"/>
                <w:lang w:bidi="ar"/>
              </w:rPr>
              <w:t>40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rPr>
                <w:rFonts w:ascii="宋体" w:hAnsi="宋体" w:cs="宋体"/>
                <w:color w:val="auto"/>
                <w:sz w:val="21"/>
                <w:szCs w:val="21"/>
              </w:rPr>
            </w:pPr>
          </w:p>
        </w:tc>
      </w:tr>
      <w:tr>
        <w:tblPrEx>
          <w:tblCellMar>
            <w:top w:w="0" w:type="dxa"/>
            <w:left w:w="108" w:type="dxa"/>
            <w:bottom w:w="0" w:type="dxa"/>
            <w:right w:w="108" w:type="dxa"/>
          </w:tblCellMar>
        </w:tblPrEx>
        <w:trPr>
          <w:trHeight w:val="567" w:hRule="atLeast"/>
        </w:trPr>
        <w:tc>
          <w:tcPr>
            <w:tcW w:w="240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小计</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933</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803</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1736</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left"/>
              <w:textAlignment w:val="center"/>
              <w:rPr>
                <w:rFonts w:hint="default" w:ascii="宋体" w:hAnsi="宋体" w:eastAsia="宋体" w:cs="宋体"/>
                <w:b/>
                <w:bCs/>
                <w:color w:val="auto"/>
                <w:sz w:val="21"/>
                <w:szCs w:val="21"/>
                <w:lang w:val="en-US" w:eastAsia="zh-CN"/>
              </w:rPr>
            </w:pPr>
            <w:r>
              <w:rPr>
                <w:rFonts w:hint="eastAsia" w:ascii="宋体" w:hAnsi="宋体" w:cs="宋体"/>
                <w:b/>
                <w:bCs/>
                <w:color w:val="auto"/>
                <w:kern w:val="0"/>
                <w:sz w:val="21"/>
                <w:szCs w:val="21"/>
                <w:lang w:bidi="ar"/>
              </w:rPr>
              <w:t>二、停车场停车泊位</w:t>
            </w:r>
            <w:r>
              <w:rPr>
                <w:rFonts w:hint="eastAsia" w:ascii="宋体" w:hAnsi="宋体" w:cs="宋体"/>
                <w:b/>
                <w:bCs/>
                <w:color w:val="auto"/>
                <w:kern w:val="0"/>
                <w:sz w:val="21"/>
                <w:szCs w:val="21"/>
                <w:lang w:val="en-US" w:eastAsia="zh-CN" w:bidi="ar"/>
              </w:rPr>
              <w:t>-智能化升级建设</w:t>
            </w: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20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7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已规划泊位数</w:t>
            </w:r>
          </w:p>
        </w:tc>
        <w:tc>
          <w:tcPr>
            <w:tcW w:w="7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待规划泊位数</w:t>
            </w:r>
          </w:p>
        </w:tc>
        <w:tc>
          <w:tcPr>
            <w:tcW w:w="11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17</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闸坡国际海产交易商场</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300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18</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碧桂园-北洛明珠停车场</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74</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19</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四海一家鱼排停车场</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52</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20</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海陵税局对面停车场</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86</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14</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color w:val="auto"/>
                <w:sz w:val="21"/>
                <w:szCs w:val="21"/>
              </w:rPr>
            </w:pPr>
          </w:p>
        </w:tc>
      </w:tr>
      <w:tr>
        <w:tblPrEx>
          <w:tblCellMar>
            <w:top w:w="0" w:type="dxa"/>
            <w:left w:w="108" w:type="dxa"/>
            <w:bottom w:w="0" w:type="dxa"/>
            <w:right w:w="108" w:type="dxa"/>
          </w:tblCellMar>
        </w:tblPrEx>
        <w:trPr>
          <w:trHeight w:val="567" w:hRule="atLeast"/>
        </w:trPr>
        <w:tc>
          <w:tcPr>
            <w:tcW w:w="240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hint="eastAsia" w:ascii="宋体" w:hAnsi="宋体" w:cs="宋体"/>
                <w:color w:val="auto"/>
                <w:kern w:val="0"/>
                <w:sz w:val="21"/>
                <w:szCs w:val="21"/>
                <w:lang w:bidi="ar"/>
              </w:rPr>
            </w:pPr>
            <w:r>
              <w:rPr>
                <w:rFonts w:hint="eastAsia" w:ascii="宋体" w:hAnsi="宋体" w:cs="宋体"/>
                <w:b/>
                <w:bCs/>
                <w:color w:val="auto"/>
                <w:kern w:val="0"/>
                <w:sz w:val="21"/>
                <w:szCs w:val="21"/>
                <w:lang w:bidi="ar"/>
              </w:rPr>
              <w:t>小计</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hint="default" w:ascii="宋体" w:hAnsi="宋体" w:cs="宋体"/>
                <w:color w:val="auto"/>
                <w:kern w:val="0"/>
                <w:sz w:val="21"/>
                <w:szCs w:val="21"/>
                <w:lang w:val="en-US" w:bidi="ar"/>
              </w:rPr>
            </w:pPr>
            <w:r>
              <w:rPr>
                <w:rFonts w:hint="eastAsia" w:ascii="宋体" w:hAnsi="宋体" w:cs="宋体"/>
                <w:color w:val="auto"/>
                <w:kern w:val="0"/>
                <w:sz w:val="21"/>
                <w:szCs w:val="21"/>
                <w:lang w:val="en-US" w:eastAsia="zh-CN" w:bidi="ar"/>
              </w:rPr>
              <w:t>160</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366</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hint="default" w:ascii="宋体" w:hAnsi="宋体" w:cs="宋体"/>
                <w:color w:val="auto"/>
                <w:sz w:val="21"/>
                <w:szCs w:val="21"/>
                <w:lang w:val="en-US"/>
              </w:rPr>
            </w:pPr>
            <w:r>
              <w:rPr>
                <w:rFonts w:hint="eastAsia" w:ascii="宋体" w:hAnsi="宋体" w:cs="宋体"/>
                <w:color w:val="auto"/>
                <w:sz w:val="21"/>
                <w:szCs w:val="21"/>
                <w:lang w:val="en-US" w:eastAsia="zh-CN"/>
              </w:rPr>
              <w:t>526</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left"/>
              <w:textAlignment w:val="center"/>
              <w:rPr>
                <w:rFonts w:hint="default" w:ascii="宋体" w:hAnsi="宋体" w:cs="宋体"/>
                <w:color w:val="auto"/>
                <w:sz w:val="21"/>
                <w:szCs w:val="21"/>
                <w:lang w:val="en-US" w:eastAsia="zh-CN"/>
              </w:rPr>
            </w:pPr>
            <w:r>
              <w:rPr>
                <w:rFonts w:hint="eastAsia" w:ascii="宋体" w:hAnsi="宋体" w:cs="宋体"/>
                <w:b/>
                <w:bCs/>
                <w:color w:val="auto"/>
                <w:kern w:val="0"/>
                <w:sz w:val="21"/>
                <w:szCs w:val="21"/>
                <w:lang w:val="en-US" w:eastAsia="zh-CN" w:bidi="ar"/>
              </w:rPr>
              <w:t>三、停车场停车泊位-纳入平台统一管理</w:t>
            </w:r>
          </w:p>
        </w:tc>
      </w:tr>
      <w:tr>
        <w:tblPrEx>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hint="default"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21</w:t>
            </w:r>
          </w:p>
        </w:tc>
        <w:tc>
          <w:tcPr>
            <w:tcW w:w="20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bidi="ar"/>
              </w:rPr>
              <w:t>大角湾地下停车场</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268</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0</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纳入平台统一管理</w:t>
            </w:r>
          </w:p>
        </w:tc>
      </w:tr>
      <w:tr>
        <w:tblPrEx>
          <w:tblCellMar>
            <w:top w:w="0" w:type="dxa"/>
            <w:left w:w="108" w:type="dxa"/>
            <w:bottom w:w="0" w:type="dxa"/>
            <w:right w:w="108" w:type="dxa"/>
          </w:tblCellMar>
        </w:tblPrEx>
        <w:trPr>
          <w:trHeight w:val="567" w:hRule="atLeast"/>
        </w:trPr>
        <w:tc>
          <w:tcPr>
            <w:tcW w:w="240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合计</w:t>
            </w:r>
          </w:p>
        </w:tc>
        <w:tc>
          <w:tcPr>
            <w:tcW w:w="7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1093</w:t>
            </w:r>
          </w:p>
        </w:tc>
        <w:tc>
          <w:tcPr>
            <w:tcW w:w="7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1169</w:t>
            </w:r>
          </w:p>
        </w:tc>
        <w:tc>
          <w:tcPr>
            <w:tcW w:w="11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topLinePunct w:val="0"/>
              <w:bidi w:val="0"/>
              <w:snapToGrid/>
              <w:spacing w:line="460" w:lineRule="exact"/>
              <w:jc w:val="center"/>
              <w:rPr>
                <w:rFonts w:ascii="宋体" w:hAnsi="宋体" w:cs="宋体"/>
                <w:b/>
                <w:bCs/>
                <w:color w:val="auto"/>
                <w:sz w:val="21"/>
                <w:szCs w:val="21"/>
              </w:rPr>
            </w:pPr>
            <w:r>
              <w:rPr>
                <w:rFonts w:hint="eastAsia" w:ascii="宋体" w:hAnsi="宋体" w:cs="宋体"/>
                <w:b/>
                <w:bCs/>
                <w:color w:val="auto"/>
                <w:sz w:val="21"/>
                <w:szCs w:val="21"/>
                <w:lang w:val="en-US" w:eastAsia="zh-CN"/>
              </w:rPr>
              <w:t>2530</w:t>
            </w:r>
          </w:p>
        </w:tc>
      </w:tr>
    </w:tbl>
    <w:p>
      <w:pPr>
        <w:keepNext w:val="0"/>
        <w:keepLines w:val="0"/>
        <w:pageBreakBefore w:val="0"/>
        <w:kinsoku/>
        <w:wordWrap/>
        <w:topLinePunct w:val="0"/>
        <w:bidi w:val="0"/>
        <w:snapToGrid/>
        <w:spacing w:line="460" w:lineRule="exact"/>
        <w:ind w:firstLine="480"/>
        <w:jc w:val="center"/>
        <w:rPr>
          <w:color w:val="auto"/>
        </w:rPr>
      </w:pPr>
      <w:r>
        <w:rPr>
          <w:rFonts w:hint="eastAsia" w:ascii="宋体" w:hAnsi="宋体" w:eastAsia="宋体" w:cs="宋体"/>
          <w:color w:val="auto"/>
          <w:sz w:val="21"/>
          <w:szCs w:val="21"/>
          <w:lang w:val="en-US" w:eastAsia="zh-CN"/>
        </w:rPr>
        <w:t>表2：</w:t>
      </w:r>
      <w:r>
        <w:rPr>
          <w:rFonts w:hint="eastAsia"/>
          <w:color w:val="auto"/>
        </w:rPr>
        <w:t>一中心四平台，具体如下：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75"/>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99" w:type="dxa"/>
            <w:shd w:val="clear" w:color="auto" w:fill="D9E2F3" w:themeFill="accent5" w:themeFillTint="33"/>
            <w:noWrap/>
            <w:vAlign w:val="center"/>
          </w:tcPr>
          <w:p>
            <w:pPr>
              <w:keepNext w:val="0"/>
              <w:keepLines w:val="0"/>
              <w:pageBreakBefore w:val="0"/>
              <w:kinsoku/>
              <w:wordWrap/>
              <w:topLinePunct w:val="0"/>
              <w:bidi w:val="0"/>
              <w:snapToGrid/>
              <w:spacing w:line="460" w:lineRule="exact"/>
              <w:jc w:val="center"/>
              <w:rPr>
                <w:b/>
                <w:bCs/>
                <w:color w:val="auto"/>
              </w:rPr>
            </w:pPr>
            <w:r>
              <w:rPr>
                <w:rFonts w:hint="eastAsia"/>
                <w:b/>
                <w:bCs/>
                <w:color w:val="auto"/>
              </w:rPr>
              <w:t>分类</w:t>
            </w:r>
          </w:p>
        </w:tc>
        <w:tc>
          <w:tcPr>
            <w:tcW w:w="1575" w:type="dxa"/>
            <w:shd w:val="clear" w:color="auto" w:fill="D9E2F3" w:themeFill="accent5" w:themeFillTint="33"/>
            <w:noWrap/>
            <w:vAlign w:val="center"/>
          </w:tcPr>
          <w:p>
            <w:pPr>
              <w:keepNext w:val="0"/>
              <w:keepLines w:val="0"/>
              <w:pageBreakBefore w:val="0"/>
              <w:kinsoku/>
              <w:wordWrap/>
              <w:topLinePunct w:val="0"/>
              <w:bidi w:val="0"/>
              <w:snapToGrid/>
              <w:spacing w:line="460" w:lineRule="exact"/>
              <w:jc w:val="center"/>
              <w:rPr>
                <w:b/>
                <w:bCs/>
                <w:color w:val="auto"/>
              </w:rPr>
            </w:pPr>
            <w:r>
              <w:rPr>
                <w:rFonts w:hint="eastAsia"/>
                <w:b/>
                <w:bCs/>
                <w:color w:val="auto"/>
              </w:rPr>
              <w:t>建设内容</w:t>
            </w:r>
          </w:p>
        </w:tc>
        <w:tc>
          <w:tcPr>
            <w:tcW w:w="5822" w:type="dxa"/>
            <w:shd w:val="clear" w:color="auto" w:fill="D9E2F3" w:themeFill="accent5" w:themeFillTint="33"/>
            <w:vAlign w:val="center"/>
          </w:tcPr>
          <w:p>
            <w:pPr>
              <w:keepNext w:val="0"/>
              <w:keepLines w:val="0"/>
              <w:pageBreakBefore w:val="0"/>
              <w:kinsoku/>
              <w:wordWrap/>
              <w:topLinePunct w:val="0"/>
              <w:bidi w:val="0"/>
              <w:snapToGrid/>
              <w:spacing w:line="460" w:lineRule="exact"/>
              <w:jc w:val="center"/>
              <w:rPr>
                <w:b/>
                <w:bCs/>
                <w:color w:val="auto"/>
              </w:rPr>
            </w:pPr>
            <w:r>
              <w:rPr>
                <w:rFonts w:hint="eastAsia"/>
                <w:b/>
                <w:bCs/>
                <w:color w:val="auto"/>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99" w:type="dxa"/>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一中心</w:t>
            </w:r>
          </w:p>
        </w:tc>
        <w:tc>
          <w:tcPr>
            <w:tcW w:w="1575" w:type="dxa"/>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智慧停车监控中心</w:t>
            </w:r>
          </w:p>
        </w:tc>
        <w:tc>
          <w:tcPr>
            <w:tcW w:w="5822" w:type="dxa"/>
            <w:vAlign w:val="center"/>
          </w:tcPr>
          <w:p>
            <w:pPr>
              <w:keepNext w:val="0"/>
              <w:keepLines w:val="0"/>
              <w:pageBreakBefore w:val="0"/>
              <w:kinsoku/>
              <w:wordWrap/>
              <w:topLinePunct w:val="0"/>
              <w:bidi w:val="0"/>
              <w:snapToGrid/>
              <w:spacing w:line="460" w:lineRule="exact"/>
              <w:rPr>
                <w:color w:val="auto"/>
              </w:rPr>
            </w:pPr>
            <w:r>
              <w:rPr>
                <w:rFonts w:hint="eastAsia"/>
                <w:color w:val="auto"/>
              </w:rPr>
              <w:t>将数据和功能聚合后可实现在一个大屏下统一监控所有停车资源，如停车视频工作应用展示、停车业务数据应用展示、停车数据分析结果展示、运营监测数据展示、停车热力地图展示、停车异常行为展示等。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99" w:type="dxa"/>
            <w:vMerge w:val="restart"/>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四平台</w:t>
            </w:r>
          </w:p>
        </w:tc>
        <w:tc>
          <w:tcPr>
            <w:tcW w:w="1575" w:type="dxa"/>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智慧路内停车平台</w:t>
            </w:r>
          </w:p>
        </w:tc>
        <w:tc>
          <w:tcPr>
            <w:tcW w:w="5822" w:type="dxa"/>
            <w:vAlign w:val="center"/>
          </w:tcPr>
          <w:p>
            <w:pPr>
              <w:keepNext w:val="0"/>
              <w:keepLines w:val="0"/>
              <w:pageBreakBefore w:val="0"/>
              <w:kinsoku/>
              <w:wordWrap/>
              <w:topLinePunct w:val="0"/>
              <w:bidi w:val="0"/>
              <w:snapToGrid/>
              <w:spacing w:line="460" w:lineRule="exact"/>
              <w:rPr>
                <w:color w:val="auto"/>
              </w:rPr>
            </w:pPr>
            <w:r>
              <w:rPr>
                <w:rFonts w:hint="eastAsia"/>
                <w:color w:val="auto"/>
              </w:rPr>
              <w:t>实现路内停车管理及运营，如停车实时地图、停车订单、交易记录、用户管理、路段管理、费率管理、黑白名单、系统管理、统计分析、巡检管理、用户投诉工单、停车生态管理系统、巡检管理等。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99" w:type="dxa"/>
            <w:vMerge w:val="continue"/>
            <w:noWrap/>
            <w:vAlign w:val="center"/>
          </w:tcPr>
          <w:p>
            <w:pPr>
              <w:keepNext w:val="0"/>
              <w:keepLines w:val="0"/>
              <w:pageBreakBefore w:val="0"/>
              <w:kinsoku/>
              <w:wordWrap/>
              <w:topLinePunct w:val="0"/>
              <w:bidi w:val="0"/>
              <w:snapToGrid/>
              <w:spacing w:line="460" w:lineRule="exact"/>
              <w:jc w:val="center"/>
              <w:rPr>
                <w:color w:val="auto"/>
              </w:rPr>
            </w:pPr>
          </w:p>
        </w:tc>
        <w:tc>
          <w:tcPr>
            <w:tcW w:w="1575" w:type="dxa"/>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停车场管理平台</w:t>
            </w:r>
          </w:p>
        </w:tc>
        <w:tc>
          <w:tcPr>
            <w:tcW w:w="5822" w:type="dxa"/>
            <w:vAlign w:val="center"/>
          </w:tcPr>
          <w:p>
            <w:pPr>
              <w:keepNext w:val="0"/>
              <w:keepLines w:val="0"/>
              <w:pageBreakBefore w:val="0"/>
              <w:kinsoku/>
              <w:wordWrap/>
              <w:topLinePunct w:val="0"/>
              <w:bidi w:val="0"/>
              <w:snapToGrid/>
              <w:spacing w:line="460" w:lineRule="exact"/>
              <w:rPr>
                <w:color w:val="auto"/>
              </w:rPr>
            </w:pPr>
            <w:r>
              <w:rPr>
                <w:rFonts w:hint="eastAsia"/>
                <w:color w:val="auto"/>
              </w:rPr>
              <w:t>实现停车场无人值守管理及运营。需要的软硬件设备包含：出入口车牌识别管理系统</w:t>
            </w:r>
            <w:r>
              <w:rPr>
                <w:color w:val="auto"/>
              </w:rPr>
              <w:t>/出入口微信二维码管理系统、在线电子缴费系统、对讲系统等。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9" w:type="dxa"/>
            <w:vMerge w:val="continue"/>
            <w:vAlign w:val="center"/>
          </w:tcPr>
          <w:p>
            <w:pPr>
              <w:keepNext w:val="0"/>
              <w:keepLines w:val="0"/>
              <w:pageBreakBefore w:val="0"/>
              <w:kinsoku/>
              <w:wordWrap/>
              <w:topLinePunct w:val="0"/>
              <w:bidi w:val="0"/>
              <w:snapToGrid/>
              <w:spacing w:line="460" w:lineRule="exact"/>
              <w:ind w:firstLine="480"/>
              <w:jc w:val="center"/>
              <w:rPr>
                <w:color w:val="auto"/>
              </w:rPr>
            </w:pPr>
          </w:p>
        </w:tc>
        <w:tc>
          <w:tcPr>
            <w:tcW w:w="1575" w:type="dxa"/>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用户公共服务平台</w:t>
            </w:r>
          </w:p>
        </w:tc>
        <w:tc>
          <w:tcPr>
            <w:tcW w:w="5822" w:type="dxa"/>
            <w:vAlign w:val="center"/>
          </w:tcPr>
          <w:p>
            <w:pPr>
              <w:keepNext w:val="0"/>
              <w:keepLines w:val="0"/>
              <w:pageBreakBefore w:val="0"/>
              <w:kinsoku/>
              <w:wordWrap/>
              <w:topLinePunct w:val="0"/>
              <w:bidi w:val="0"/>
              <w:snapToGrid/>
              <w:spacing w:line="460" w:lineRule="exact"/>
              <w:rPr>
                <w:color w:val="auto"/>
              </w:rPr>
            </w:pPr>
            <w:r>
              <w:rPr>
                <w:rFonts w:hint="eastAsia"/>
                <w:color w:val="auto"/>
              </w:rPr>
              <w:t>将平台能力汇聚，为用户提供入口服务（APP/微信公众号/小程序），包括找车位、停车、充值消费、欠费补缴、停车记录、建议反馈等。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9" w:type="dxa"/>
            <w:vMerge w:val="continue"/>
            <w:vAlign w:val="center"/>
          </w:tcPr>
          <w:p>
            <w:pPr>
              <w:keepNext w:val="0"/>
              <w:keepLines w:val="0"/>
              <w:pageBreakBefore w:val="0"/>
              <w:kinsoku/>
              <w:wordWrap/>
              <w:topLinePunct w:val="0"/>
              <w:bidi w:val="0"/>
              <w:snapToGrid/>
              <w:spacing w:line="460" w:lineRule="exact"/>
              <w:ind w:firstLine="480"/>
              <w:jc w:val="center"/>
              <w:rPr>
                <w:color w:val="auto"/>
              </w:rPr>
            </w:pPr>
          </w:p>
        </w:tc>
        <w:tc>
          <w:tcPr>
            <w:tcW w:w="1575" w:type="dxa"/>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运维管理平台</w:t>
            </w:r>
          </w:p>
        </w:tc>
        <w:tc>
          <w:tcPr>
            <w:tcW w:w="5822" w:type="dxa"/>
            <w:vAlign w:val="center"/>
          </w:tcPr>
          <w:p>
            <w:pPr>
              <w:keepNext w:val="0"/>
              <w:keepLines w:val="0"/>
              <w:pageBreakBefore w:val="0"/>
              <w:kinsoku/>
              <w:wordWrap/>
              <w:topLinePunct w:val="0"/>
              <w:bidi w:val="0"/>
              <w:snapToGrid/>
              <w:spacing w:line="460" w:lineRule="exact"/>
              <w:rPr>
                <w:color w:val="auto"/>
              </w:rPr>
            </w:pPr>
            <w:r>
              <w:rPr>
                <w:rFonts w:hint="eastAsia"/>
                <w:color w:val="auto"/>
              </w:rPr>
              <w:t>将停车数据统一接入，实现统一管理、统一运维、精准考勤、统一部署和安排处理。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9" w:type="dxa"/>
            <w:vMerge w:val="restart"/>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其他</w:t>
            </w:r>
          </w:p>
        </w:tc>
        <w:tc>
          <w:tcPr>
            <w:tcW w:w="1575" w:type="dxa"/>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ETC智能终端</w:t>
            </w:r>
          </w:p>
        </w:tc>
        <w:tc>
          <w:tcPr>
            <w:tcW w:w="5822" w:type="dxa"/>
            <w:vAlign w:val="center"/>
          </w:tcPr>
          <w:p>
            <w:pPr>
              <w:keepNext w:val="0"/>
              <w:keepLines w:val="0"/>
              <w:pageBreakBefore w:val="0"/>
              <w:kinsoku/>
              <w:wordWrap/>
              <w:topLinePunct w:val="0"/>
              <w:bidi w:val="0"/>
              <w:snapToGrid/>
              <w:spacing w:line="460" w:lineRule="exact"/>
              <w:rPr>
                <w:color w:val="auto"/>
              </w:rPr>
            </w:pPr>
            <w:r>
              <w:rPr>
                <w:rFonts w:hint="eastAsia"/>
                <w:color w:val="auto"/>
              </w:rPr>
              <w:t>巡检PDA设备，通过巡检APP，实现停车巡检，补缴结算，巡检管理，巡检统计分析等。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9" w:type="dxa"/>
            <w:vMerge w:val="continue"/>
            <w:vAlign w:val="center"/>
          </w:tcPr>
          <w:p>
            <w:pPr>
              <w:keepNext w:val="0"/>
              <w:keepLines w:val="0"/>
              <w:pageBreakBefore w:val="0"/>
              <w:kinsoku/>
              <w:wordWrap/>
              <w:topLinePunct w:val="0"/>
              <w:bidi w:val="0"/>
              <w:snapToGrid/>
              <w:spacing w:line="460" w:lineRule="exact"/>
              <w:ind w:firstLine="480"/>
              <w:jc w:val="center"/>
              <w:rPr>
                <w:color w:val="auto"/>
              </w:rPr>
            </w:pPr>
          </w:p>
        </w:tc>
        <w:tc>
          <w:tcPr>
            <w:tcW w:w="1575" w:type="dxa"/>
            <w:noWrap/>
            <w:vAlign w:val="center"/>
          </w:tcPr>
          <w:p>
            <w:pPr>
              <w:keepNext w:val="0"/>
              <w:keepLines w:val="0"/>
              <w:pageBreakBefore w:val="0"/>
              <w:kinsoku/>
              <w:wordWrap/>
              <w:topLinePunct w:val="0"/>
              <w:bidi w:val="0"/>
              <w:snapToGrid/>
              <w:spacing w:line="460" w:lineRule="exact"/>
              <w:jc w:val="center"/>
              <w:rPr>
                <w:color w:val="auto"/>
              </w:rPr>
            </w:pPr>
            <w:r>
              <w:rPr>
                <w:rFonts w:hint="eastAsia"/>
                <w:color w:val="auto"/>
              </w:rPr>
              <w:t>云资源</w:t>
            </w:r>
          </w:p>
        </w:tc>
        <w:tc>
          <w:tcPr>
            <w:tcW w:w="5822" w:type="dxa"/>
            <w:vAlign w:val="center"/>
          </w:tcPr>
          <w:p>
            <w:pPr>
              <w:keepNext w:val="0"/>
              <w:keepLines w:val="0"/>
              <w:pageBreakBefore w:val="0"/>
              <w:kinsoku/>
              <w:wordWrap/>
              <w:topLinePunct w:val="0"/>
              <w:bidi w:val="0"/>
              <w:snapToGrid/>
              <w:spacing w:line="460" w:lineRule="exact"/>
              <w:rPr>
                <w:color w:val="auto"/>
              </w:rPr>
            </w:pPr>
            <w:r>
              <w:rPr>
                <w:rFonts w:hint="eastAsia"/>
                <w:color w:val="auto"/>
              </w:rPr>
              <w:t>建设内容相关的软件部署在租赁云资源上，云资源按年付费。</w:t>
            </w:r>
          </w:p>
        </w:tc>
      </w:tr>
    </w:tbl>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本项目建设需求分析</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本项目为一次建设，对2262个泊位开展智能化升级建设，并将2530个停车泊位接入智能停车信息管理平台，实现辖区停车资源统一管理，需求如下：</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left="0" w:leftChars="0" w:firstLine="42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智慧停车监控中心建设需求</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将数据和功能聚合后可实现在一个大屏下统一监控所有停车资源，如停车视频工作应用展示、停车业务数据应用展示、停车数据分析结果展示、运营监测数据展示、停车热力地图展示、停车异常行为展示等。</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left="0" w:leftChars="0" w:firstLine="42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智慧停车平台建设需求</w:t>
      </w:r>
    </w:p>
    <w:p>
      <w:pPr>
        <w:pStyle w:val="23"/>
        <w:keepNext w:val="0"/>
        <w:keepLines w:val="0"/>
        <w:pageBreakBefore w:val="0"/>
        <w:numPr>
          <w:ilvl w:val="0"/>
          <w:numId w:val="7"/>
        </w:numPr>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智慧停车平台建设</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现各种资源实时监控，并提供多个维度的大数据分析挖掘功能，以便增强用户体验、提高资源利用效率、降低管理成本、提高运营收入。功能包括停车实时地图、停车订单、交易记录、用户管理、路段管理、费率管理、黑白名单、系统管理、统计分析、巡检管理、用户投诉工单、停车生态管理系统、巡检管理等。</w:t>
      </w:r>
    </w:p>
    <w:p>
      <w:pPr>
        <w:pStyle w:val="23"/>
        <w:keepNext w:val="0"/>
        <w:keepLines w:val="0"/>
        <w:pageBreakBefore w:val="0"/>
        <w:numPr>
          <w:ilvl w:val="0"/>
          <w:numId w:val="7"/>
        </w:numPr>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停车泊位智能化改造</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道路边安装低位智慧车位感应器实时监控停车，自动识别停车行为和车牌号码，自动计费并拍照上传到云端服务器。设备安装在马路牙上或车位定位器上安装。对停车场停车泊位实现智能化升级改造，安装智能道闸、车牌识别一体机、无人值守系统等，实现无人值守管理。</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项目建设规模及合作期限</w:t>
      </w:r>
    </w:p>
    <w:p>
      <w:pPr>
        <w:pStyle w:val="23"/>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本项目的建设本着质量、安全第一的原则，按时、按质完成，投入运行，及早创造社会效益和经济效益。</w:t>
      </w:r>
    </w:p>
    <w:p>
      <w:pPr>
        <w:pStyle w:val="23"/>
        <w:keepNext w:val="0"/>
        <w:keepLines w:val="0"/>
        <w:pageBreakBefore w:val="0"/>
        <w:numPr>
          <w:ilvl w:val="0"/>
          <w:numId w:val="0"/>
        </w:numPr>
        <w:kinsoku/>
        <w:wordWrap/>
        <w:topLinePunct w:val="0"/>
        <w:bidi w:val="0"/>
        <w:snapToGrid/>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一</w:t>
      </w:r>
      <w:r>
        <w:rPr>
          <w:rFonts w:hint="eastAsia" w:ascii="宋体" w:hAnsi="宋体" w:cs="宋体"/>
          <w:color w:val="auto"/>
          <w:szCs w:val="21"/>
          <w:highlight w:val="none"/>
          <w:lang w:eastAsia="zh-CN"/>
        </w:rPr>
        <w:t>）</w:t>
      </w:r>
      <w:r>
        <w:rPr>
          <w:rFonts w:hint="eastAsia" w:ascii="宋体" w:hAnsi="宋体" w:cs="宋体"/>
          <w:color w:val="auto"/>
          <w:szCs w:val="21"/>
          <w:highlight w:val="none"/>
        </w:rPr>
        <w:t>本项目规划建设2530个停车泊位，其中对2262个停车泊位开展智能化升级建设，估算项目总投资6,269.25（万元）</w:t>
      </w:r>
      <w:r>
        <w:rPr>
          <w:rFonts w:hint="eastAsia" w:ascii="宋体" w:hAnsi="宋体" w:cs="宋体"/>
          <w:color w:val="auto"/>
          <w:szCs w:val="21"/>
          <w:highlight w:val="none"/>
          <w:lang w:eastAsia="zh-CN"/>
        </w:rPr>
        <w:t>，</w:t>
      </w:r>
      <w:r>
        <w:rPr>
          <w:rFonts w:hint="eastAsia" w:ascii="宋体" w:hAnsi="宋体" w:cs="宋体"/>
          <w:color w:val="auto"/>
          <w:szCs w:val="21"/>
          <w:highlight w:val="none"/>
        </w:rPr>
        <w:t>其中</w:t>
      </w:r>
      <w:r>
        <w:rPr>
          <w:rFonts w:hint="eastAsia" w:ascii="宋体" w:hAnsi="宋体" w:cs="宋体"/>
          <w:color w:val="auto"/>
          <w:szCs w:val="21"/>
          <w:highlight w:val="none"/>
          <w:lang w:val="en-US" w:eastAsia="zh-CN"/>
        </w:rPr>
        <w:t>建设期</w:t>
      </w:r>
      <w:r>
        <w:rPr>
          <w:rFonts w:hint="eastAsia" w:ascii="宋体" w:hAnsi="宋体" w:cs="宋体"/>
          <w:color w:val="auto"/>
          <w:szCs w:val="21"/>
          <w:highlight w:val="none"/>
        </w:rPr>
        <w:t>投资838.27（万元），第六年更新设备819.67</w:t>
      </w:r>
      <w:r>
        <w:rPr>
          <w:rFonts w:hint="eastAsia" w:ascii="宋体" w:hAnsi="宋体" w:cs="宋体"/>
          <w:color w:val="auto"/>
          <w:szCs w:val="21"/>
          <w:highlight w:val="none"/>
          <w:lang w:eastAsia="zh-CN"/>
        </w:rPr>
        <w:t>（</w:t>
      </w:r>
      <w:r>
        <w:rPr>
          <w:rFonts w:hint="eastAsia" w:ascii="宋体" w:hAnsi="宋体" w:cs="宋体"/>
          <w:color w:val="auto"/>
          <w:szCs w:val="21"/>
          <w:highlight w:val="none"/>
        </w:rPr>
        <w:t>万元</w:t>
      </w:r>
      <w:r>
        <w:rPr>
          <w:rFonts w:hint="eastAsia" w:ascii="宋体" w:hAnsi="宋体" w:cs="宋体"/>
          <w:color w:val="auto"/>
          <w:szCs w:val="21"/>
          <w:highlight w:val="none"/>
          <w:lang w:eastAsia="zh-CN"/>
        </w:rPr>
        <w:t>）</w:t>
      </w:r>
      <w:r>
        <w:rPr>
          <w:rFonts w:hint="eastAsia" w:ascii="宋体" w:hAnsi="宋体" w:cs="宋体"/>
          <w:color w:val="auto"/>
          <w:szCs w:val="21"/>
          <w:highlight w:val="none"/>
        </w:rPr>
        <w:t>，可研报告编制费1（万元），项目预备金按建设投资3%计提49.74（万元）</w:t>
      </w:r>
      <w:r>
        <w:rPr>
          <w:rFonts w:hint="eastAsia" w:ascii="宋体" w:hAnsi="宋体" w:cs="宋体"/>
          <w:color w:val="auto"/>
          <w:szCs w:val="21"/>
          <w:highlight w:val="none"/>
          <w:lang w:eastAsia="zh-CN"/>
        </w:rPr>
        <w:t>，</w:t>
      </w:r>
      <w:r>
        <w:rPr>
          <w:rFonts w:hint="eastAsia" w:ascii="宋体" w:hAnsi="宋体" w:cs="宋体"/>
          <w:color w:val="auto"/>
          <w:szCs w:val="21"/>
          <w:highlight w:val="none"/>
        </w:rPr>
        <w:t>12年运营成本4500.63（万元）。</w:t>
      </w:r>
    </w:p>
    <w:p>
      <w:pPr>
        <w:pStyle w:val="23"/>
        <w:keepNext w:val="0"/>
        <w:keepLines w:val="0"/>
        <w:pageBreakBefore w:val="0"/>
        <w:numPr>
          <w:ilvl w:val="0"/>
          <w:numId w:val="0"/>
        </w:numPr>
        <w:kinsoku/>
        <w:wordWrap/>
        <w:topLinePunct w:val="0"/>
        <w:bidi w:val="0"/>
        <w:snapToGrid/>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lang w:eastAsia="zh-CN"/>
        </w:rPr>
        <w:t>）</w:t>
      </w:r>
      <w:r>
        <w:rPr>
          <w:rFonts w:hint="eastAsia" w:ascii="宋体" w:hAnsi="宋体" w:cs="宋体"/>
          <w:color w:val="auto"/>
          <w:szCs w:val="21"/>
          <w:highlight w:val="none"/>
        </w:rPr>
        <w:t>本项目估算总投资额为6,269.25万元，无银行贷款，全部由中标公司自筹。</w:t>
      </w:r>
    </w:p>
    <w:p>
      <w:pPr>
        <w:pStyle w:val="23"/>
        <w:keepNext w:val="0"/>
        <w:keepLines w:val="0"/>
        <w:pageBreakBefore w:val="0"/>
        <w:numPr>
          <w:ilvl w:val="0"/>
          <w:numId w:val="0"/>
        </w:numPr>
        <w:kinsoku/>
        <w:wordWrap/>
        <w:topLinePunct w:val="0"/>
        <w:bidi w:val="0"/>
        <w:snapToGrid/>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lang w:eastAsia="zh-CN"/>
        </w:rPr>
        <w:t>）</w:t>
      </w: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十二 </w:t>
      </w:r>
      <w:r>
        <w:rPr>
          <w:rFonts w:hint="eastAsia" w:ascii="宋体" w:hAnsi="宋体" w:cs="宋体"/>
          <w:color w:val="auto"/>
          <w:szCs w:val="21"/>
          <w:highlight w:val="none"/>
        </w:rPr>
        <w:t>年，其中建设期</w:t>
      </w:r>
      <w:r>
        <w:rPr>
          <w:rFonts w:hint="eastAsia" w:ascii="宋体" w:hAnsi="宋体" w:cs="宋体"/>
          <w:color w:val="auto"/>
          <w:szCs w:val="21"/>
          <w:highlight w:val="none"/>
          <w:u w:val="single"/>
        </w:rPr>
        <w:t xml:space="preserve"> 二 </w:t>
      </w:r>
      <w:r>
        <w:rPr>
          <w:rFonts w:hint="eastAsia" w:ascii="宋体" w:hAnsi="宋体" w:cs="宋体"/>
          <w:color w:val="auto"/>
          <w:szCs w:val="21"/>
          <w:highlight w:val="none"/>
        </w:rPr>
        <w:t>年，运营期</w:t>
      </w:r>
      <w:r>
        <w:rPr>
          <w:rFonts w:hint="eastAsia" w:ascii="宋体" w:hAnsi="宋体" w:cs="宋体"/>
          <w:color w:val="auto"/>
          <w:szCs w:val="21"/>
          <w:highlight w:val="none"/>
          <w:u w:val="single"/>
        </w:rPr>
        <w:t xml:space="preserve"> 十 </w:t>
      </w:r>
      <w:r>
        <w:rPr>
          <w:rFonts w:hint="eastAsia" w:ascii="宋体" w:hAnsi="宋体" w:cs="宋体"/>
          <w:color w:val="auto"/>
          <w:szCs w:val="21"/>
          <w:highlight w:val="none"/>
        </w:rPr>
        <w:t>年。</w:t>
      </w:r>
    </w:p>
    <w:p>
      <w:pPr>
        <w:pStyle w:val="23"/>
        <w:keepNext w:val="0"/>
        <w:keepLines w:val="0"/>
        <w:pageBreakBefore w:val="0"/>
        <w:kinsoku/>
        <w:wordWrap/>
        <w:topLinePunct w:val="0"/>
        <w:bidi w:val="0"/>
        <w:snapToGrid/>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建设期第一年，建设不少于1200个车位；</w:t>
      </w:r>
    </w:p>
    <w:p>
      <w:pPr>
        <w:pStyle w:val="23"/>
        <w:keepNext w:val="0"/>
        <w:keepLines w:val="0"/>
        <w:pageBreakBefore w:val="0"/>
        <w:kinsoku/>
        <w:wordWrap/>
        <w:topLinePunct w:val="0"/>
        <w:bidi w:val="0"/>
        <w:snapToGrid/>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建设期第二年，完成所有</w:t>
      </w:r>
      <w:r>
        <w:rPr>
          <w:rFonts w:hint="eastAsia" w:ascii="宋体" w:hAnsi="宋体" w:cs="宋体"/>
          <w:color w:val="auto"/>
          <w:szCs w:val="21"/>
          <w:highlight w:val="none"/>
          <w:lang w:val="en-US" w:eastAsia="zh-CN"/>
        </w:rPr>
        <w:t>车位</w:t>
      </w:r>
      <w:r>
        <w:rPr>
          <w:rFonts w:hint="eastAsia" w:ascii="宋体" w:hAnsi="宋体" w:cs="宋体"/>
          <w:color w:val="auto"/>
          <w:szCs w:val="21"/>
          <w:highlight w:val="none"/>
        </w:rPr>
        <w:t>建设；</w:t>
      </w:r>
    </w:p>
    <w:p>
      <w:pPr>
        <w:pStyle w:val="23"/>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szCs w:val="21"/>
        </w:rPr>
        <w:t>最终以特许经营协议为准。</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项目总投资构成</w:t>
      </w:r>
    </w:p>
    <w:p>
      <w:pPr>
        <w:pStyle w:val="5"/>
        <w:keepNext w:val="0"/>
        <w:keepLines w:val="0"/>
        <w:pageBreakBefore w:val="0"/>
        <w:kinsoku/>
        <w:wordWrap/>
        <w:topLinePunct w:val="0"/>
        <w:bidi w:val="0"/>
        <w:snapToGrid/>
        <w:spacing w:line="460" w:lineRule="exact"/>
        <w:rPr>
          <w:rFonts w:hint="eastAsia"/>
          <w:color w:val="auto"/>
        </w:rPr>
      </w:pPr>
    </w:p>
    <w:p>
      <w:pPr>
        <w:pStyle w:val="8"/>
        <w:rPr>
          <w:rFonts w:hint="eastAsia"/>
          <w:color w:val="auto"/>
        </w:rPr>
      </w:pPr>
      <w:r>
        <w:rPr>
          <w:rFonts w:hint="eastAsia"/>
          <w:color w:val="auto"/>
        </w:rPr>
        <w:drawing>
          <wp:inline distT="0" distB="0" distL="0" distR="0">
            <wp:extent cx="5024755" cy="1800225"/>
            <wp:effectExtent l="0" t="6350" r="0" b="3746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sz w:val="21"/>
          <w:szCs w:val="21"/>
        </w:rPr>
      </w:pPr>
      <w:r>
        <w:rPr>
          <w:rFonts w:hint="eastAsia" w:ascii="宋体" w:hAnsi="宋体" w:eastAsia="宋体" w:cs="宋体"/>
          <w:b/>
          <w:bCs/>
          <w:color w:val="auto"/>
          <w:sz w:val="21"/>
          <w:szCs w:val="21"/>
        </w:rPr>
        <w:t>投资建设要求</w:t>
      </w:r>
    </w:p>
    <w:p>
      <w:pPr>
        <w:pStyle w:val="23"/>
        <w:keepNext w:val="0"/>
        <w:keepLines w:val="0"/>
        <w:pageBreakBefore w:val="0"/>
        <w:numPr>
          <w:ilvl w:val="0"/>
          <w:numId w:val="0"/>
        </w:numPr>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rPr>
        <w:t>项目中标后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由中标公司自有资金进行投资，负责智慧城市停车平台及项目的基础建设和运营</w:t>
      </w:r>
      <w:r>
        <w:rPr>
          <w:rFonts w:hint="eastAsia" w:ascii="宋体" w:hAnsi="宋体" w:eastAsia="宋体" w:cs="宋体"/>
          <w:color w:val="auto"/>
          <w:sz w:val="21"/>
          <w:szCs w:val="21"/>
          <w:lang w:eastAsia="zh-CN"/>
        </w:rPr>
        <w:t>。</w:t>
      </w:r>
    </w:p>
    <w:p>
      <w:pPr>
        <w:pStyle w:val="23"/>
        <w:keepNext w:val="0"/>
        <w:keepLines w:val="0"/>
        <w:pageBreakBefore w:val="0"/>
        <w:numPr>
          <w:ilvl w:val="0"/>
          <w:numId w:val="0"/>
        </w:numPr>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rPr>
        <w:t>本项目中标后项目运营公司应制定详细的建设方案。</w:t>
      </w:r>
    </w:p>
    <w:p>
      <w:pPr>
        <w:pStyle w:val="23"/>
        <w:keepNext w:val="0"/>
        <w:keepLines w:val="0"/>
        <w:pageBreakBefore w:val="0"/>
        <w:numPr>
          <w:ilvl w:val="0"/>
          <w:numId w:val="0"/>
        </w:numPr>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w:t>
      </w:r>
      <w:r>
        <w:rPr>
          <w:rFonts w:hint="eastAsia" w:ascii="宋体" w:hAnsi="宋体" w:eastAsia="宋体" w:cs="宋体"/>
          <w:color w:val="auto"/>
          <w:sz w:val="21"/>
          <w:szCs w:val="21"/>
        </w:rPr>
        <w:t>项目建设的实施标准：符合我国国家有关技术规范要求和技术标准，必须保证同时安装到位。</w:t>
      </w:r>
    </w:p>
    <w:p>
      <w:pPr>
        <w:pStyle w:val="23"/>
        <w:keepNext w:val="0"/>
        <w:keepLines w:val="0"/>
        <w:pageBreakBefore w:val="0"/>
        <w:numPr>
          <w:ilvl w:val="0"/>
          <w:numId w:val="0"/>
        </w:numPr>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cs="宋体"/>
          <w:color w:val="auto"/>
          <w:sz w:val="21"/>
          <w:szCs w:val="21"/>
          <w:lang w:eastAsia="zh-CN"/>
        </w:rPr>
        <w:t>）</w:t>
      </w:r>
      <w:r>
        <w:rPr>
          <w:rFonts w:hint="eastAsia" w:ascii="宋体" w:hAnsi="宋体" w:eastAsia="宋体" w:cs="宋体"/>
          <w:color w:val="auto"/>
          <w:sz w:val="21"/>
          <w:szCs w:val="21"/>
        </w:rPr>
        <w:t>项目建设过程中，如涉及市政、电力、绿化等部门的，必需按相关法律、法规依法办理审批。</w:t>
      </w:r>
    </w:p>
    <w:p>
      <w:pPr>
        <w:pStyle w:val="23"/>
        <w:keepNext w:val="0"/>
        <w:keepLines w:val="0"/>
        <w:pageBreakBefore w:val="0"/>
        <w:numPr>
          <w:ilvl w:val="0"/>
          <w:numId w:val="0"/>
        </w:numPr>
        <w:kinsoku/>
        <w:wordWrap/>
        <w:topLinePunct w:val="0"/>
        <w:bidi w:val="0"/>
        <w:snapToGrid/>
        <w:spacing w:line="460" w:lineRule="exact"/>
        <w:ind w:firstLine="420" w:firstLineChars="200"/>
        <w:rPr>
          <w:rFonts w:hint="eastAsia" w:ascii="宋体" w:hAnsi="宋体" w:eastAsia="宋体" w:cs="宋体"/>
          <w:color w:val="auto"/>
          <w:sz w:val="21"/>
          <w:szCs w:val="21"/>
        </w:rPr>
      </w:pPr>
      <w:r>
        <w:rPr>
          <w:rFonts w:hint="eastAsia" w:ascii="宋体" w:hAnsi="宋体" w:cs="宋体"/>
          <w:color w:val="auto"/>
          <w:kern w:val="28"/>
          <w:sz w:val="21"/>
          <w:szCs w:val="21"/>
          <w:lang w:eastAsia="zh-CN"/>
        </w:rPr>
        <w:t>（</w:t>
      </w:r>
      <w:r>
        <w:rPr>
          <w:rFonts w:hint="eastAsia" w:ascii="宋体" w:hAnsi="宋体" w:cs="宋体"/>
          <w:color w:val="auto"/>
          <w:kern w:val="28"/>
          <w:sz w:val="21"/>
          <w:szCs w:val="21"/>
          <w:lang w:val="en-US" w:eastAsia="zh-CN"/>
        </w:rPr>
        <w:t>五</w:t>
      </w:r>
      <w:r>
        <w:rPr>
          <w:rFonts w:hint="eastAsia" w:ascii="宋体" w:hAnsi="宋体" w:cs="宋体"/>
          <w:color w:val="auto"/>
          <w:kern w:val="28"/>
          <w:sz w:val="21"/>
          <w:szCs w:val="21"/>
          <w:lang w:eastAsia="zh-CN"/>
        </w:rPr>
        <w:t>）</w:t>
      </w:r>
      <w:r>
        <w:rPr>
          <w:rFonts w:hint="eastAsia" w:ascii="宋体" w:hAnsi="宋体" w:eastAsia="宋体" w:cs="宋体"/>
          <w:color w:val="auto"/>
          <w:kern w:val="28"/>
          <w:sz w:val="21"/>
          <w:szCs w:val="21"/>
        </w:rPr>
        <w:t>相关要求：</w:t>
      </w:r>
      <w:r>
        <w:rPr>
          <w:rFonts w:hint="eastAsia" w:ascii="宋体" w:hAnsi="宋体" w:eastAsia="宋体" w:cs="宋体"/>
          <w:color w:val="auto"/>
          <w:kern w:val="0"/>
          <w:sz w:val="21"/>
          <w:szCs w:val="21"/>
        </w:rPr>
        <w:t>停车位收费标准严格按照</w:t>
      </w:r>
      <w:r>
        <w:rPr>
          <w:rFonts w:hint="eastAsia" w:ascii="宋体" w:hAnsi="宋体" w:eastAsia="宋体" w:cs="宋体"/>
          <w:color w:val="auto"/>
          <w:sz w:val="21"/>
          <w:szCs w:val="21"/>
        </w:rPr>
        <w:t>报区经发局批准</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lang w:val="en-US" w:eastAsia="zh-CN"/>
        </w:rPr>
        <w:t>相关文件执行</w:t>
      </w:r>
      <w:r>
        <w:rPr>
          <w:rFonts w:hint="eastAsia" w:ascii="宋体" w:hAnsi="宋体" w:eastAsia="宋体" w:cs="宋体"/>
          <w:color w:val="auto"/>
          <w:kern w:val="0"/>
          <w:sz w:val="21"/>
          <w:szCs w:val="21"/>
        </w:rPr>
        <w:t>。</w:t>
      </w:r>
    </w:p>
    <w:p>
      <w:pPr>
        <w:keepNext w:val="0"/>
        <w:keepLines w:val="0"/>
        <w:pageBreakBefore w:val="0"/>
        <w:numPr>
          <w:ilvl w:val="0"/>
          <w:numId w:val="4"/>
        </w:numPr>
        <w:kinsoku/>
        <w:wordWrap/>
        <w:topLinePunct w:val="0"/>
        <w:bidi w:val="0"/>
        <w:snapToGrid/>
        <w:spacing w:line="460" w:lineRule="exact"/>
        <w:outlineLvl w:val="2"/>
        <w:rPr>
          <w:color w:val="auto"/>
        </w:rPr>
      </w:pPr>
      <w:r>
        <w:rPr>
          <w:rFonts w:hint="eastAsia"/>
          <w:b/>
          <w:bCs/>
          <w:color w:val="auto"/>
        </w:rPr>
        <w:t>建设</w:t>
      </w:r>
      <w:r>
        <w:rPr>
          <w:rFonts w:hint="eastAsia" w:ascii="宋体" w:hAnsi="宋体" w:eastAsia="宋体" w:cs="宋体"/>
          <w:b/>
          <w:bCs/>
          <w:color w:val="auto"/>
          <w:kern w:val="0"/>
          <w:sz w:val="21"/>
          <w:szCs w:val="21"/>
        </w:rPr>
        <w:t>内容</w:t>
      </w:r>
    </w:p>
    <w:p>
      <w:pPr>
        <w:keepNext w:val="0"/>
        <w:keepLines w:val="0"/>
        <w:pageBreakBefore w:val="0"/>
        <w:kinsoku/>
        <w:wordWrap/>
        <w:topLinePunct w:val="0"/>
        <w:bidi w:val="0"/>
        <w:snapToGrid/>
        <w:spacing w:line="460" w:lineRule="exact"/>
        <w:ind w:firstLine="420" w:firstLineChars="200"/>
        <w:rPr>
          <w:color w:val="auto"/>
        </w:rPr>
      </w:pPr>
      <w:r>
        <w:rPr>
          <w:rFonts w:hint="eastAsia"/>
          <w:color w:val="auto"/>
        </w:rPr>
        <w:t>智慧停车项目总体建设内容可概括为一个中心、四个平台：</w:t>
      </w:r>
    </w:p>
    <w:p>
      <w:pPr>
        <w:pStyle w:val="25"/>
        <w:keepNext w:val="0"/>
        <w:keepLines w:val="0"/>
        <w:pageBreakBefore w:val="0"/>
        <w:numPr>
          <w:ilvl w:val="0"/>
          <w:numId w:val="8"/>
        </w:numPr>
        <w:kinsoku/>
        <w:wordWrap/>
        <w:topLinePunct w:val="0"/>
        <w:bidi w:val="0"/>
        <w:snapToGrid/>
        <w:spacing w:line="460" w:lineRule="exact"/>
        <w:rPr>
          <w:color w:val="auto"/>
        </w:rPr>
      </w:pPr>
      <w:r>
        <w:rPr>
          <w:rFonts w:hint="eastAsia"/>
          <w:color w:val="auto"/>
        </w:rPr>
        <w:t>一个中心</w:t>
      </w:r>
    </w:p>
    <w:p>
      <w:pPr>
        <w:keepNext w:val="0"/>
        <w:keepLines w:val="0"/>
        <w:pageBreakBefore w:val="0"/>
        <w:kinsoku/>
        <w:wordWrap/>
        <w:topLinePunct w:val="0"/>
        <w:bidi w:val="0"/>
        <w:snapToGrid/>
        <w:spacing w:line="460" w:lineRule="exact"/>
        <w:ind w:firstLine="420" w:firstLineChars="200"/>
        <w:rPr>
          <w:color w:val="auto"/>
        </w:rPr>
      </w:pPr>
      <w:r>
        <w:rPr>
          <w:rFonts w:hint="eastAsia"/>
          <w:color w:val="auto"/>
        </w:rPr>
        <w:t>智慧停车监控中心：将数据和功能聚合后可实现在一个大屏下统一监控所有停车资源，如停车场监控、车位监控、设备监控、停车实况监控、违章监控、财务收入、运营分析等。</w:t>
      </w:r>
    </w:p>
    <w:p>
      <w:pPr>
        <w:pStyle w:val="25"/>
        <w:keepNext w:val="0"/>
        <w:keepLines w:val="0"/>
        <w:pageBreakBefore w:val="0"/>
        <w:numPr>
          <w:ilvl w:val="0"/>
          <w:numId w:val="8"/>
        </w:numPr>
        <w:kinsoku/>
        <w:wordWrap/>
        <w:topLinePunct w:val="0"/>
        <w:bidi w:val="0"/>
        <w:snapToGrid/>
        <w:spacing w:line="460" w:lineRule="exact"/>
        <w:rPr>
          <w:color w:val="auto"/>
        </w:rPr>
      </w:pPr>
      <w:r>
        <w:rPr>
          <w:rFonts w:hint="eastAsia"/>
          <w:color w:val="auto"/>
        </w:rPr>
        <w:t>四个平台</w:t>
      </w:r>
    </w:p>
    <w:p>
      <w:pPr>
        <w:pStyle w:val="23"/>
        <w:keepNext w:val="0"/>
        <w:keepLines w:val="0"/>
        <w:pageBreakBefore w:val="0"/>
        <w:numPr>
          <w:ilvl w:val="0"/>
          <w:numId w:val="0"/>
        </w:numPr>
        <w:kinsoku/>
        <w:wordWrap/>
        <w:topLinePunct w:val="0"/>
        <w:bidi w:val="0"/>
        <w:snapToGrid/>
        <w:spacing w:line="460" w:lineRule="exact"/>
        <w:ind w:firstLine="420" w:firstLineChars="200"/>
        <w:rPr>
          <w:color w:val="auto"/>
        </w:rPr>
      </w:pPr>
      <w:r>
        <w:rPr>
          <w:rFonts w:hint="eastAsia"/>
          <w:color w:val="auto"/>
          <w:lang w:val="en-US" w:eastAsia="zh-CN"/>
        </w:rPr>
        <w:t>1、</w:t>
      </w:r>
      <w:r>
        <w:rPr>
          <w:rFonts w:hint="eastAsia"/>
          <w:color w:val="auto"/>
        </w:rPr>
        <w:t>智慧路内停车平台：实现路内停车管理及运营。</w:t>
      </w:r>
    </w:p>
    <w:p>
      <w:pPr>
        <w:pStyle w:val="23"/>
        <w:keepNext w:val="0"/>
        <w:keepLines w:val="0"/>
        <w:pageBreakBefore w:val="0"/>
        <w:numPr>
          <w:ilvl w:val="0"/>
          <w:numId w:val="0"/>
        </w:numPr>
        <w:kinsoku/>
        <w:wordWrap/>
        <w:topLinePunct w:val="0"/>
        <w:bidi w:val="0"/>
        <w:snapToGrid/>
        <w:spacing w:line="460" w:lineRule="exact"/>
        <w:ind w:firstLine="420" w:firstLineChars="200"/>
        <w:rPr>
          <w:color w:val="auto"/>
        </w:rPr>
      </w:pPr>
      <w:r>
        <w:rPr>
          <w:rFonts w:hint="eastAsia"/>
          <w:color w:val="auto"/>
          <w:lang w:val="en-US" w:eastAsia="zh-CN"/>
        </w:rPr>
        <w:t>2、</w:t>
      </w:r>
      <w:r>
        <w:rPr>
          <w:rFonts w:hint="eastAsia"/>
          <w:color w:val="auto"/>
        </w:rPr>
        <w:t>用户公共服务平台：将平台能力汇聚，为用户提供入口服务，包括自助停车、自助缴费、车位查询导航等服务。</w:t>
      </w:r>
    </w:p>
    <w:p>
      <w:pPr>
        <w:pStyle w:val="23"/>
        <w:keepNext w:val="0"/>
        <w:keepLines w:val="0"/>
        <w:pageBreakBefore w:val="0"/>
        <w:numPr>
          <w:ilvl w:val="0"/>
          <w:numId w:val="0"/>
        </w:numPr>
        <w:kinsoku/>
        <w:wordWrap/>
        <w:topLinePunct w:val="0"/>
        <w:bidi w:val="0"/>
        <w:snapToGrid/>
        <w:spacing w:line="460" w:lineRule="exact"/>
        <w:ind w:firstLine="420" w:firstLineChars="200"/>
        <w:rPr>
          <w:rFonts w:hint="eastAsia"/>
          <w:color w:val="auto"/>
        </w:rPr>
      </w:pPr>
      <w:r>
        <w:rPr>
          <w:rFonts w:hint="eastAsia"/>
          <w:color w:val="auto"/>
          <w:lang w:val="en-US" w:eastAsia="zh-CN"/>
        </w:rPr>
        <w:t>3、</w:t>
      </w:r>
      <w:r>
        <w:rPr>
          <w:rFonts w:hint="eastAsia"/>
          <w:color w:val="auto"/>
        </w:rPr>
        <w:t>停车场管理平台：实现停车场无人值守运营及管；</w:t>
      </w:r>
    </w:p>
    <w:p>
      <w:pPr>
        <w:pStyle w:val="23"/>
        <w:keepNext w:val="0"/>
        <w:keepLines w:val="0"/>
        <w:pageBreakBefore w:val="0"/>
        <w:numPr>
          <w:ilvl w:val="0"/>
          <w:numId w:val="0"/>
        </w:numPr>
        <w:kinsoku/>
        <w:wordWrap/>
        <w:topLinePunct w:val="0"/>
        <w:bidi w:val="0"/>
        <w:snapToGrid/>
        <w:spacing w:line="460" w:lineRule="exact"/>
        <w:ind w:firstLine="420" w:firstLineChars="200"/>
        <w:rPr>
          <w:rFonts w:hint="eastAsia"/>
          <w:color w:val="auto"/>
        </w:rPr>
      </w:pPr>
      <w:r>
        <w:rPr>
          <w:rFonts w:hint="eastAsia"/>
          <w:color w:val="auto"/>
          <w:lang w:val="en-US" w:eastAsia="zh-CN"/>
        </w:rPr>
        <w:t>4、</w:t>
      </w:r>
      <w:r>
        <w:rPr>
          <w:rFonts w:hint="eastAsia"/>
          <w:color w:val="auto"/>
        </w:rPr>
        <w:t>运维管理平台：将停车数据统一接入，实现统一管理、统一考勤、精准识别和处理。</w:t>
      </w:r>
    </w:p>
    <w:p>
      <w:pPr>
        <w:keepNext w:val="0"/>
        <w:keepLines w:val="0"/>
        <w:pageBreakBefore w:val="0"/>
        <w:numPr>
          <w:ilvl w:val="0"/>
          <w:numId w:val="9"/>
        </w:numPr>
        <w:kinsoku/>
        <w:wordWrap/>
        <w:topLinePunct w:val="0"/>
        <w:bidi w:val="0"/>
        <w:snapToGrid/>
        <w:spacing w:line="460" w:lineRule="exact"/>
        <w:ind w:left="0" w:leftChars="0" w:firstLine="420" w:firstLineChars="0"/>
        <w:outlineLvl w:val="9"/>
        <w:rPr>
          <w:rFonts w:hint="eastAsia"/>
          <w:b/>
          <w:bCs/>
          <w:color w:val="auto"/>
        </w:rPr>
      </w:pPr>
      <w:r>
        <w:rPr>
          <w:rFonts w:hint="eastAsia"/>
          <w:b/>
          <w:bCs/>
          <w:color w:val="auto"/>
        </w:rPr>
        <w:t>智慧停车监控中心</w:t>
      </w:r>
    </w:p>
    <w:p>
      <w:pPr>
        <w:keepNext w:val="0"/>
        <w:keepLines w:val="0"/>
        <w:pageBreakBefore w:val="0"/>
        <w:kinsoku/>
        <w:wordWrap/>
        <w:topLinePunct w:val="0"/>
        <w:bidi w:val="0"/>
        <w:snapToGrid/>
        <w:spacing w:line="460" w:lineRule="exact"/>
        <w:ind w:firstLine="420" w:firstLineChars="200"/>
        <w:outlineLvl w:val="9"/>
        <w:rPr>
          <w:rFonts w:hint="eastAsia"/>
          <w:color w:val="auto"/>
        </w:rPr>
      </w:pPr>
      <w:r>
        <w:rPr>
          <w:rFonts w:hint="eastAsia"/>
          <w:color w:val="auto"/>
        </w:rPr>
        <w:t>实现数据和功能聚合，可以建立大屏监控中心，停车平台将数据流同步到大屏设备。</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color w:val="auto"/>
        </w:rPr>
      </w:pPr>
      <w:r>
        <w:rPr>
          <w:rFonts w:hint="eastAsia"/>
          <w:color w:val="auto"/>
          <w:lang w:val="en-US" w:eastAsia="zh-CN"/>
        </w:rPr>
        <w:t>1、</w:t>
      </w:r>
      <w:r>
        <w:rPr>
          <w:rFonts w:hint="eastAsia"/>
          <w:color w:val="auto"/>
        </w:rPr>
        <w:t>大数据可视化看板应用展示</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大屏首页可视化看板展示首选车位分布显示、车位使用率显示、车位动态显示、车辆入库记录显示、当天财务收入和累计财务收入显示、区域切换。</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color w:val="auto"/>
        </w:rPr>
      </w:pPr>
      <w:r>
        <w:rPr>
          <w:rFonts w:hint="eastAsia"/>
          <w:color w:val="auto"/>
          <w:lang w:val="en-US" w:eastAsia="zh-CN"/>
        </w:rPr>
        <w:t>2、</w:t>
      </w:r>
      <w:r>
        <w:rPr>
          <w:rFonts w:hint="eastAsia"/>
          <w:color w:val="auto"/>
        </w:rPr>
        <w:t>停车业务数据应用展示</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在地图中展示路内泊位、停车场泊位、充电桩等的分布，使用城市停车一张图，展示各类停车业务热点使用分布状态，实时展示空闲泊位数，以颜色区分繁忙程度，展示各类停车维度的停车次数统计、消费金额统计。</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color w:val="auto"/>
        </w:rPr>
      </w:pPr>
      <w:r>
        <w:rPr>
          <w:rFonts w:hint="eastAsia"/>
          <w:color w:val="auto"/>
          <w:lang w:val="en-US" w:eastAsia="zh-CN"/>
        </w:rPr>
        <w:t>3、</w:t>
      </w:r>
      <w:r>
        <w:rPr>
          <w:rFonts w:hint="eastAsia"/>
          <w:color w:val="auto"/>
        </w:rPr>
        <w:t>停车数据分析结果展示</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展示泊位饱和度饼图，泊位繁忙数展示。</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展示用户今日活跃数，昨日活跃数，累计用户数，活跃用户分时统计、日统计、月统计。</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展示今日停车数，昨日停车数，累计停车数，停车次数分时统计、日统计、月统计图。</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展示今日消费金额，昨日消费金额，累计消费金额，消费金额分时统计、日统计、月统计图。</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color w:val="auto"/>
        </w:rPr>
      </w:pPr>
      <w:r>
        <w:rPr>
          <w:rFonts w:hint="eastAsia"/>
          <w:color w:val="auto"/>
          <w:lang w:val="en-US" w:eastAsia="zh-CN"/>
        </w:rPr>
        <w:t>4、</w:t>
      </w:r>
      <w:r>
        <w:rPr>
          <w:rFonts w:hint="eastAsia"/>
          <w:color w:val="auto"/>
        </w:rPr>
        <w:t>运营监测数据展示</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动态监测数据展示，动态预警数据展示。</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color w:val="auto"/>
        </w:rPr>
      </w:pPr>
      <w:r>
        <w:rPr>
          <w:rFonts w:hint="eastAsia"/>
          <w:color w:val="auto"/>
          <w:lang w:val="en-US" w:eastAsia="zh-CN"/>
        </w:rPr>
        <w:t>5、</w:t>
      </w:r>
      <w:r>
        <w:rPr>
          <w:rFonts w:hint="eastAsia"/>
          <w:color w:val="auto"/>
        </w:rPr>
        <w:t>停车热力地图展示</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停车实时热力图，泊位实时热力图，缴费情况热力分布。</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color w:val="auto"/>
        </w:rPr>
      </w:pPr>
      <w:r>
        <w:rPr>
          <w:rFonts w:hint="eastAsia"/>
          <w:color w:val="auto"/>
          <w:lang w:val="en-US" w:eastAsia="zh-CN"/>
        </w:rPr>
        <w:t>6、</w:t>
      </w:r>
      <w:r>
        <w:rPr>
          <w:rFonts w:hint="eastAsia"/>
          <w:color w:val="auto"/>
        </w:rPr>
        <w:t>停车异常行为展示</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异常订单道路统计，停车异常车辆统计，异常数据展示。</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color w:val="auto"/>
        </w:rPr>
      </w:pPr>
      <w:r>
        <w:rPr>
          <w:rFonts w:hint="eastAsia"/>
          <w:color w:val="auto"/>
          <w:lang w:val="en-US" w:eastAsia="zh-CN"/>
        </w:rPr>
        <w:t>7、</w:t>
      </w:r>
      <w:r>
        <w:rPr>
          <w:rFonts w:hint="eastAsia"/>
          <w:color w:val="auto"/>
        </w:rPr>
        <w:t>车辆布控</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支持发布布控信息，展示布控记录，查看布控车辆档案。</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展示套牌预警记录，查看预警详细信息，查看车辆档案。</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展示布控预警记录，查看预警详细信息，查看车辆档案。</w:t>
      </w:r>
    </w:p>
    <w:p>
      <w:pPr>
        <w:keepNext w:val="0"/>
        <w:keepLines w:val="0"/>
        <w:pageBreakBefore w:val="0"/>
        <w:numPr>
          <w:ilvl w:val="0"/>
          <w:numId w:val="9"/>
        </w:numPr>
        <w:kinsoku/>
        <w:wordWrap/>
        <w:topLinePunct w:val="0"/>
        <w:bidi w:val="0"/>
        <w:snapToGrid/>
        <w:spacing w:line="460" w:lineRule="exact"/>
        <w:ind w:left="0" w:leftChars="0" w:firstLine="420" w:firstLineChars="0"/>
        <w:outlineLvl w:val="9"/>
        <w:rPr>
          <w:rFonts w:hint="eastAsia"/>
          <w:b/>
          <w:bCs/>
          <w:color w:val="auto"/>
        </w:rPr>
      </w:pPr>
      <w:r>
        <w:rPr>
          <w:rFonts w:hint="eastAsia"/>
          <w:b/>
          <w:bCs/>
          <w:color w:val="auto"/>
        </w:rPr>
        <w:t>智慧停车大数据平台</w:t>
      </w:r>
    </w:p>
    <w:p>
      <w:pPr>
        <w:keepNext w:val="0"/>
        <w:keepLines w:val="0"/>
        <w:pageBreakBefore w:val="0"/>
        <w:numPr>
          <w:ilvl w:val="0"/>
          <w:numId w:val="0"/>
        </w:numPr>
        <w:kinsoku/>
        <w:wordWrap/>
        <w:topLinePunct w:val="0"/>
        <w:bidi w:val="0"/>
        <w:snapToGrid/>
        <w:spacing w:line="460" w:lineRule="exact"/>
        <w:ind w:leftChars="0" w:firstLine="422" w:firstLineChars="200"/>
        <w:rPr>
          <w:rFonts w:hint="eastAsia"/>
          <w:b/>
          <w:bCs/>
          <w:color w:val="auto"/>
        </w:rPr>
      </w:pPr>
      <w:r>
        <w:rPr>
          <w:rFonts w:hint="eastAsia"/>
          <w:b/>
          <w:bCs/>
          <w:color w:val="auto"/>
          <w:lang w:val="en-US" w:eastAsia="zh-CN"/>
        </w:rPr>
        <w:t>1、</w:t>
      </w:r>
      <w:r>
        <w:rPr>
          <w:rFonts w:hint="eastAsia"/>
          <w:b/>
          <w:bCs/>
          <w:color w:val="auto"/>
        </w:rPr>
        <w:t>停车数据接入系统</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路内泊位的停车记录及剩余车位信息直接通过路内停车系统获取，需要对接的数据主要是路外停车场和前期已建设的原始设备，如前期路内建设信息采集终端设备、商业停车场、立体车库、事业单位停车场、住宅小区停车场等。经过智慧化改造的停车场，可以通过接口的方式将数据同步到共享平台，平台收到数据后统一汇总、存储、分析。</w:t>
      </w:r>
    </w:p>
    <w:p>
      <w:pPr>
        <w:keepNext w:val="0"/>
        <w:keepLines w:val="0"/>
        <w:pageBreakBefore w:val="0"/>
        <w:numPr>
          <w:ilvl w:val="0"/>
          <w:numId w:val="0"/>
        </w:numPr>
        <w:kinsoku/>
        <w:wordWrap/>
        <w:topLinePunct w:val="0"/>
        <w:bidi w:val="0"/>
        <w:snapToGrid/>
        <w:spacing w:line="460" w:lineRule="exact"/>
        <w:ind w:leftChars="0" w:firstLine="422" w:firstLineChars="200"/>
        <w:rPr>
          <w:rFonts w:hint="eastAsia"/>
          <w:b/>
          <w:bCs/>
          <w:color w:val="auto"/>
        </w:rPr>
      </w:pPr>
      <w:r>
        <w:rPr>
          <w:rFonts w:hint="eastAsia"/>
          <w:b/>
          <w:bCs/>
          <w:color w:val="auto"/>
          <w:lang w:val="en-US" w:eastAsia="zh-CN"/>
        </w:rPr>
        <w:t>2、</w:t>
      </w:r>
      <w:r>
        <w:rPr>
          <w:rFonts w:hint="eastAsia"/>
          <w:b/>
          <w:bCs/>
          <w:color w:val="auto"/>
        </w:rPr>
        <w:t>统一支付系统</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多渠道便捷支付，系统支持预付费或后付费，注册用户支持无感支付、ETC支付、App支付，未注册用户支持微信、支付宝或银联等方式。</w:t>
      </w:r>
    </w:p>
    <w:p>
      <w:pPr>
        <w:keepNext w:val="0"/>
        <w:keepLines w:val="0"/>
        <w:pageBreakBefore w:val="0"/>
        <w:kinsoku/>
        <w:wordWrap/>
        <w:topLinePunct w:val="0"/>
        <w:bidi w:val="0"/>
        <w:snapToGrid/>
        <w:spacing w:line="460" w:lineRule="exact"/>
        <w:ind w:firstLine="420" w:firstLineChars="200"/>
        <w:rPr>
          <w:rFonts w:hint="eastAsia"/>
          <w:color w:val="auto"/>
          <w:lang w:eastAsia="zh-CN"/>
        </w:rPr>
      </w:pPr>
      <w:r>
        <w:rPr>
          <w:rFonts w:hint="eastAsia"/>
          <w:color w:val="auto"/>
        </w:rPr>
        <w:t>聚合支付作为一种支付、营销、管理等一体化的支付解决方案，在市场上悄然兴起，在发展到一定的程度，不仅仅满足了大部分的商户的需求，还拓展到更多的应用场景，所以聚合支付是一种趋势，是移动支付市场经过长期的发展和演变而成，成为当今主流的、具有发展潜力的支付方式。以微信免密支付为例，可以看到统一支付接入后，用户体验得到很好的提升</w:t>
      </w:r>
      <w:r>
        <w:rPr>
          <w:rFonts w:hint="eastAsia"/>
          <w:color w:val="auto"/>
          <w:lang w:eastAsia="zh-CN"/>
        </w:rPr>
        <w:t>。</w:t>
      </w:r>
    </w:p>
    <w:p>
      <w:pPr>
        <w:keepNext w:val="0"/>
        <w:keepLines w:val="0"/>
        <w:pageBreakBefore w:val="0"/>
        <w:numPr>
          <w:ilvl w:val="0"/>
          <w:numId w:val="0"/>
        </w:numPr>
        <w:kinsoku/>
        <w:wordWrap/>
        <w:topLinePunct w:val="0"/>
        <w:bidi w:val="0"/>
        <w:snapToGrid/>
        <w:spacing w:line="460" w:lineRule="exact"/>
        <w:ind w:leftChars="0" w:firstLine="422" w:firstLineChars="200"/>
        <w:rPr>
          <w:b/>
          <w:bCs/>
          <w:color w:val="auto"/>
        </w:rPr>
      </w:pPr>
      <w:r>
        <w:rPr>
          <w:rFonts w:hint="eastAsia"/>
          <w:b/>
          <w:bCs/>
          <w:color w:val="auto"/>
          <w:lang w:val="en-US" w:eastAsia="zh-CN"/>
        </w:rPr>
        <w:t>3、</w:t>
      </w:r>
      <w:r>
        <w:rPr>
          <w:rFonts w:hint="eastAsia"/>
          <w:b/>
          <w:bCs/>
          <w:color w:val="auto"/>
        </w:rPr>
        <w:t>智慧停车运营管理系统</w:t>
      </w:r>
    </w:p>
    <w:p>
      <w:pPr>
        <w:pStyle w:val="25"/>
        <w:keepNext w:val="0"/>
        <w:keepLines w:val="0"/>
        <w:pageBreakBefore w:val="0"/>
        <w:numPr>
          <w:ilvl w:val="0"/>
          <w:numId w:val="8"/>
        </w:numPr>
        <w:kinsoku/>
        <w:wordWrap/>
        <w:topLinePunct w:val="0"/>
        <w:bidi w:val="0"/>
        <w:snapToGrid/>
        <w:spacing w:line="460" w:lineRule="exact"/>
        <w:rPr>
          <w:rFonts w:ascii="黑体" w:hAnsi="黑体" w:eastAsia="黑体"/>
          <w:b/>
          <w:bCs/>
          <w:color w:val="auto"/>
        </w:rPr>
      </w:pPr>
      <w:r>
        <w:rPr>
          <w:rFonts w:hint="eastAsia" w:ascii="黑体" w:hAnsi="黑体" w:eastAsia="黑体" w:cs="黑体"/>
          <w:b/>
          <w:bCs/>
          <w:color w:val="auto"/>
          <w:kern w:val="0"/>
          <w:szCs w:val="24"/>
        </w:rPr>
        <w:t>停车实时地图</w:t>
      </w:r>
    </w:p>
    <w:p>
      <w:pPr>
        <w:keepNext w:val="0"/>
        <w:keepLines w:val="0"/>
        <w:pageBreakBefore w:val="0"/>
        <w:kinsoku/>
        <w:wordWrap/>
        <w:topLinePunct w:val="0"/>
        <w:bidi w:val="0"/>
        <w:snapToGrid/>
        <w:spacing w:line="460" w:lineRule="exact"/>
        <w:ind w:firstLine="420" w:firstLineChars="200"/>
        <w:rPr>
          <w:color w:val="auto"/>
        </w:rPr>
      </w:pPr>
      <w:r>
        <w:rPr>
          <w:rFonts w:hint="eastAsia"/>
          <w:color w:val="auto"/>
        </w:rPr>
        <w:t>通过地图，全方位展示各路段实时停车情况。</w:t>
      </w:r>
    </w:p>
    <w:p>
      <w:pPr>
        <w:keepNext w:val="0"/>
        <w:keepLines w:val="0"/>
        <w:pageBreakBefore w:val="0"/>
        <w:kinsoku/>
        <w:wordWrap/>
        <w:topLinePunct w:val="0"/>
        <w:bidi w:val="0"/>
        <w:snapToGrid/>
        <w:spacing w:line="460" w:lineRule="exact"/>
        <w:ind w:firstLine="420" w:firstLineChars="200"/>
        <w:rPr>
          <w:b w:val="0"/>
          <w:bCs w:val="0"/>
          <w:color w:val="auto"/>
        </w:rPr>
      </w:pPr>
      <w:r>
        <w:rPr>
          <w:rFonts w:hint="eastAsia"/>
          <w:b w:val="0"/>
          <w:bCs w:val="0"/>
          <w:color w:val="auto"/>
        </w:rPr>
        <w:t>数据概览：显示当前系统总泊位数、空闲泊位数、使用率、当天停车次数、收费金额等。</w:t>
      </w:r>
    </w:p>
    <w:p>
      <w:pPr>
        <w:keepNext w:val="0"/>
        <w:keepLines w:val="0"/>
        <w:pageBreakBefore w:val="0"/>
        <w:kinsoku/>
        <w:wordWrap/>
        <w:topLinePunct w:val="0"/>
        <w:bidi w:val="0"/>
        <w:snapToGrid/>
        <w:spacing w:line="460" w:lineRule="exact"/>
        <w:ind w:firstLine="420" w:firstLineChars="200"/>
        <w:rPr>
          <w:color w:val="auto"/>
        </w:rPr>
      </w:pPr>
      <w:r>
        <w:rPr>
          <w:rFonts w:hint="eastAsia"/>
          <w:b w:val="0"/>
          <w:bCs w:val="0"/>
          <w:color w:val="auto"/>
        </w:rPr>
        <w:t>停车情况：列</w:t>
      </w:r>
      <w:r>
        <w:rPr>
          <w:rFonts w:hint="eastAsia"/>
          <w:color w:val="auto"/>
        </w:rPr>
        <w:t>表展示各个停车场（路段）泊位使用情况，点击具体某个路段，可以在页面展示该路段的相关统计数据，如停车次数、收费金额、停车时长等，并在地图显示该路段具体位置。同时该路段的泊位直观展现在地图上，点击具体泊位可以查看当前泊位的详细信息，如泊位上有无车辆，如果有车可以显示泊位号、停车时长、车牌号码等信息。</w:t>
      </w:r>
    </w:p>
    <w:p>
      <w:pPr>
        <w:pStyle w:val="25"/>
        <w:keepNext w:val="0"/>
        <w:keepLines w:val="0"/>
        <w:pageBreakBefore w:val="0"/>
        <w:numPr>
          <w:ilvl w:val="0"/>
          <w:numId w:val="8"/>
        </w:numPr>
        <w:kinsoku/>
        <w:wordWrap/>
        <w:topLinePunct w:val="0"/>
        <w:bidi w:val="0"/>
        <w:snapToGrid/>
        <w:spacing w:line="460" w:lineRule="exact"/>
        <w:rPr>
          <w:rFonts w:ascii="黑体" w:hAnsi="黑体" w:eastAsia="黑体" w:cs="黑体"/>
          <w:b/>
          <w:bCs/>
          <w:color w:val="auto"/>
          <w:kern w:val="0"/>
          <w:szCs w:val="24"/>
        </w:rPr>
      </w:pPr>
      <w:r>
        <w:rPr>
          <w:rFonts w:hint="eastAsia" w:ascii="黑体" w:hAnsi="黑体" w:eastAsia="黑体" w:cs="黑体"/>
          <w:b/>
          <w:bCs/>
          <w:color w:val="auto"/>
          <w:kern w:val="0"/>
          <w:szCs w:val="24"/>
        </w:rPr>
        <w:t>停车订单管理</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每次停车都会产生停车订单记录，系统支持按泊位号、用户手机号、停车时间等进行订单搜索。订单详细信息包含几个维度的信息。</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泊位维度：泊位号、所属路段、收费情况。</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用户维度：车牌号、手机号、创建方式。</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时间维度：驶入时间、停车申请时间、开始计费时间、结算时间、驶出时间。</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巡检维度：巡检员信息、录入车牌信息、结算信息、上报信息照片等。</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用户充值记录：记录用户通过APP、微信公众号、小程序等渠道的充值记录，如充值时间、金额等信息。</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用户消费记录：记录用户的消费记录信息，如在具体路段具体泊位消费了多少金额。</w:t>
      </w:r>
    </w:p>
    <w:p>
      <w:pPr>
        <w:keepNext w:val="0"/>
        <w:keepLines w:val="0"/>
        <w:pageBreakBefore w:val="0"/>
        <w:kinsoku/>
        <w:wordWrap/>
        <w:topLinePunct w:val="0"/>
        <w:bidi w:val="0"/>
        <w:snapToGrid/>
        <w:spacing w:line="460" w:lineRule="exact"/>
        <w:ind w:firstLine="420" w:firstLineChars="200"/>
        <w:rPr>
          <w:color w:val="auto"/>
        </w:rPr>
      </w:pPr>
      <w:r>
        <w:rPr>
          <w:rFonts w:hint="eastAsia"/>
          <w:b w:val="0"/>
          <w:bCs w:val="0"/>
          <w:color w:val="auto"/>
        </w:rPr>
        <w:t>追缴</w:t>
      </w:r>
      <w:r>
        <w:rPr>
          <w:rFonts w:hint="eastAsia"/>
          <w:color w:val="auto"/>
        </w:rPr>
        <w:t>记录：巡检员对停车用户的欠费追缴记录。</w:t>
      </w:r>
    </w:p>
    <w:p>
      <w:pPr>
        <w:pStyle w:val="25"/>
        <w:keepNext w:val="0"/>
        <w:keepLines w:val="0"/>
        <w:pageBreakBefore w:val="0"/>
        <w:numPr>
          <w:ilvl w:val="0"/>
          <w:numId w:val="8"/>
        </w:numPr>
        <w:kinsoku/>
        <w:wordWrap/>
        <w:topLinePunct w:val="0"/>
        <w:bidi w:val="0"/>
        <w:snapToGrid/>
        <w:spacing w:line="460" w:lineRule="exact"/>
        <w:rPr>
          <w:rFonts w:ascii="黑体" w:hAnsi="黑体" w:eastAsia="黑体" w:cs="黑体"/>
          <w:b/>
          <w:bCs/>
          <w:color w:val="auto"/>
          <w:kern w:val="0"/>
          <w:szCs w:val="24"/>
        </w:rPr>
      </w:pPr>
      <w:r>
        <w:rPr>
          <w:rFonts w:hint="eastAsia" w:ascii="黑体" w:hAnsi="黑体" w:eastAsia="黑体" w:cs="黑体"/>
          <w:b/>
          <w:bCs/>
          <w:color w:val="auto"/>
          <w:kern w:val="0"/>
          <w:szCs w:val="24"/>
        </w:rPr>
        <w:t>后台数据维护</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在后台进行相关数据管理，包含：</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用户管理：用户管理是指管理平台注册的个人停车用户，主要是对用户进行查询和查看详情操作，系统也支持对某个用户账户进行停用和恢复。</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路段管理：对停车路段进行管理。每个路段可以单独设置收费策略，路段信息包括路段名称、所属行政区、道路名等，支持在地图进行标注，标注点即为停车场地图位置。</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车位管理：对路段下具体车位进行管理，包括车位的新增、变化等；车位需要与设备进行一一对应。</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停车费率设置：不同路段的收费存在差异，例如根据分类，重点路段、一类路段、二类路段收费各不相同，支持通过停车费率和计费策略两个维度灵活配置收费规则。</w:t>
      </w:r>
    </w:p>
    <w:p>
      <w:pPr>
        <w:keepNext w:val="0"/>
        <w:keepLines w:val="0"/>
        <w:pageBreakBefore w:val="0"/>
        <w:numPr>
          <w:ilvl w:val="0"/>
          <w:numId w:val="10"/>
        </w:numPr>
        <w:kinsoku/>
        <w:wordWrap/>
        <w:topLinePunct w:val="0"/>
        <w:bidi w:val="0"/>
        <w:snapToGrid/>
        <w:spacing w:line="460" w:lineRule="exact"/>
        <w:ind w:left="425" w:leftChars="0" w:hanging="425" w:firstLineChars="0"/>
        <w:rPr>
          <w:b/>
          <w:bCs/>
          <w:color w:val="auto"/>
        </w:rPr>
      </w:pPr>
      <w:r>
        <w:rPr>
          <w:rFonts w:hint="eastAsia"/>
          <w:b/>
          <w:bCs/>
          <w:color w:val="auto"/>
        </w:rPr>
        <w:t>停车大数据分析系统</w:t>
      </w:r>
    </w:p>
    <w:p>
      <w:pPr>
        <w:keepNext w:val="0"/>
        <w:keepLines w:val="0"/>
        <w:pageBreakBefore w:val="0"/>
        <w:kinsoku/>
        <w:wordWrap/>
        <w:topLinePunct w:val="0"/>
        <w:bidi w:val="0"/>
        <w:snapToGrid/>
        <w:spacing w:line="460" w:lineRule="exact"/>
        <w:ind w:firstLine="420" w:firstLineChars="200"/>
        <w:rPr>
          <w:rFonts w:hint="eastAsia" w:ascii="宋体" w:cs="宋体"/>
          <w:color w:val="auto"/>
          <w:kern w:val="0"/>
          <w:szCs w:val="24"/>
        </w:rPr>
      </w:pPr>
      <w:r>
        <w:rPr>
          <w:rFonts w:hint="eastAsia"/>
          <w:color w:val="auto"/>
        </w:rPr>
        <w:t>停车数据汇总后，将按照区域、停车场、时间等维度进行整理和分析，最终在地图上形成“城市停车一张图”。在图中可以看到各个停车场的历史空闲车位数、停车次数等。一方面，通过这些量化数据，实时分析出停车难度指数，通过该指数，进而从全局了解停车难易程度；另一方面可以发现不同类型停车场的停车规律，如事业单位停车场会有停车潮汐现象，晚间空闲较多，而住宅小区刚好相反，白天由于住户外出上班，空闲车位较多，而晚间停车位非常紧张。根据这</w:t>
      </w:r>
      <w:r>
        <w:rPr>
          <w:rFonts w:hint="eastAsia" w:ascii="宋体" w:cs="宋体"/>
          <w:color w:val="auto"/>
          <w:kern w:val="0"/>
          <w:szCs w:val="24"/>
        </w:rPr>
        <w:t>些数据所反映的停车情况，引导错峰停车。</w:t>
      </w:r>
    </w:p>
    <w:p>
      <w:pPr>
        <w:keepNext w:val="0"/>
        <w:keepLines w:val="0"/>
        <w:pageBreakBefore w:val="0"/>
        <w:numPr>
          <w:ilvl w:val="0"/>
          <w:numId w:val="10"/>
        </w:numPr>
        <w:kinsoku/>
        <w:wordWrap/>
        <w:topLinePunct w:val="0"/>
        <w:bidi w:val="0"/>
        <w:snapToGrid/>
        <w:spacing w:line="460" w:lineRule="exact"/>
        <w:ind w:left="425" w:leftChars="0" w:hanging="425" w:firstLineChars="0"/>
        <w:rPr>
          <w:b/>
          <w:bCs/>
          <w:color w:val="auto"/>
        </w:rPr>
      </w:pPr>
      <w:r>
        <w:rPr>
          <w:rFonts w:hint="eastAsia"/>
          <w:b/>
          <w:bCs/>
          <w:color w:val="auto"/>
        </w:rPr>
        <w:t>大数据分析流程</w:t>
      </w:r>
    </w:p>
    <w:p>
      <w:pPr>
        <w:keepNext w:val="0"/>
        <w:keepLines w:val="0"/>
        <w:pageBreakBefore w:val="0"/>
        <w:kinsoku/>
        <w:wordWrap/>
        <w:topLinePunct w:val="0"/>
        <w:bidi w:val="0"/>
        <w:snapToGrid/>
        <w:spacing w:line="460" w:lineRule="exact"/>
        <w:ind w:firstLine="420" w:firstLineChars="200"/>
        <w:rPr>
          <w:rFonts w:hint="eastAsia" w:ascii="宋体" w:hAnsi="宋体"/>
          <w:color w:val="auto"/>
        </w:rPr>
      </w:pPr>
      <w:r>
        <w:rPr>
          <w:rFonts w:hint="eastAsia" w:ascii="宋体" w:hAnsi="宋体"/>
          <w:color w:val="auto"/>
        </w:rPr>
        <w:t>数据分析是基于商业目的，有目的的进行收集、整理、加工和分析数据，提炼有价信息的一个过程。其过程概括起来主要包括：明确分析目的与框架、数据收集、数据处理、数据分析、数据展现等</w:t>
      </w:r>
      <w:r>
        <w:rPr>
          <w:rFonts w:ascii="宋体" w:hAnsi="宋体" w:cs="TimesNewRomanPSMT"/>
          <w:color w:val="auto"/>
        </w:rPr>
        <w:t>5</w:t>
      </w:r>
      <w:r>
        <w:rPr>
          <w:rFonts w:hint="eastAsia" w:ascii="宋体" w:hAnsi="宋体" w:cs="TimesNewRomanPSMT"/>
          <w:color w:val="auto"/>
        </w:rPr>
        <w:t>个</w:t>
      </w:r>
      <w:r>
        <w:rPr>
          <w:rFonts w:hint="eastAsia" w:ascii="宋体" w:hAnsi="宋体"/>
          <w:color w:val="auto"/>
        </w:rPr>
        <w:t>阶段。</w:t>
      </w:r>
    </w:p>
    <w:p>
      <w:pPr>
        <w:keepNext w:val="0"/>
        <w:keepLines w:val="0"/>
        <w:pageBreakBefore w:val="0"/>
        <w:numPr>
          <w:ilvl w:val="0"/>
          <w:numId w:val="10"/>
        </w:numPr>
        <w:kinsoku/>
        <w:wordWrap/>
        <w:topLinePunct w:val="0"/>
        <w:bidi w:val="0"/>
        <w:snapToGrid/>
        <w:spacing w:line="460" w:lineRule="exact"/>
        <w:ind w:left="425" w:leftChars="0" w:hanging="425" w:firstLineChars="0"/>
        <w:rPr>
          <w:b/>
          <w:bCs/>
          <w:color w:val="auto"/>
        </w:rPr>
      </w:pPr>
      <w:r>
        <w:rPr>
          <w:rFonts w:hint="eastAsia" w:ascii="Times New Roman" w:hAnsi="Times New Roman" w:eastAsia="宋体" w:cs="Times New Roman"/>
          <w:b/>
          <w:bCs/>
          <w:color w:val="auto"/>
          <w:kern w:val="2"/>
          <w:sz w:val="21"/>
          <w:szCs w:val="21"/>
          <w:lang w:val="en-US" w:eastAsia="zh-CN" w:bidi="ar-SA"/>
        </w:rPr>
        <w:t>数</w:t>
      </w:r>
      <w:r>
        <w:rPr>
          <w:rFonts w:hint="eastAsia"/>
          <w:b/>
          <w:bCs/>
          <w:color w:val="auto"/>
        </w:rPr>
        <w:t>据分析方法</w:t>
      </w:r>
    </w:p>
    <w:p>
      <w:pPr>
        <w:keepNext w:val="0"/>
        <w:keepLines w:val="0"/>
        <w:pageBreakBefore w:val="0"/>
        <w:kinsoku/>
        <w:wordWrap/>
        <w:topLinePunct w:val="0"/>
        <w:bidi w:val="0"/>
        <w:snapToGrid/>
        <w:spacing w:line="460" w:lineRule="exact"/>
        <w:ind w:firstLine="420" w:firstLineChars="200"/>
        <w:rPr>
          <w:rFonts w:hint="eastAsia"/>
          <w:color w:val="auto"/>
        </w:rPr>
      </w:pPr>
      <w:r>
        <w:rPr>
          <w:rFonts w:hint="eastAsia"/>
          <w:color w:val="auto"/>
        </w:rPr>
        <w:t>以统计分析类的业务场景为例，针对大数据的处理主要经过采集、存储、校验、审核、汇总、计算、分析挖掘等过程，在数据粒度上，既要包逐笔的标准化源数据，还要包括不同层次的总量指标数据，从而实现对统计体系业务的全覆盖、无遗漏。</w:t>
      </w:r>
    </w:p>
    <w:p>
      <w:pPr>
        <w:keepNext w:val="0"/>
        <w:keepLines w:val="0"/>
        <w:pageBreakBefore w:val="0"/>
        <w:numPr>
          <w:ilvl w:val="0"/>
          <w:numId w:val="9"/>
        </w:numPr>
        <w:kinsoku/>
        <w:wordWrap/>
        <w:topLinePunct w:val="0"/>
        <w:bidi w:val="0"/>
        <w:snapToGrid/>
        <w:spacing w:line="460" w:lineRule="exact"/>
        <w:ind w:left="0" w:leftChars="0" w:firstLine="420" w:firstLineChars="0"/>
        <w:outlineLvl w:val="9"/>
        <w:rPr>
          <w:rFonts w:hint="eastAsia"/>
          <w:b/>
          <w:bCs/>
          <w:color w:val="auto"/>
        </w:rPr>
      </w:pPr>
      <w:r>
        <w:rPr>
          <w:rFonts w:hint="eastAsia"/>
          <w:b/>
          <w:bCs/>
          <w:color w:val="auto"/>
        </w:rPr>
        <w:t>智慧停车平台</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r>
        <w:rPr>
          <w:rFonts w:hint="eastAsia" w:ascii="Times New Roman" w:hAnsi="Times New Roman" w:eastAsia="宋体" w:cs="Times New Roman"/>
          <w:b w:val="0"/>
          <w:bCs w:val="0"/>
          <w:color w:val="auto"/>
          <w:kern w:val="2"/>
          <w:sz w:val="21"/>
          <w:szCs w:val="21"/>
          <w:lang w:val="en-US" w:eastAsia="zh-CN" w:bidi="ar-SA"/>
        </w:rPr>
        <w:t>停车实时地图</w:t>
      </w:r>
      <w:r>
        <w:rPr>
          <w:rFonts w:hint="eastAsia" w:cs="Times New Roman"/>
          <w:b w:val="0"/>
          <w:bCs w:val="0"/>
          <w:color w:val="auto"/>
          <w:kern w:val="2"/>
          <w:sz w:val="21"/>
          <w:szCs w:val="21"/>
          <w:lang w:val="en-US" w:eastAsia="zh-CN" w:bidi="ar-SA"/>
        </w:rPr>
        <w:t>：通过地图，全方位展示各路段实时停车情况。</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w:t>
      </w:r>
      <w:r>
        <w:rPr>
          <w:rFonts w:hint="eastAsia" w:ascii="Times New Roman" w:hAnsi="Times New Roman" w:eastAsia="宋体" w:cs="Times New Roman"/>
          <w:b w:val="0"/>
          <w:bCs w:val="0"/>
          <w:color w:val="auto"/>
          <w:kern w:val="2"/>
          <w:sz w:val="21"/>
          <w:szCs w:val="21"/>
          <w:lang w:val="en-US" w:eastAsia="zh-CN" w:bidi="ar-SA"/>
        </w:rPr>
        <w:t>停车订单</w:t>
      </w:r>
      <w:r>
        <w:rPr>
          <w:rFonts w:hint="eastAsia" w:cs="Times New Roman"/>
          <w:b w:val="0"/>
          <w:bCs w:val="0"/>
          <w:color w:val="auto"/>
          <w:kern w:val="2"/>
          <w:sz w:val="21"/>
          <w:szCs w:val="21"/>
          <w:lang w:val="en-US" w:eastAsia="zh-CN" w:bidi="ar-SA"/>
        </w:rPr>
        <w:t>：每次停车都会产生停车订单记录，系统支持按泊位号、用户手机号、停车时间等进行订单搜索。</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w:t>
      </w:r>
      <w:r>
        <w:rPr>
          <w:rFonts w:hint="eastAsia" w:ascii="Times New Roman" w:hAnsi="Times New Roman" w:eastAsia="宋体" w:cs="Times New Roman"/>
          <w:b w:val="0"/>
          <w:bCs w:val="0"/>
          <w:color w:val="auto"/>
          <w:kern w:val="2"/>
          <w:sz w:val="21"/>
          <w:szCs w:val="21"/>
          <w:lang w:val="en-US" w:eastAsia="zh-CN" w:bidi="ar-SA"/>
        </w:rPr>
        <w:t>交易记录</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4、</w:t>
      </w:r>
      <w:r>
        <w:rPr>
          <w:rFonts w:hint="eastAsia" w:ascii="Times New Roman" w:hAnsi="Times New Roman" w:eastAsia="宋体" w:cs="Times New Roman"/>
          <w:b w:val="0"/>
          <w:bCs w:val="0"/>
          <w:color w:val="auto"/>
          <w:kern w:val="2"/>
          <w:sz w:val="21"/>
          <w:szCs w:val="21"/>
          <w:lang w:val="en-US" w:eastAsia="zh-CN" w:bidi="ar-SA"/>
        </w:rPr>
        <w:t>用户管理</w:t>
      </w:r>
      <w:r>
        <w:rPr>
          <w:rFonts w:hint="eastAsia" w:cs="Times New Roman"/>
          <w:b w:val="0"/>
          <w:bCs w:val="0"/>
          <w:color w:val="auto"/>
          <w:kern w:val="2"/>
          <w:sz w:val="21"/>
          <w:szCs w:val="21"/>
          <w:lang w:val="en-US" w:eastAsia="zh-CN" w:bidi="ar-SA"/>
        </w:rPr>
        <w:t>：</w:t>
      </w:r>
      <w:r>
        <w:rPr>
          <w:rFonts w:hint="eastAsia"/>
          <w:color w:val="auto"/>
        </w:rPr>
        <w:t>用户管理是指管理平台注册的个人停车用户，主要是对用户进行查询和查看详情操作，系统也支持对某个用户账户进行停用和恢复。</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5、</w:t>
      </w:r>
      <w:r>
        <w:rPr>
          <w:rFonts w:hint="eastAsia" w:ascii="Times New Roman" w:hAnsi="Times New Roman" w:eastAsia="宋体" w:cs="Times New Roman"/>
          <w:b w:val="0"/>
          <w:bCs w:val="0"/>
          <w:color w:val="auto"/>
          <w:kern w:val="2"/>
          <w:sz w:val="21"/>
          <w:szCs w:val="21"/>
          <w:lang w:val="en-US" w:eastAsia="zh-CN" w:bidi="ar-SA"/>
        </w:rPr>
        <w:t>路段管理</w:t>
      </w:r>
    </w:p>
    <w:p>
      <w:pPr>
        <w:keepNext w:val="0"/>
        <w:keepLines w:val="0"/>
        <w:pageBreakBefore w:val="0"/>
        <w:kinsoku/>
        <w:wordWrap/>
        <w:topLinePunct w:val="0"/>
        <w:bidi w:val="0"/>
        <w:snapToGrid/>
        <w:spacing w:line="460" w:lineRule="exact"/>
        <w:ind w:firstLine="420" w:firstLineChars="200"/>
        <w:rPr>
          <w:rFonts w:hint="eastAsia"/>
          <w:color w:val="auto"/>
          <w:lang w:val="en-US" w:eastAsia="zh-CN"/>
        </w:rPr>
      </w:pPr>
      <w:r>
        <w:rPr>
          <w:rFonts w:hint="eastAsia"/>
          <w:color w:val="auto"/>
          <w:lang w:val="en-US" w:eastAsia="zh-CN"/>
        </w:rPr>
        <w:t>路段管理：对停车路段进行增删改查。每个路段可以单独进行设置收费策略，路段信息包含路段名称、所属行政区、道路名等，并支持在地图进行标注，标注点即为停车场地图位置。</w:t>
      </w:r>
    </w:p>
    <w:p>
      <w:pPr>
        <w:keepNext w:val="0"/>
        <w:keepLines w:val="0"/>
        <w:pageBreakBefore w:val="0"/>
        <w:kinsoku/>
        <w:wordWrap/>
        <w:topLinePunct w:val="0"/>
        <w:bidi w:val="0"/>
        <w:snapToGrid/>
        <w:spacing w:line="460" w:lineRule="exact"/>
        <w:ind w:firstLine="420" w:firstLineChars="200"/>
        <w:rPr>
          <w:rFonts w:hint="eastAsia"/>
          <w:color w:val="auto"/>
          <w:lang w:val="en-US" w:eastAsia="zh-CN"/>
        </w:rPr>
      </w:pPr>
      <w:r>
        <w:rPr>
          <w:rFonts w:hint="eastAsia"/>
          <w:color w:val="auto"/>
          <w:lang w:val="en-US" w:eastAsia="zh-CN"/>
        </w:rPr>
        <w:t>路段分组：是指将路段进行分组，从而方便对分组设置巡检员。一个路段分组可以设置多个巡检员，一个路段只能归属到一个路段分组。</w:t>
      </w:r>
    </w:p>
    <w:p>
      <w:pPr>
        <w:keepNext w:val="0"/>
        <w:keepLines w:val="0"/>
        <w:pageBreakBefore w:val="0"/>
        <w:kinsoku/>
        <w:wordWrap/>
        <w:topLinePunct w:val="0"/>
        <w:bidi w:val="0"/>
        <w:snapToGrid/>
        <w:spacing w:line="460" w:lineRule="exact"/>
        <w:ind w:firstLine="420" w:firstLineChars="200"/>
        <w:rPr>
          <w:rFonts w:hint="eastAsia"/>
          <w:b w:val="0"/>
          <w:bCs w:val="0"/>
          <w:color w:val="auto"/>
        </w:rPr>
      </w:pPr>
      <w:r>
        <w:rPr>
          <w:rFonts w:hint="eastAsia"/>
          <w:b w:val="0"/>
          <w:bCs w:val="0"/>
          <w:color w:val="auto"/>
        </w:rPr>
        <w:t>车位管理：是对路段下面的具体车位进行管理，包含车位的增删改查。车位需要与设备进行一一对应。</w:t>
      </w:r>
    </w:p>
    <w:p>
      <w:pPr>
        <w:keepNext w:val="0"/>
        <w:keepLines w:val="0"/>
        <w:pageBreakBefore w:val="0"/>
        <w:kinsoku/>
        <w:wordWrap/>
        <w:topLinePunct w:val="0"/>
        <w:bidi w:val="0"/>
        <w:snapToGrid/>
        <w:spacing w:line="460" w:lineRule="exact"/>
        <w:ind w:firstLine="420" w:firstLineChars="200"/>
        <w:rPr>
          <w:rFonts w:hint="eastAsia"/>
          <w:color w:val="auto"/>
          <w:lang w:val="en-US" w:eastAsia="zh-CN"/>
        </w:rPr>
      </w:pPr>
      <w:r>
        <w:rPr>
          <w:rFonts w:hint="eastAsia"/>
          <w:b w:val="0"/>
          <w:bCs w:val="0"/>
          <w:color w:val="auto"/>
        </w:rPr>
        <w:t>设备管理：</w:t>
      </w:r>
      <w:r>
        <w:rPr>
          <w:rFonts w:hint="eastAsia"/>
          <w:color w:val="auto"/>
        </w:rPr>
        <w:t>是对设备进行增删改查，设备和泊位为一一对应关系。</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收费规则管理</w:t>
      </w:r>
      <w:r>
        <w:rPr>
          <w:rFonts w:hint="eastAsia" w:cs="Times New Roman"/>
          <w:b w:val="0"/>
          <w:bCs w:val="0"/>
          <w:color w:val="auto"/>
          <w:kern w:val="2"/>
          <w:sz w:val="21"/>
          <w:szCs w:val="21"/>
          <w:lang w:val="en-US" w:eastAsia="zh-CN" w:bidi="ar-SA"/>
        </w:rPr>
        <w:t>：</w:t>
      </w:r>
      <w:r>
        <w:rPr>
          <w:rFonts w:hint="eastAsia" w:ascii="宋体" w:cs="宋体"/>
          <w:color w:val="auto"/>
        </w:rPr>
        <w:t>不同的路段，根据政府对路段分类，如重点路段，一类路段，二类路段。不同路段的收费方式会存在差异。因此停车费的设置需要能够灵活变动。通过停车费率和计费策略两个维度可以灵活的配置收费规则。</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黑白名单</w:t>
      </w:r>
      <w:r>
        <w:rPr>
          <w:rFonts w:hint="eastAsia" w:cs="Times New Roman"/>
          <w:b w:val="0"/>
          <w:bCs w:val="0"/>
          <w:color w:val="auto"/>
          <w:kern w:val="2"/>
          <w:sz w:val="21"/>
          <w:szCs w:val="21"/>
          <w:lang w:val="en-US" w:eastAsia="zh-CN" w:bidi="ar-SA"/>
        </w:rPr>
        <w:t>：</w:t>
      </w:r>
      <w:r>
        <w:rPr>
          <w:rFonts w:hint="eastAsia"/>
          <w:color w:val="auto"/>
        </w:rPr>
        <w:t>黑白名单是指车牌号码的黑白名单。</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系统管理</w:t>
      </w:r>
      <w:r>
        <w:rPr>
          <w:rFonts w:hint="eastAsia" w:cs="Times New Roman"/>
          <w:b w:val="0"/>
          <w:bCs w:val="0"/>
          <w:color w:val="auto"/>
          <w:kern w:val="2"/>
          <w:sz w:val="21"/>
          <w:szCs w:val="21"/>
          <w:lang w:val="en-US" w:eastAsia="zh-CN" w:bidi="ar-SA"/>
        </w:rPr>
        <w:t>：</w:t>
      </w:r>
    </w:p>
    <w:p>
      <w:pPr>
        <w:keepNext w:val="0"/>
        <w:keepLines w:val="0"/>
        <w:pageBreakBefore w:val="0"/>
        <w:kinsoku/>
        <w:wordWrap/>
        <w:topLinePunct w:val="0"/>
        <w:bidi w:val="0"/>
        <w:snapToGrid/>
        <w:spacing w:line="460" w:lineRule="exact"/>
        <w:ind w:firstLine="420" w:firstLineChars="200"/>
        <w:rPr>
          <w:rFonts w:hint="eastAsia"/>
          <w:color w:val="auto"/>
          <w:lang w:val="en-US" w:eastAsia="zh-CN"/>
        </w:rPr>
      </w:pPr>
      <w:r>
        <w:rPr>
          <w:rFonts w:hint="eastAsia"/>
          <w:color w:val="auto"/>
          <w:lang w:val="en-US" w:eastAsia="zh-CN"/>
        </w:rPr>
        <w:t>角色管理：对运营管理系统的用户角色进行管理。为了控制账号的操作权限范围，平台定义了角色概念，平台使用角色表存储角色数据，可通过角色管理菜单增加、删除、修改角色，以及增加、删除角色拥有的权限（菜单）。</w:t>
      </w:r>
    </w:p>
    <w:p>
      <w:pPr>
        <w:keepNext w:val="0"/>
        <w:keepLines w:val="0"/>
        <w:pageBreakBefore w:val="0"/>
        <w:kinsoku/>
        <w:wordWrap/>
        <w:topLinePunct w:val="0"/>
        <w:bidi w:val="0"/>
        <w:snapToGrid/>
        <w:spacing w:line="460" w:lineRule="exact"/>
        <w:ind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角色权限管理：角色权限包括操作权限（系统菜单），通过对用户分配角色来控制用户的权限。在角色管理菜单中的角色列表中可对角色进行权限配置，每个角色均可以设定不同的操</w:t>
      </w:r>
      <w:r>
        <w:rPr>
          <w:rFonts w:hint="eastAsia" w:cs="Times New Roman"/>
          <w:b w:val="0"/>
          <w:bCs w:val="0"/>
          <w:color w:val="auto"/>
          <w:kern w:val="2"/>
          <w:sz w:val="21"/>
          <w:szCs w:val="21"/>
          <w:lang w:val="en-US" w:eastAsia="zh-CN" w:bidi="ar-SA"/>
        </w:rPr>
        <w:t>作权限（系统菜单），用于控制用户账号的操作范围。</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统计分析</w:t>
      </w:r>
      <w:r>
        <w:rPr>
          <w:rFonts w:hint="eastAsia" w:cs="Times New Roman"/>
          <w:b w:val="0"/>
          <w:bCs w:val="0"/>
          <w:color w:val="auto"/>
          <w:kern w:val="2"/>
          <w:sz w:val="21"/>
          <w:szCs w:val="21"/>
          <w:lang w:val="en-US" w:eastAsia="zh-CN" w:bidi="ar-SA"/>
        </w:rPr>
        <w:t>：</w:t>
      </w:r>
      <w:r>
        <w:rPr>
          <w:rFonts w:hint="eastAsia" w:ascii="宋体" w:cs="宋体"/>
          <w:color w:val="auto"/>
          <w:kern w:val="0"/>
          <w:szCs w:val="24"/>
        </w:rPr>
        <w:t>包含系统概况，用户统计、停车统计、财务统计、路段统计。</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巡检管理</w:t>
      </w:r>
      <w:r>
        <w:rPr>
          <w:rFonts w:hint="eastAsia" w:cs="Times New Roman"/>
          <w:b w:val="0"/>
          <w:bCs w:val="0"/>
          <w:color w:val="auto"/>
          <w:kern w:val="2"/>
          <w:sz w:val="21"/>
          <w:szCs w:val="21"/>
          <w:lang w:val="en-US" w:eastAsia="zh-CN" w:bidi="ar-SA"/>
        </w:rPr>
        <w:t>：</w:t>
      </w:r>
      <w:r>
        <w:rPr>
          <w:rFonts w:hint="eastAsia" w:ascii="宋体" w:cs="宋体"/>
          <w:color w:val="auto"/>
          <w:kern w:val="0"/>
          <w:szCs w:val="24"/>
        </w:rPr>
        <w:t>巡检管理包含巡检员管理、巡检统计、巡检员统计、巡检排班管理等功能。</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用户投诉工单</w:t>
      </w:r>
      <w:r>
        <w:rPr>
          <w:rFonts w:hint="eastAsia" w:cs="Times New Roman"/>
          <w:b w:val="0"/>
          <w:bCs w:val="0"/>
          <w:color w:val="auto"/>
          <w:kern w:val="2"/>
          <w:sz w:val="21"/>
          <w:szCs w:val="21"/>
          <w:lang w:val="en-US" w:eastAsia="zh-CN" w:bidi="ar-SA"/>
        </w:rPr>
        <w:t>：</w:t>
      </w:r>
      <w:r>
        <w:rPr>
          <w:rFonts w:hint="eastAsia"/>
          <w:color w:val="auto"/>
        </w:rPr>
        <w:t>记录处理用户的投诉问题</w:t>
      </w:r>
      <w:r>
        <w:rPr>
          <w:rFonts w:hint="eastAsia"/>
          <w:color w:val="auto"/>
          <w:lang w:eastAsia="zh-CN"/>
        </w:rPr>
        <w:t>。</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停车优惠券管理</w:t>
      </w:r>
    </w:p>
    <w:p>
      <w:pPr>
        <w:keepNext w:val="0"/>
        <w:keepLines w:val="0"/>
        <w:pageBreakBefore w:val="0"/>
        <w:kinsoku/>
        <w:wordWrap/>
        <w:topLinePunct w:val="0"/>
        <w:bidi w:val="0"/>
        <w:snapToGrid/>
        <w:spacing w:line="460" w:lineRule="exact"/>
        <w:ind w:firstLine="420" w:firstLineChars="200"/>
        <w:rPr>
          <w:rFonts w:hint="eastAsia"/>
          <w:color w:val="auto"/>
          <w:lang w:val="en-US" w:eastAsia="zh-CN"/>
        </w:rPr>
      </w:pPr>
      <w:r>
        <w:rPr>
          <w:rFonts w:hint="eastAsia"/>
          <w:color w:val="auto"/>
          <w:lang w:val="en-US" w:eastAsia="zh-CN"/>
        </w:rPr>
        <w:t>系统可配置优惠券类型（如全免券、满减券、折扣券），商家购买优惠券后，可以对消费的车辆进行停车费优惠券核减。</w:t>
      </w:r>
    </w:p>
    <w:p>
      <w:pPr>
        <w:keepNext w:val="0"/>
        <w:keepLines w:val="0"/>
        <w:pageBreakBefore w:val="0"/>
        <w:kinsoku/>
        <w:wordWrap/>
        <w:topLinePunct w:val="0"/>
        <w:bidi w:val="0"/>
        <w:snapToGrid/>
        <w:spacing w:line="460" w:lineRule="exact"/>
        <w:ind w:firstLine="420" w:firstLineChars="200"/>
        <w:rPr>
          <w:rFonts w:hint="eastAsia"/>
          <w:color w:val="auto"/>
          <w:lang w:val="en-US" w:eastAsia="zh-CN"/>
        </w:rPr>
      </w:pPr>
      <w:r>
        <w:rPr>
          <w:rFonts w:hint="eastAsia"/>
          <w:color w:val="auto"/>
          <w:lang w:val="en-US" w:eastAsia="zh-CN"/>
        </w:rPr>
        <w:t>后台支持查询所有优惠券核减记录，优惠券支持后台对账，支持与停车场进行对账操作。</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信息推送管理</w:t>
      </w:r>
      <w:r>
        <w:rPr>
          <w:rFonts w:hint="eastAsia" w:cs="Times New Roman"/>
          <w:b w:val="0"/>
          <w:bCs w:val="0"/>
          <w:color w:val="auto"/>
          <w:kern w:val="2"/>
          <w:sz w:val="21"/>
          <w:szCs w:val="21"/>
          <w:lang w:val="en-US" w:eastAsia="zh-CN" w:bidi="ar-SA"/>
        </w:rPr>
        <w:t>：系统支持通过公众号等载体进行商家信息、活动信息、优惠信息推送。推送内容支持后台配置，推送记录可在系统后台查询。</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月卡管理</w:t>
      </w:r>
      <w:r>
        <w:rPr>
          <w:rFonts w:hint="eastAsia" w:cs="Times New Roman"/>
          <w:b w:val="0"/>
          <w:bCs w:val="0"/>
          <w:color w:val="auto"/>
          <w:kern w:val="2"/>
          <w:sz w:val="21"/>
          <w:szCs w:val="21"/>
          <w:lang w:val="en-US" w:eastAsia="zh-CN" w:bidi="ar-SA"/>
        </w:rPr>
        <w:t>：用户可注册后，充值月卡，后台可以管理月卡信息、车辆信息。通过停车记录和消费，记录等维度数据。</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城市热力图</w:t>
      </w:r>
      <w:r>
        <w:rPr>
          <w:rFonts w:hint="eastAsia" w:cs="Times New Roman"/>
          <w:b w:val="0"/>
          <w:bCs w:val="0"/>
          <w:color w:val="auto"/>
          <w:kern w:val="2"/>
          <w:sz w:val="21"/>
          <w:szCs w:val="21"/>
          <w:lang w:val="en-US" w:eastAsia="zh-CN" w:bidi="ar-SA"/>
        </w:rPr>
        <w:t>：</w:t>
      </w:r>
      <w:r>
        <w:rPr>
          <w:rFonts w:hint="eastAsia"/>
          <w:color w:val="auto"/>
        </w:rPr>
        <w:t>在地图上根据停车场的繁忙情况，实时展示全城停车场热力图，为停车调度提供依据。</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对账结算</w:t>
      </w:r>
      <w:r>
        <w:rPr>
          <w:rFonts w:hint="eastAsia" w:cs="Times New Roman"/>
          <w:b w:val="0"/>
          <w:bCs w:val="0"/>
          <w:color w:val="auto"/>
          <w:kern w:val="2"/>
          <w:sz w:val="21"/>
          <w:szCs w:val="21"/>
          <w:lang w:val="en-US" w:eastAsia="zh-CN" w:bidi="ar-SA"/>
        </w:rPr>
        <w:t>：提供财务对账功能，统计展示每个停车场每天的应收停车费，实收停车费，优惠金额，停车卡会员抵扣金额，现金金额，费用是否正常，辅助财务快速对账。</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统计分析报表</w:t>
      </w:r>
      <w:r>
        <w:rPr>
          <w:rFonts w:hint="eastAsia" w:cs="Times New Roman"/>
          <w:b w:val="0"/>
          <w:bCs w:val="0"/>
          <w:color w:val="auto"/>
          <w:kern w:val="2"/>
          <w:sz w:val="21"/>
          <w:szCs w:val="21"/>
          <w:lang w:val="en-US" w:eastAsia="zh-CN" w:bidi="ar-SA"/>
        </w:rPr>
        <w:t>：</w:t>
      </w:r>
      <w:r>
        <w:rPr>
          <w:rFonts w:hint="eastAsia" w:ascii="Times New Roman" w:hAnsi="Times New Roman" w:eastAsia="宋体" w:cs="Times New Roman"/>
          <w:b w:val="0"/>
          <w:bCs w:val="0"/>
          <w:color w:val="auto"/>
          <w:kern w:val="2"/>
          <w:sz w:val="21"/>
          <w:szCs w:val="21"/>
          <w:lang w:val="en-US" w:eastAsia="zh-CN" w:bidi="ar-SA"/>
        </w:rPr>
        <w:t>展示路内车位维度和整体维度的报表信息。</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巡检APP</w:t>
      </w:r>
      <w:r>
        <w:rPr>
          <w:rFonts w:hint="eastAsia" w:cs="Times New Roman"/>
          <w:b w:val="0"/>
          <w:bCs w:val="0"/>
          <w:color w:val="auto"/>
          <w:kern w:val="2"/>
          <w:sz w:val="21"/>
          <w:szCs w:val="21"/>
          <w:lang w:val="en-US" w:eastAsia="zh-CN" w:bidi="ar-SA"/>
        </w:rPr>
        <w:t>：</w:t>
      </w:r>
      <w:r>
        <w:rPr>
          <w:rFonts w:hint="eastAsia"/>
          <w:color w:val="auto"/>
        </w:rPr>
        <w:t>巡检人员通过自己手机即可使用，无需另外配备。A</w:t>
      </w:r>
      <w:r>
        <w:rPr>
          <w:color w:val="auto"/>
        </w:rPr>
        <w:t>PP</w:t>
      </w:r>
      <w:r>
        <w:rPr>
          <w:rFonts w:hint="eastAsia"/>
          <w:color w:val="auto"/>
        </w:rPr>
        <w:t>实现设备监控、车位监控、停车信息查询、人工收费、补缴费用、下发工单、申诉反馈。</w:t>
      </w:r>
    </w:p>
    <w:p>
      <w:pPr>
        <w:keepNext w:val="0"/>
        <w:keepLines w:val="0"/>
        <w:pageBreakBefore w:val="0"/>
        <w:numPr>
          <w:ilvl w:val="0"/>
          <w:numId w:val="11"/>
        </w:numPr>
        <w:kinsoku/>
        <w:wordWrap/>
        <w:topLinePunct w:val="0"/>
        <w:bidi w:val="0"/>
        <w:snapToGrid/>
        <w:spacing w:line="460" w:lineRule="exact"/>
        <w:ind w:left="425" w:leftChars="0" w:hanging="425" w:firstLineChars="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ETC智能终端</w:t>
      </w:r>
      <w:r>
        <w:rPr>
          <w:rFonts w:hint="eastAsia" w:cs="Times New Roman"/>
          <w:b w:val="0"/>
          <w:bCs w:val="0"/>
          <w:color w:val="auto"/>
          <w:kern w:val="2"/>
          <w:sz w:val="21"/>
          <w:szCs w:val="21"/>
          <w:lang w:val="en-US" w:eastAsia="zh-CN" w:bidi="ar-SA"/>
        </w:rPr>
        <w:t>：通过巡检APP，实现停车巡检，补缴结算，巡检管理，巡检统计分析等功能。</w:t>
      </w:r>
    </w:p>
    <w:p>
      <w:pPr>
        <w:keepNext w:val="0"/>
        <w:keepLines w:val="0"/>
        <w:pageBreakBefore w:val="0"/>
        <w:numPr>
          <w:ilvl w:val="0"/>
          <w:numId w:val="9"/>
        </w:numPr>
        <w:kinsoku/>
        <w:wordWrap/>
        <w:topLinePunct w:val="0"/>
        <w:bidi w:val="0"/>
        <w:snapToGrid/>
        <w:spacing w:line="460" w:lineRule="exact"/>
        <w:ind w:left="0" w:leftChars="0" w:firstLine="420" w:firstLineChars="0"/>
        <w:outlineLvl w:val="9"/>
        <w:rPr>
          <w:rFonts w:hint="eastAsia"/>
          <w:b/>
          <w:bCs/>
          <w:color w:val="auto"/>
          <w:lang w:val="en-US" w:eastAsia="zh-CN"/>
        </w:rPr>
      </w:pPr>
      <w:r>
        <w:rPr>
          <w:rFonts w:hint="eastAsia"/>
          <w:b/>
          <w:bCs/>
          <w:color w:val="auto"/>
          <w:lang w:val="en-US" w:eastAsia="zh-CN"/>
        </w:rPr>
        <w:t>用户公共服务平台</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b w:val="0"/>
          <w:bCs w:val="0"/>
          <w:color w:val="auto"/>
          <w:lang w:val="en-US" w:eastAsia="zh-CN"/>
        </w:rPr>
      </w:pPr>
      <w:r>
        <w:rPr>
          <w:rFonts w:hint="eastAsia"/>
          <w:b w:val="0"/>
          <w:bCs w:val="0"/>
          <w:color w:val="auto"/>
          <w:lang w:val="en-US" w:eastAsia="zh-CN"/>
        </w:rPr>
        <w:t>1、用户APP/小程序/公众号：</w:t>
      </w:r>
      <w:r>
        <w:rPr>
          <w:rFonts w:hint="eastAsia"/>
          <w:color w:val="auto"/>
        </w:rPr>
        <w:t>低位智慧车位感应器/高位/视频桩车位/停车场：系统自动识别车牌，完成停车；停车成功后，系统将进入正在停车界面，界面显示当前停车时间、金额、道路或车场名称、泊位等信息</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b w:val="0"/>
          <w:bCs w:val="0"/>
          <w:color w:val="auto"/>
          <w:lang w:val="en-US" w:eastAsia="zh-CN"/>
        </w:rPr>
      </w:pPr>
      <w:r>
        <w:rPr>
          <w:rFonts w:hint="eastAsia"/>
          <w:b w:val="0"/>
          <w:bCs w:val="0"/>
          <w:color w:val="auto"/>
          <w:lang w:val="en-US" w:eastAsia="zh-CN"/>
        </w:rPr>
        <w:t>2、找车位：直接在地图可以实时查看各个停车场位置及剩余车位信息，并支持导航到具体某个停车场。</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color w:val="auto"/>
          <w:lang w:val="en-US" w:eastAsia="zh-CN"/>
        </w:rPr>
      </w:pPr>
      <w:r>
        <w:rPr>
          <w:rFonts w:hint="eastAsia"/>
          <w:color w:val="auto"/>
          <w:lang w:val="en-US" w:eastAsia="zh-CN"/>
        </w:rPr>
        <w:t>3、充值消费</w:t>
      </w:r>
    </w:p>
    <w:p>
      <w:pPr>
        <w:keepNext w:val="0"/>
        <w:keepLines w:val="0"/>
        <w:pageBreakBefore w:val="0"/>
        <w:numPr>
          <w:ilvl w:val="0"/>
          <w:numId w:val="0"/>
        </w:numPr>
        <w:kinsoku/>
        <w:wordWrap/>
        <w:topLinePunct w:val="0"/>
        <w:bidi w:val="0"/>
        <w:snapToGrid/>
        <w:spacing w:line="460" w:lineRule="exact"/>
        <w:ind w:leftChars="0"/>
        <w:rPr>
          <w:rFonts w:hint="eastAsia"/>
          <w:color w:val="auto"/>
          <w:lang w:val="en-US" w:eastAsia="zh-CN"/>
        </w:rPr>
      </w:pPr>
      <w:r>
        <w:rPr>
          <w:rFonts w:hint="eastAsia"/>
          <w:color w:val="auto"/>
          <w:lang w:val="en-US" w:eastAsia="zh-CN"/>
        </w:rPr>
        <w:t>充值：支持通过微信、支付宝进行充值，充值后APP钱包余额对应增加。</w:t>
      </w:r>
    </w:p>
    <w:p>
      <w:pPr>
        <w:keepNext w:val="0"/>
        <w:keepLines w:val="0"/>
        <w:pageBreakBefore w:val="0"/>
        <w:numPr>
          <w:ilvl w:val="0"/>
          <w:numId w:val="0"/>
        </w:numPr>
        <w:kinsoku/>
        <w:wordWrap/>
        <w:topLinePunct w:val="0"/>
        <w:bidi w:val="0"/>
        <w:snapToGrid/>
        <w:spacing w:line="460" w:lineRule="exact"/>
        <w:ind w:leftChars="0"/>
        <w:rPr>
          <w:rFonts w:hint="eastAsia"/>
          <w:color w:val="auto"/>
          <w:lang w:val="en-US" w:eastAsia="zh-CN"/>
        </w:rPr>
      </w:pPr>
      <w:r>
        <w:rPr>
          <w:rFonts w:hint="eastAsia"/>
          <w:color w:val="auto"/>
          <w:lang w:val="en-US" w:eastAsia="zh-CN"/>
        </w:rPr>
        <w:t>扣费：钱包余额在每次停车完成后，系统将对根据计费时长对钱包进行扣费操作。</w:t>
      </w:r>
    </w:p>
    <w:p>
      <w:pPr>
        <w:keepNext w:val="0"/>
        <w:keepLines w:val="0"/>
        <w:pageBreakBefore w:val="0"/>
        <w:numPr>
          <w:ilvl w:val="0"/>
          <w:numId w:val="0"/>
        </w:numPr>
        <w:kinsoku/>
        <w:wordWrap/>
        <w:topLinePunct w:val="0"/>
        <w:bidi w:val="0"/>
        <w:snapToGrid/>
        <w:spacing w:line="460" w:lineRule="exact"/>
        <w:ind w:leftChars="0"/>
        <w:rPr>
          <w:rFonts w:hint="eastAsia"/>
          <w:color w:val="auto"/>
          <w:lang w:val="en-US" w:eastAsia="zh-CN"/>
        </w:rPr>
      </w:pPr>
      <w:r>
        <w:rPr>
          <w:rFonts w:hint="eastAsia"/>
          <w:color w:val="auto"/>
          <w:lang w:val="en-US" w:eastAsia="zh-CN"/>
        </w:rPr>
        <w:t>记录：APP可以查看历史充值记录和消费记录。</w:t>
      </w:r>
    </w:p>
    <w:p>
      <w:pPr>
        <w:keepNext w:val="0"/>
        <w:keepLines w:val="0"/>
        <w:pageBreakBefore w:val="0"/>
        <w:numPr>
          <w:ilvl w:val="0"/>
          <w:numId w:val="0"/>
        </w:numPr>
        <w:kinsoku/>
        <w:wordWrap/>
        <w:topLinePunct w:val="0"/>
        <w:bidi w:val="0"/>
        <w:snapToGrid/>
        <w:spacing w:line="460" w:lineRule="exact"/>
        <w:ind w:leftChars="0" w:firstLine="420" w:firstLineChars="200"/>
        <w:rPr>
          <w:color w:val="auto"/>
        </w:rPr>
      </w:pPr>
      <w:r>
        <w:rPr>
          <w:rFonts w:hint="eastAsia"/>
          <w:color w:val="auto"/>
          <w:lang w:val="en-US" w:eastAsia="zh-CN"/>
        </w:rPr>
        <w:t>4、</w:t>
      </w:r>
      <w:r>
        <w:rPr>
          <w:rFonts w:hint="eastAsia"/>
          <w:color w:val="auto"/>
        </w:rPr>
        <w:t>个人中心</w:t>
      </w:r>
    </w:p>
    <w:p>
      <w:pPr>
        <w:keepNext w:val="0"/>
        <w:keepLines w:val="0"/>
        <w:pageBreakBefore w:val="0"/>
        <w:numPr>
          <w:ilvl w:val="0"/>
          <w:numId w:val="0"/>
        </w:numPr>
        <w:kinsoku/>
        <w:wordWrap/>
        <w:topLinePunct w:val="0"/>
        <w:bidi w:val="0"/>
        <w:snapToGrid/>
        <w:spacing w:line="460" w:lineRule="exact"/>
        <w:ind w:leftChars="0"/>
        <w:rPr>
          <w:rFonts w:hint="eastAsia"/>
          <w:color w:val="auto"/>
        </w:rPr>
      </w:pPr>
      <w:r>
        <w:rPr>
          <w:rFonts w:hint="eastAsia"/>
          <w:color w:val="auto"/>
        </w:rPr>
        <w:t>个人中心显示常用功能入口，包含钱包、停车劵、车辆列表、在线充值、我的月卡、我的证件、电子发票、消费明细、购买停车劵、商户停车劵、在线客服等。</w:t>
      </w:r>
    </w:p>
    <w:p>
      <w:pPr>
        <w:keepNext w:val="0"/>
        <w:keepLines w:val="0"/>
        <w:pageBreakBefore w:val="0"/>
        <w:numPr>
          <w:ilvl w:val="0"/>
          <w:numId w:val="0"/>
        </w:numPr>
        <w:kinsoku/>
        <w:wordWrap/>
        <w:topLinePunct w:val="0"/>
        <w:bidi w:val="0"/>
        <w:snapToGrid/>
        <w:spacing w:line="460" w:lineRule="exact"/>
        <w:ind w:leftChars="0" w:firstLine="420" w:firstLineChars="200"/>
        <w:rPr>
          <w:color w:val="auto"/>
        </w:rPr>
      </w:pPr>
      <w:r>
        <w:rPr>
          <w:rFonts w:hint="eastAsia"/>
          <w:color w:val="auto"/>
          <w:lang w:val="en-US" w:eastAsia="zh-CN"/>
        </w:rPr>
        <w:t>5、</w:t>
      </w:r>
      <w:r>
        <w:rPr>
          <w:rFonts w:hint="eastAsia"/>
          <w:color w:val="auto"/>
        </w:rPr>
        <w:t>在线客服</w:t>
      </w:r>
    </w:p>
    <w:p>
      <w:pPr>
        <w:keepNext w:val="0"/>
        <w:keepLines w:val="0"/>
        <w:pageBreakBefore w:val="0"/>
        <w:numPr>
          <w:ilvl w:val="0"/>
          <w:numId w:val="0"/>
        </w:numPr>
        <w:kinsoku/>
        <w:wordWrap/>
        <w:topLinePunct w:val="0"/>
        <w:bidi w:val="0"/>
        <w:snapToGrid/>
        <w:spacing w:line="460" w:lineRule="exact"/>
        <w:ind w:leftChars="0"/>
        <w:rPr>
          <w:color w:val="auto"/>
        </w:rPr>
      </w:pPr>
      <w:r>
        <w:rPr>
          <w:rFonts w:hint="eastAsia"/>
          <w:color w:val="auto"/>
        </w:rPr>
        <w:t>投诉建议可以直接反馈对平台的建议，另外当充值出现异常或对停车计费存在异议也可以提交投诉，后台人员收到投诉后会进行相应处理。</w:t>
      </w:r>
    </w:p>
    <w:p>
      <w:pPr>
        <w:keepNext w:val="0"/>
        <w:keepLines w:val="0"/>
        <w:pageBreakBefore w:val="0"/>
        <w:numPr>
          <w:ilvl w:val="0"/>
          <w:numId w:val="0"/>
        </w:numPr>
        <w:kinsoku/>
        <w:wordWrap/>
        <w:topLinePunct w:val="0"/>
        <w:bidi w:val="0"/>
        <w:snapToGrid/>
        <w:spacing w:line="460" w:lineRule="exact"/>
        <w:ind w:leftChars="0" w:firstLine="420" w:firstLineChars="200"/>
        <w:rPr>
          <w:color w:val="auto"/>
        </w:rPr>
      </w:pPr>
      <w:r>
        <w:rPr>
          <w:rFonts w:hint="eastAsia"/>
          <w:color w:val="auto"/>
          <w:lang w:val="en-US" w:eastAsia="zh-CN"/>
        </w:rPr>
        <w:t>6、</w:t>
      </w:r>
      <w:r>
        <w:rPr>
          <w:rFonts w:hint="eastAsia"/>
          <w:color w:val="auto"/>
        </w:rPr>
        <w:t>信息推送</w:t>
      </w:r>
    </w:p>
    <w:p>
      <w:pPr>
        <w:pStyle w:val="25"/>
        <w:keepNext w:val="0"/>
        <w:keepLines w:val="0"/>
        <w:pageBreakBefore w:val="0"/>
        <w:numPr>
          <w:ilvl w:val="0"/>
          <w:numId w:val="12"/>
        </w:numPr>
        <w:kinsoku/>
        <w:wordWrap/>
        <w:topLinePunct w:val="0"/>
        <w:bidi w:val="0"/>
        <w:snapToGrid/>
        <w:spacing w:line="460" w:lineRule="exact"/>
        <w:rPr>
          <w:color w:val="auto"/>
        </w:rPr>
      </w:pPr>
      <w:r>
        <w:rPr>
          <w:rFonts w:hint="eastAsia"/>
          <w:color w:val="auto"/>
        </w:rPr>
        <w:t>入场信息推送</w:t>
      </w:r>
    </w:p>
    <w:p>
      <w:pPr>
        <w:keepNext w:val="0"/>
        <w:keepLines w:val="0"/>
        <w:pageBreakBefore w:val="0"/>
        <w:numPr>
          <w:ilvl w:val="0"/>
          <w:numId w:val="0"/>
        </w:numPr>
        <w:kinsoku/>
        <w:wordWrap/>
        <w:topLinePunct w:val="0"/>
        <w:bidi w:val="0"/>
        <w:snapToGrid/>
        <w:spacing w:line="460" w:lineRule="exact"/>
        <w:ind w:leftChars="0"/>
        <w:rPr>
          <w:color w:val="auto"/>
        </w:rPr>
      </w:pPr>
      <w:r>
        <w:rPr>
          <w:rFonts w:hint="eastAsia"/>
          <w:color w:val="auto"/>
        </w:rPr>
        <w:t>用户成功停车后，系统将下发信息到用户注册所使用的手机号码或绑定的微信，通知用户停车成功。</w:t>
      </w:r>
    </w:p>
    <w:p>
      <w:pPr>
        <w:pStyle w:val="25"/>
        <w:keepNext w:val="0"/>
        <w:keepLines w:val="0"/>
        <w:pageBreakBefore w:val="0"/>
        <w:numPr>
          <w:ilvl w:val="0"/>
          <w:numId w:val="12"/>
        </w:numPr>
        <w:kinsoku/>
        <w:wordWrap/>
        <w:topLinePunct w:val="0"/>
        <w:bidi w:val="0"/>
        <w:snapToGrid/>
        <w:spacing w:line="460" w:lineRule="exact"/>
        <w:rPr>
          <w:color w:val="auto"/>
        </w:rPr>
      </w:pPr>
      <w:r>
        <w:rPr>
          <w:rFonts w:hint="eastAsia"/>
          <w:color w:val="auto"/>
        </w:rPr>
        <w:t>离场通知</w:t>
      </w:r>
    </w:p>
    <w:p>
      <w:pPr>
        <w:keepNext w:val="0"/>
        <w:keepLines w:val="0"/>
        <w:pageBreakBefore w:val="0"/>
        <w:numPr>
          <w:ilvl w:val="0"/>
          <w:numId w:val="0"/>
        </w:numPr>
        <w:kinsoku/>
        <w:wordWrap/>
        <w:topLinePunct w:val="0"/>
        <w:bidi w:val="0"/>
        <w:snapToGrid/>
        <w:spacing w:line="460" w:lineRule="exact"/>
        <w:ind w:leftChars="0"/>
        <w:rPr>
          <w:color w:val="auto"/>
        </w:rPr>
      </w:pPr>
      <w:r>
        <w:rPr>
          <w:rFonts w:hint="eastAsia"/>
          <w:color w:val="auto"/>
        </w:rPr>
        <w:t>用户将车辆驶出后，感应到车辆驶离，系统将根据用户实际停车的时长进行停车费计算，并在用户钱包扣取对应金额，或形成账单通知客户缴费。结算成功后，将下发短信各微信信息通知用户。</w:t>
      </w:r>
    </w:p>
    <w:p>
      <w:pPr>
        <w:keepNext w:val="0"/>
        <w:keepLines w:val="0"/>
        <w:pageBreakBefore w:val="0"/>
        <w:numPr>
          <w:ilvl w:val="0"/>
          <w:numId w:val="9"/>
        </w:numPr>
        <w:kinsoku/>
        <w:wordWrap/>
        <w:topLinePunct w:val="0"/>
        <w:bidi w:val="0"/>
        <w:snapToGrid/>
        <w:spacing w:line="460" w:lineRule="exact"/>
        <w:ind w:left="0" w:leftChars="0" w:firstLine="420" w:firstLineChars="0"/>
        <w:outlineLvl w:val="9"/>
        <w:rPr>
          <w:b/>
          <w:bCs/>
          <w:color w:val="auto"/>
        </w:rPr>
      </w:pPr>
      <w:r>
        <w:rPr>
          <w:rFonts w:hint="eastAsia"/>
          <w:b/>
          <w:bCs/>
          <w:color w:val="auto"/>
        </w:rPr>
        <w:t>路内车位终端信息采集设备</w:t>
      </w:r>
    </w:p>
    <w:p>
      <w:pPr>
        <w:keepNext w:val="0"/>
        <w:keepLines w:val="0"/>
        <w:pageBreakBefore w:val="0"/>
        <w:numPr>
          <w:ilvl w:val="0"/>
          <w:numId w:val="0"/>
        </w:numPr>
        <w:kinsoku/>
        <w:wordWrap/>
        <w:topLinePunct w:val="0"/>
        <w:bidi w:val="0"/>
        <w:snapToGrid/>
        <w:spacing w:line="460" w:lineRule="exact"/>
        <w:ind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r>
        <w:rPr>
          <w:rFonts w:hint="eastAsia" w:ascii="Times New Roman" w:hAnsi="Times New Roman" w:eastAsia="宋体" w:cs="Times New Roman"/>
          <w:b w:val="0"/>
          <w:bCs w:val="0"/>
          <w:color w:val="auto"/>
          <w:kern w:val="2"/>
          <w:sz w:val="21"/>
          <w:szCs w:val="21"/>
          <w:lang w:val="en-US" w:eastAsia="zh-CN" w:bidi="ar-SA"/>
        </w:rPr>
        <w:t>低位智慧车位感应器</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color w:val="auto"/>
        </w:rPr>
      </w:pPr>
      <w:r>
        <w:rPr>
          <w:rFonts w:hint="eastAsia"/>
          <w:color w:val="auto"/>
        </w:rPr>
        <w:t>低位智慧车位感应器采用4G</w:t>
      </w:r>
      <w:r>
        <w:rPr>
          <w:color w:val="auto"/>
        </w:rPr>
        <w:t>/5G</w:t>
      </w:r>
      <w:r>
        <w:rPr>
          <w:rFonts w:hint="eastAsia"/>
          <w:color w:val="auto"/>
        </w:rPr>
        <w:t>网络技术实现感知设备与智慧云平台的无缝对接，可实现图片实时抓拍和上传，快速完成车牌识别和智能比对，完整的图片记录为订单的及时生成和无人化值守提供重要支撑。</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color w:val="auto"/>
        </w:rPr>
      </w:pPr>
      <w:r>
        <w:rPr>
          <w:rFonts w:hint="eastAsia" w:ascii="宋体" w:hAnsi="宋体"/>
          <w:color w:val="auto"/>
        </w:rPr>
        <w:t>采用广角高清摄像机作为前端车位管理感知设备，采用视频和超声波融合技术实现泊位状态检测、车辆停车行为的检测及抓拍，以图片形式记录车辆停车的完整过程，采用4G</w:t>
      </w:r>
      <w:r>
        <w:rPr>
          <w:rFonts w:hint="eastAsia" w:ascii="宋体" w:hAnsi="宋体"/>
          <w:color w:val="auto"/>
          <w:lang w:val="en-US"/>
        </w:rPr>
        <w:t>/5G</w:t>
      </w:r>
      <w:r>
        <w:rPr>
          <w:rFonts w:hint="eastAsia" w:ascii="宋体" w:hAnsi="宋体"/>
          <w:color w:val="auto"/>
        </w:rPr>
        <w:t>无线传输与停车云平台实时对接生成订单，信息及时传输给车主APP。此外，系统包含报警处理、设备运维管理、断网续传等。报警</w:t>
      </w:r>
      <w:r>
        <w:rPr>
          <w:rFonts w:hint="eastAsia"/>
          <w:color w:val="auto"/>
        </w:rPr>
        <w:t>处理主要针对抓拍图片是否有车牌，车牌是否一致，泊位是否存在重复入车，车牌是否存在未出车记录等条件判断报警信息，中心值守人员根据报警提示进行任务的认领和人工处理。设备运维管理包含心跳检测、电量上报、工作时间配置、远程唤醒、画面预览等功能。</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color w:val="auto"/>
        </w:rPr>
      </w:pPr>
      <w:r>
        <w:rPr>
          <w:rFonts w:hint="eastAsia"/>
          <w:color w:val="auto"/>
        </w:rPr>
        <w:t>前端：路内低位智慧车位感应器摄像头对应管理泊位，超声波探测车辆进出行为，触发设备，换新摄像头动态停车过程图片抓拍，自动过滤低质量图片，并上传云端。</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olor w:val="auto"/>
        </w:rPr>
      </w:pPr>
      <w:r>
        <w:rPr>
          <w:rFonts w:hint="eastAsia" w:ascii="宋体" w:hAnsi="宋体"/>
          <w:color w:val="auto"/>
        </w:rPr>
        <w:t>后端：智慧停车云平台及功能辅助平台。</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b/>
          <w:bCs/>
          <w:color w:val="auto"/>
        </w:rPr>
      </w:pPr>
      <w:r>
        <w:rPr>
          <w:rFonts w:hint="eastAsia" w:ascii="宋体" w:hAnsi="宋体"/>
          <w:color w:val="auto"/>
        </w:rPr>
        <w:t>网络：前端到通过</w:t>
      </w:r>
      <w:r>
        <w:rPr>
          <w:rFonts w:hint="eastAsia" w:ascii="宋体" w:hAnsi="宋体"/>
          <w:color w:val="auto"/>
          <w:lang w:val="en-US"/>
        </w:rPr>
        <w:t>移动</w:t>
      </w:r>
      <w:r>
        <w:rPr>
          <w:rFonts w:hint="eastAsia" w:ascii="宋体" w:hAnsi="宋体"/>
          <w:color w:val="auto"/>
        </w:rPr>
        <w:t>4G</w:t>
      </w:r>
      <w:r>
        <w:rPr>
          <w:rFonts w:ascii="宋体" w:hAnsi="宋体"/>
          <w:color w:val="auto"/>
        </w:rPr>
        <w:t>/5G</w:t>
      </w:r>
      <w:r>
        <w:rPr>
          <w:rFonts w:hint="eastAsia" w:ascii="宋体" w:hAnsi="宋体"/>
          <w:color w:val="auto"/>
        </w:rPr>
        <w:t>网络与后端系统实现通信。</w:t>
      </w:r>
    </w:p>
    <w:p>
      <w:pPr>
        <w:keepNext w:val="0"/>
        <w:keepLines w:val="0"/>
        <w:pageBreakBefore w:val="0"/>
        <w:numPr>
          <w:ilvl w:val="0"/>
          <w:numId w:val="0"/>
        </w:numPr>
        <w:kinsoku/>
        <w:wordWrap/>
        <w:topLinePunct w:val="0"/>
        <w:bidi w:val="0"/>
        <w:snapToGrid/>
        <w:spacing w:line="460" w:lineRule="exact"/>
        <w:ind w:leftChars="0" w:firstLine="422" w:firstLineChars="200"/>
        <w:rPr>
          <w:b/>
          <w:bCs/>
          <w:color w:val="auto"/>
        </w:rPr>
      </w:pPr>
      <w:r>
        <w:rPr>
          <w:rFonts w:hint="eastAsia"/>
          <w:b/>
          <w:bCs/>
          <w:color w:val="auto"/>
          <w:lang w:val="en-US" w:eastAsia="zh-CN"/>
        </w:rPr>
        <w:t>2、</w:t>
      </w:r>
      <w:r>
        <w:rPr>
          <w:rFonts w:hint="eastAsia"/>
          <w:b/>
          <w:bCs/>
          <w:color w:val="auto"/>
        </w:rPr>
        <w:t>设备&amp;系统特点</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拆装灵活</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低位智慧车位感应器可根据城市建设，实现灵活拆装，随拆随装，一次投入，永久使用，无任何浪费之忧。</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车位VIP专属管理</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每个泊位可由低位智慧车位感应器专属管理，提高泊位停车状态的精准感知，及时捕捉车辆进入和驶离，有效避免漏拍。</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车辆进出图片拍摄更全面</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低位智慧车位感应器可以拍摄当前车位的车头，为车牌算法的精准识别提供强有力的数据支撑，车辆进出泊位图片在云平台长期保存，为后续纠纷提供证明资料。</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内置电池，太阳能续电更无忧</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低位智慧车位感应器内置电池，一次性运行时间可达到6个月以上，星斑级充电，充一天用三天，减少碳排放，紧跟国策，扎实做好碳达峰、碳中和各项指标，同时实现降低建设和运维成本。</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全网4G/5G无线传输</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olor w:val="auto"/>
        </w:rPr>
      </w:pPr>
      <w:r>
        <w:rPr>
          <w:rFonts w:hint="eastAsia" w:ascii="宋体" w:hAnsi="宋体"/>
          <w:color w:val="auto"/>
        </w:rPr>
        <w:t>低位智慧车位感应器通过安装移动4G/5G网络卡，实现数据的实时传输，无需建设任何网络中继器，减少施工，降低建设和运营成本。</w:t>
      </w:r>
    </w:p>
    <w:p>
      <w:pPr>
        <w:keepNext w:val="0"/>
        <w:keepLines w:val="0"/>
        <w:pageBreakBefore w:val="0"/>
        <w:numPr>
          <w:ilvl w:val="0"/>
          <w:numId w:val="9"/>
        </w:numPr>
        <w:kinsoku/>
        <w:wordWrap/>
        <w:topLinePunct w:val="0"/>
        <w:bidi w:val="0"/>
        <w:snapToGrid/>
        <w:spacing w:line="460" w:lineRule="exact"/>
        <w:ind w:left="0" w:leftChars="0" w:firstLine="420" w:firstLineChars="0"/>
        <w:outlineLvl w:val="9"/>
        <w:rPr>
          <w:b/>
          <w:bCs/>
          <w:color w:val="auto"/>
        </w:rPr>
      </w:pPr>
      <w:bookmarkStart w:id="2" w:name="_Toc12395"/>
      <w:bookmarkStart w:id="3" w:name="_Toc3547"/>
      <w:r>
        <w:rPr>
          <w:rFonts w:hint="eastAsia"/>
          <w:b/>
          <w:bCs/>
          <w:color w:val="auto"/>
        </w:rPr>
        <w:t>路外停车场智能</w:t>
      </w:r>
      <w:bookmarkEnd w:id="2"/>
      <w:r>
        <w:rPr>
          <w:rFonts w:hint="eastAsia"/>
          <w:b/>
          <w:bCs/>
          <w:color w:val="auto"/>
        </w:rPr>
        <w:t>化设备</w:t>
      </w:r>
      <w:bookmarkEnd w:id="3"/>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olor w:val="auto"/>
        </w:rPr>
      </w:pPr>
      <w:r>
        <w:rPr>
          <w:rFonts w:ascii="宋体" w:hAnsi="宋体"/>
          <w:color w:val="auto"/>
        </w:rPr>
        <w:t>对停车场进行智能化建设，通过高速车牌扫描技术、网络ETC无感支付技术、移动</w:t>
      </w:r>
      <w:r>
        <w:rPr>
          <w:rFonts w:hint="eastAsia" w:ascii="宋体" w:hAnsi="宋体"/>
          <w:color w:val="auto"/>
        </w:rPr>
        <w:t>互联网</w:t>
      </w:r>
      <w:r>
        <w:rPr>
          <w:rFonts w:ascii="宋体" w:hAnsi="宋体"/>
          <w:color w:val="auto"/>
        </w:rPr>
        <w:t>等技术改造室内停车场，打造不停车出入的智慧型停车场，为用户带来方便快捷的极致停车体验，减轻停车场管理工作压力和工作强度，降低停车场运营成本，有效提高停车场运营效率和管理水平。</w:t>
      </w:r>
    </w:p>
    <w:p>
      <w:pPr>
        <w:keepNext w:val="0"/>
        <w:keepLines w:val="0"/>
        <w:pageBreakBefore w:val="0"/>
        <w:numPr>
          <w:ilvl w:val="0"/>
          <w:numId w:val="4"/>
        </w:numPr>
        <w:kinsoku/>
        <w:wordWrap/>
        <w:topLinePunct w:val="0"/>
        <w:bidi w:val="0"/>
        <w:snapToGrid/>
        <w:spacing w:line="460" w:lineRule="exact"/>
        <w:outlineLvl w:val="2"/>
        <w:rPr>
          <w:rFonts w:hint="eastAsia"/>
          <w:b/>
          <w:bCs/>
          <w:color w:val="auto"/>
        </w:rPr>
      </w:pPr>
      <w:r>
        <w:rPr>
          <w:rFonts w:hint="eastAsia"/>
          <w:b/>
          <w:bCs/>
          <w:color w:val="auto"/>
        </w:rPr>
        <w:t>项目实施进度</w:t>
      </w:r>
    </w:p>
    <w:p>
      <w:pPr>
        <w:keepNext w:val="0"/>
        <w:keepLines w:val="0"/>
        <w:pageBreakBefore w:val="0"/>
        <w:numPr>
          <w:ilvl w:val="0"/>
          <w:numId w:val="13"/>
        </w:numPr>
        <w:kinsoku/>
        <w:wordWrap/>
        <w:topLinePunct w:val="0"/>
        <w:bidi w:val="0"/>
        <w:snapToGrid/>
        <w:spacing w:line="460" w:lineRule="exact"/>
        <w:ind w:left="0" w:leftChars="0" w:firstLine="420" w:firstLineChars="0"/>
        <w:outlineLvl w:val="9"/>
        <w:rPr>
          <w:rFonts w:hint="eastAsia"/>
          <w:b/>
          <w:bCs/>
          <w:color w:val="auto"/>
        </w:rPr>
      </w:pPr>
      <w:r>
        <w:rPr>
          <w:rFonts w:hint="eastAsia"/>
          <w:b/>
          <w:bCs/>
          <w:color w:val="auto"/>
        </w:rPr>
        <w:t>项目施工建设周期</w:t>
      </w:r>
    </w:p>
    <w:p>
      <w:pPr>
        <w:keepNext w:val="0"/>
        <w:keepLines w:val="0"/>
        <w:pageBreakBefore w:val="0"/>
        <w:kinsoku/>
        <w:wordWrap/>
        <w:topLinePunct w:val="0"/>
        <w:bidi w:val="0"/>
        <w:snapToGrid/>
        <w:spacing w:line="460" w:lineRule="exact"/>
        <w:ind w:firstLine="420" w:firstLineChars="200"/>
        <w:outlineLvl w:val="9"/>
        <w:rPr>
          <w:rFonts w:hint="eastAsia"/>
          <w:color w:val="auto"/>
        </w:rPr>
      </w:pPr>
      <w:r>
        <w:rPr>
          <w:rFonts w:hint="eastAsia"/>
          <w:color w:val="auto"/>
        </w:rPr>
        <w:t>本项目建设试运营期为2年，考虑项目的先行性，需要一定的宣传和试运营期，试点工期6个月。</w:t>
      </w:r>
    </w:p>
    <w:p>
      <w:pPr>
        <w:keepNext w:val="0"/>
        <w:keepLines w:val="0"/>
        <w:pageBreakBefore w:val="0"/>
        <w:numPr>
          <w:ilvl w:val="0"/>
          <w:numId w:val="13"/>
        </w:numPr>
        <w:kinsoku/>
        <w:wordWrap/>
        <w:topLinePunct w:val="0"/>
        <w:bidi w:val="0"/>
        <w:snapToGrid/>
        <w:spacing w:line="460" w:lineRule="exact"/>
        <w:ind w:left="0" w:leftChars="0" w:firstLine="420" w:firstLineChars="0"/>
        <w:outlineLvl w:val="9"/>
        <w:rPr>
          <w:rFonts w:hint="eastAsia"/>
          <w:b/>
          <w:bCs/>
          <w:color w:val="auto"/>
        </w:rPr>
      </w:pPr>
      <w:r>
        <w:rPr>
          <w:rFonts w:hint="eastAsia"/>
          <w:b/>
          <w:bCs/>
          <w:color w:val="auto"/>
        </w:rPr>
        <w:t>实施进度计划</w:t>
      </w:r>
    </w:p>
    <w:p>
      <w:pPr>
        <w:keepNext w:val="0"/>
        <w:keepLines w:val="0"/>
        <w:pageBreakBefore w:val="0"/>
        <w:widowControl w:val="0"/>
        <w:numPr>
          <w:ilvl w:val="0"/>
          <w:numId w:val="0"/>
        </w:numPr>
        <w:kinsoku/>
        <w:wordWrap/>
        <w:topLinePunct w:val="0"/>
        <w:bidi w:val="0"/>
        <w:snapToGrid/>
        <w:spacing w:line="500" w:lineRule="exact"/>
        <w:ind w:left="420" w:leftChars="0"/>
        <w:outlineLvl w:val="9"/>
        <w:rPr>
          <w:rFonts w:hint="eastAsia"/>
          <w:color w:val="auto"/>
        </w:rPr>
      </w:pPr>
      <w:r>
        <w:rPr>
          <w:rFonts w:hint="eastAsia"/>
          <w:color w:val="auto"/>
        </w:rPr>
        <w:t>本项目实施过程可分为以下三个阶段：</w:t>
      </w:r>
    </w:p>
    <w:p>
      <w:pPr>
        <w:keepNext w:val="0"/>
        <w:keepLines w:val="0"/>
        <w:pageBreakBefore w:val="0"/>
        <w:widowControl w:val="0"/>
        <w:numPr>
          <w:ilvl w:val="0"/>
          <w:numId w:val="0"/>
        </w:numPr>
        <w:kinsoku/>
        <w:wordWrap/>
        <w:topLinePunct w:val="0"/>
        <w:bidi w:val="0"/>
        <w:snapToGrid/>
        <w:spacing w:line="500" w:lineRule="exact"/>
        <w:ind w:leftChars="0" w:firstLine="420" w:firstLineChars="200"/>
        <w:rPr>
          <w:rFonts w:hint="eastAsia"/>
          <w:color w:val="auto"/>
        </w:rPr>
      </w:pPr>
      <w:r>
        <w:rPr>
          <w:rFonts w:hint="eastAsia"/>
          <w:color w:val="auto"/>
          <w:lang w:val="en-US" w:eastAsia="zh-CN"/>
        </w:rPr>
        <w:t>1、</w:t>
      </w:r>
      <w:r>
        <w:rPr>
          <w:rFonts w:hint="eastAsia"/>
          <w:color w:val="auto"/>
        </w:rPr>
        <w:t>项目前期策划与决策阶段：主要工作包括投资机会研究、可研报告的编制和项目评估及决策。</w:t>
      </w:r>
    </w:p>
    <w:p>
      <w:pPr>
        <w:keepNext w:val="0"/>
        <w:keepLines w:val="0"/>
        <w:pageBreakBefore w:val="0"/>
        <w:widowControl w:val="0"/>
        <w:numPr>
          <w:ilvl w:val="0"/>
          <w:numId w:val="0"/>
        </w:numPr>
        <w:kinsoku/>
        <w:wordWrap/>
        <w:topLinePunct w:val="0"/>
        <w:bidi w:val="0"/>
        <w:snapToGrid/>
        <w:spacing w:line="500" w:lineRule="exact"/>
        <w:ind w:leftChars="0" w:firstLine="420" w:firstLineChars="200"/>
        <w:rPr>
          <w:rFonts w:hint="eastAsia"/>
          <w:color w:val="auto"/>
        </w:rPr>
      </w:pPr>
      <w:r>
        <w:rPr>
          <w:rFonts w:hint="eastAsia"/>
          <w:color w:val="auto"/>
          <w:lang w:val="en-US" w:eastAsia="zh-CN"/>
        </w:rPr>
        <w:t>2、</w:t>
      </w:r>
      <w:r>
        <w:rPr>
          <w:rFonts w:hint="eastAsia"/>
          <w:color w:val="auto"/>
        </w:rPr>
        <w:t>项目准备阶段：主要工作包括工程项目的初步设计和施工图设计，工程项目征地及建设条件的准备，设备、工程招标及承包商的选定、签订承包合同。</w:t>
      </w:r>
    </w:p>
    <w:p>
      <w:pPr>
        <w:keepNext w:val="0"/>
        <w:keepLines w:val="0"/>
        <w:pageBreakBefore w:val="0"/>
        <w:widowControl w:val="0"/>
        <w:numPr>
          <w:ilvl w:val="0"/>
          <w:numId w:val="0"/>
        </w:numPr>
        <w:kinsoku/>
        <w:wordWrap/>
        <w:topLinePunct w:val="0"/>
        <w:bidi w:val="0"/>
        <w:snapToGrid/>
        <w:spacing w:line="500" w:lineRule="exact"/>
        <w:ind w:leftChars="0" w:firstLine="420" w:firstLineChars="200"/>
        <w:rPr>
          <w:rFonts w:hint="eastAsia"/>
          <w:color w:val="auto"/>
        </w:rPr>
      </w:pPr>
      <w:r>
        <w:rPr>
          <w:rFonts w:hint="eastAsia"/>
          <w:color w:val="auto"/>
          <w:lang w:val="en-US" w:eastAsia="zh-CN"/>
        </w:rPr>
        <w:t>3、</w:t>
      </w:r>
      <w:r>
        <w:rPr>
          <w:rFonts w:hint="eastAsia"/>
          <w:color w:val="auto"/>
        </w:rPr>
        <w:t>工程实施阶段：主要工作</w:t>
      </w:r>
      <w:r>
        <w:rPr>
          <w:rFonts w:hint="eastAsia"/>
          <w:color w:val="auto"/>
          <w:lang w:val="en-US" w:eastAsia="zh-CN"/>
        </w:rPr>
        <w:t>为本项目</w:t>
      </w:r>
      <w:r>
        <w:rPr>
          <w:rFonts w:hint="eastAsia"/>
          <w:color w:val="auto"/>
        </w:rPr>
        <w:t>路内和路外停车泊位的土建施工、设备安装、竣工验收等。</w:t>
      </w:r>
    </w:p>
    <w:p>
      <w:pPr>
        <w:keepNext w:val="0"/>
        <w:keepLines w:val="0"/>
        <w:pageBreakBefore w:val="0"/>
        <w:widowControl w:val="0"/>
        <w:numPr>
          <w:ilvl w:val="0"/>
          <w:numId w:val="13"/>
        </w:numPr>
        <w:kinsoku/>
        <w:wordWrap/>
        <w:topLinePunct w:val="0"/>
        <w:bidi w:val="0"/>
        <w:snapToGrid/>
        <w:spacing w:line="500" w:lineRule="exact"/>
        <w:ind w:left="0" w:leftChars="0" w:firstLine="420" w:firstLineChars="0"/>
        <w:outlineLvl w:val="9"/>
        <w:rPr>
          <w:b/>
          <w:bCs/>
          <w:color w:val="auto"/>
        </w:rPr>
      </w:pPr>
      <w:r>
        <w:rPr>
          <w:rFonts w:hint="eastAsia"/>
          <w:b/>
          <w:bCs/>
          <w:color w:val="auto"/>
        </w:rPr>
        <w:t>项目成功的关键因素把控</w:t>
      </w:r>
    </w:p>
    <w:p>
      <w:pPr>
        <w:keepNext w:val="0"/>
        <w:keepLines w:val="0"/>
        <w:pageBreakBefore w:val="0"/>
        <w:widowControl w:val="0"/>
        <w:numPr>
          <w:ilvl w:val="0"/>
          <w:numId w:val="0"/>
        </w:numPr>
        <w:kinsoku/>
        <w:wordWrap/>
        <w:topLinePunct w:val="0"/>
        <w:bidi w:val="0"/>
        <w:snapToGrid/>
        <w:spacing w:line="500" w:lineRule="exact"/>
        <w:ind w:leftChars="0" w:firstLine="420" w:firstLineChars="200"/>
        <w:rPr>
          <w:color w:val="auto"/>
        </w:rPr>
      </w:pPr>
      <w:r>
        <w:rPr>
          <w:rFonts w:hint="eastAsia"/>
          <w:color w:val="auto"/>
          <w:lang w:val="en-US" w:eastAsia="zh-CN"/>
        </w:rPr>
        <w:t>1、</w:t>
      </w:r>
      <w:r>
        <w:rPr>
          <w:rFonts w:hint="eastAsia"/>
          <w:color w:val="auto"/>
        </w:rPr>
        <w:t>明确项目落地牵头单位</w:t>
      </w:r>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rFonts w:hint="eastAsia"/>
          <w:color w:val="auto"/>
        </w:rPr>
        <w:t>为了更好的开展项目工作，帮助解决项目落地过程中所遇到的困难，确保落地项目细化分工以及多方单位合作共处，需明确牵头单位，落实专人负责，以组织和协调各方工作。</w:t>
      </w:r>
    </w:p>
    <w:p>
      <w:pPr>
        <w:keepNext w:val="0"/>
        <w:keepLines w:val="0"/>
        <w:pageBreakBefore w:val="0"/>
        <w:widowControl w:val="0"/>
        <w:numPr>
          <w:ilvl w:val="0"/>
          <w:numId w:val="0"/>
        </w:numPr>
        <w:kinsoku/>
        <w:wordWrap/>
        <w:topLinePunct w:val="0"/>
        <w:bidi w:val="0"/>
        <w:snapToGrid/>
        <w:spacing w:line="500" w:lineRule="exact"/>
        <w:ind w:leftChars="0" w:firstLine="420" w:firstLineChars="200"/>
        <w:rPr>
          <w:color w:val="auto"/>
        </w:rPr>
      </w:pPr>
      <w:r>
        <w:rPr>
          <w:rFonts w:hint="eastAsia"/>
          <w:color w:val="auto"/>
          <w:lang w:val="en-US" w:eastAsia="zh-CN"/>
        </w:rPr>
        <w:t>2、</w:t>
      </w:r>
      <w:r>
        <w:rPr>
          <w:rFonts w:hint="eastAsia"/>
          <w:color w:val="auto"/>
        </w:rPr>
        <w:t>制定出台路内停车规范、收费相关政策</w:t>
      </w:r>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rFonts w:hint="eastAsia"/>
          <w:color w:val="auto"/>
        </w:rPr>
        <w:t>为合理利用城市现有公共停车资源，缓解停车供需矛盾，规范车辆停放秩序，确保市民安全便捷出行，遵守道路交通有序、安全、畅通的原则，需出台海陵区路内停车规范政策和收费制度。</w:t>
      </w:r>
    </w:p>
    <w:p>
      <w:pPr>
        <w:keepNext w:val="0"/>
        <w:keepLines w:val="0"/>
        <w:pageBreakBefore w:val="0"/>
        <w:widowControl w:val="0"/>
        <w:numPr>
          <w:ilvl w:val="0"/>
          <w:numId w:val="0"/>
        </w:numPr>
        <w:kinsoku/>
        <w:wordWrap/>
        <w:topLinePunct w:val="0"/>
        <w:bidi w:val="0"/>
        <w:snapToGrid/>
        <w:spacing w:line="500" w:lineRule="exact"/>
        <w:ind w:leftChars="0" w:firstLine="420" w:firstLineChars="200"/>
        <w:rPr>
          <w:color w:val="auto"/>
        </w:rPr>
      </w:pPr>
      <w:r>
        <w:rPr>
          <w:rFonts w:hint="eastAsia"/>
          <w:color w:val="auto"/>
          <w:lang w:val="en-US" w:eastAsia="zh-CN"/>
        </w:rPr>
        <w:t>3、</w:t>
      </w:r>
      <w:r>
        <w:rPr>
          <w:rFonts w:hint="eastAsia"/>
          <w:color w:val="auto"/>
        </w:rPr>
        <w:t>完善</w:t>
      </w:r>
      <w:r>
        <w:rPr>
          <w:color w:val="auto"/>
        </w:rPr>
        <w:t>城市停车管理法规制度。</w:t>
      </w:r>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color w:val="auto"/>
        </w:rPr>
        <w:t>依照</w:t>
      </w:r>
      <w:r>
        <w:rPr>
          <w:rFonts w:hint="eastAsia"/>
          <w:color w:val="auto"/>
        </w:rPr>
        <w:t>有关</w:t>
      </w:r>
      <w:r>
        <w:rPr>
          <w:color w:val="auto"/>
        </w:rPr>
        <w:t>法律法规，结合本地停车管理实际，充分运用地方立法权，推动制定地方性停车管理法规制度、建立设施建设运营机制，为依法治理停车问题提供法律支持和保障。</w:t>
      </w:r>
    </w:p>
    <w:p>
      <w:pPr>
        <w:keepNext w:val="0"/>
        <w:keepLines w:val="0"/>
        <w:pageBreakBefore w:val="0"/>
        <w:widowControl w:val="0"/>
        <w:numPr>
          <w:ilvl w:val="0"/>
          <w:numId w:val="0"/>
        </w:numPr>
        <w:kinsoku/>
        <w:wordWrap/>
        <w:topLinePunct w:val="0"/>
        <w:bidi w:val="0"/>
        <w:snapToGrid/>
        <w:spacing w:line="500" w:lineRule="exact"/>
        <w:ind w:leftChars="0" w:firstLine="420" w:firstLineChars="200"/>
        <w:rPr>
          <w:color w:val="auto"/>
        </w:rPr>
      </w:pPr>
      <w:r>
        <w:rPr>
          <w:rFonts w:hint="eastAsia"/>
          <w:color w:val="auto"/>
          <w:lang w:val="en-US" w:eastAsia="zh-CN"/>
        </w:rPr>
        <w:t>4、</w:t>
      </w:r>
      <w:r>
        <w:rPr>
          <w:rFonts w:hint="eastAsia"/>
          <w:color w:val="auto"/>
        </w:rPr>
        <w:t>依法</w:t>
      </w:r>
      <w:r>
        <w:rPr>
          <w:color w:val="auto"/>
        </w:rPr>
        <w:t>惩处违法停车行为。</w:t>
      </w:r>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color w:val="auto"/>
        </w:rPr>
        <w:t>公开</w:t>
      </w:r>
      <w:r>
        <w:rPr>
          <w:rFonts w:hint="eastAsia"/>
          <w:color w:val="auto"/>
        </w:rPr>
        <w:t>公示</w:t>
      </w:r>
      <w:r>
        <w:rPr>
          <w:color w:val="auto"/>
        </w:rPr>
        <w:t>禁停区域、路段、时段，综合运用民警巡逻、执法车摄录、监控设备抓拍等多种手段，及时查处违法停车行为。发挥清障车辆作用，及时拖移违停车辆，提高违法停车时间成本。将驾驶人在同一地点的多次违法停车行为，记入交通出行领域信用信息数据库并依法公示，对失信行为实施联合惩戒。</w:t>
      </w:r>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rFonts w:hint="eastAsia"/>
          <w:color w:val="auto"/>
        </w:rPr>
        <w:t>主旨：出台政策，协助项目正常运营，杜绝国有资产流失。</w:t>
      </w:r>
    </w:p>
    <w:p>
      <w:pPr>
        <w:keepNext w:val="0"/>
        <w:keepLines w:val="0"/>
        <w:pageBreakBefore w:val="0"/>
        <w:widowControl w:val="0"/>
        <w:numPr>
          <w:ilvl w:val="0"/>
          <w:numId w:val="13"/>
        </w:numPr>
        <w:kinsoku/>
        <w:wordWrap/>
        <w:topLinePunct w:val="0"/>
        <w:bidi w:val="0"/>
        <w:snapToGrid/>
        <w:spacing w:line="500" w:lineRule="exact"/>
        <w:ind w:left="0" w:leftChars="0" w:firstLine="420" w:firstLineChars="0"/>
        <w:outlineLvl w:val="9"/>
        <w:rPr>
          <w:b/>
          <w:bCs/>
          <w:color w:val="auto"/>
        </w:rPr>
      </w:pPr>
      <w:bookmarkStart w:id="4" w:name="_Toc79175108"/>
      <w:bookmarkStart w:id="5" w:name="_Toc79170107"/>
      <w:bookmarkStart w:id="6" w:name="_Toc4571"/>
      <w:bookmarkStart w:id="7" w:name="_Toc16079"/>
      <w:r>
        <w:rPr>
          <w:rFonts w:hint="eastAsia"/>
          <w:b/>
          <w:bCs/>
          <w:color w:val="auto"/>
        </w:rPr>
        <w:t>质量与进度保障</w:t>
      </w:r>
      <w:bookmarkEnd w:id="4"/>
      <w:bookmarkEnd w:id="5"/>
      <w:bookmarkEnd w:id="6"/>
      <w:bookmarkEnd w:id="7"/>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rFonts w:hint="eastAsia"/>
          <w:color w:val="auto"/>
        </w:rPr>
        <w:t>明确整个项目的目标和质量要求，确定出项目工作清单中各项任务结果相关的质量及测试要求。</w:t>
      </w:r>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rFonts w:hint="eastAsia"/>
          <w:color w:val="auto"/>
        </w:rPr>
        <w:t>制定质量保证计划，确定质量目标，确定在每个阶段为达到总目标所应达到的要求，对进度做出安排，确定所需的人力、资源和成本等等。具体来说质量保证内容通常应包含质量保证承诺、阶段性评审、全面或抽样测试、质量验收过程和问题汇总反馈过程等，以保证项目达到预计效果。</w:t>
      </w:r>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rFonts w:hint="eastAsia"/>
          <w:color w:val="auto"/>
        </w:rPr>
        <w:t>制定了严格的进度计划，建立严谨科学的项目跟踪监督机制，通过定期工作会和不定期专题协调会来解决工程实施过程中产生的问题，项目领导组及其管理部将制定严格的项目管理措施，狠抓监督与落实。</w:t>
      </w:r>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rFonts w:hint="eastAsia"/>
          <w:color w:val="auto"/>
        </w:rPr>
        <w:t>开发机构应严格推行软件工程国家标准，并制定了符合自身特点的政府机关内部软件工程规范。主要软件工程国际标准有基础标准、开发标准、文档标准、管理标准几大类。</w:t>
      </w:r>
    </w:p>
    <w:p>
      <w:pPr>
        <w:keepNext w:val="0"/>
        <w:keepLines w:val="0"/>
        <w:pageBreakBefore w:val="0"/>
        <w:widowControl w:val="0"/>
        <w:kinsoku/>
        <w:wordWrap/>
        <w:overflowPunct/>
        <w:topLinePunct w:val="0"/>
        <w:autoSpaceDE/>
        <w:autoSpaceDN/>
        <w:bidi w:val="0"/>
        <w:adjustRightInd w:val="0"/>
        <w:snapToGrid/>
        <w:spacing w:line="500" w:lineRule="exact"/>
        <w:ind w:firstLine="420" w:firstLineChars="200"/>
        <w:textAlignment w:val="auto"/>
        <w:rPr>
          <w:color w:val="auto"/>
        </w:rPr>
      </w:pPr>
      <w:r>
        <w:rPr>
          <w:rFonts w:hint="eastAsia"/>
          <w:color w:val="auto"/>
        </w:rPr>
        <w:t>变更控制是做好项目范围控制的有力措施，变更控制的主要方法是变更评审，这也是保证项目质量管理的一个重要任务。每一个变更必须记录成文档。重大的变更需由项目领导组批准，其他变更有由项目管理部决定。</w:t>
      </w:r>
    </w:p>
    <w:p>
      <w:pPr>
        <w:pStyle w:val="23"/>
        <w:keepNext w:val="0"/>
        <w:keepLines w:val="0"/>
        <w:pageBreakBefore w:val="0"/>
        <w:widowControl w:val="0"/>
        <w:kinsoku/>
        <w:wordWrap/>
        <w:topLinePunct w:val="0"/>
        <w:bidi w:val="0"/>
        <w:snapToGrid/>
        <w:spacing w:line="500" w:lineRule="exact"/>
        <w:ind w:firstLine="420" w:firstLineChars="200"/>
        <w:rPr>
          <w:rFonts w:hint="eastAsia" w:ascii="宋体" w:hAnsi="宋体" w:eastAsia="宋体" w:cs="宋体"/>
          <w:color w:val="auto"/>
          <w:sz w:val="21"/>
          <w:szCs w:val="21"/>
        </w:rPr>
      </w:pPr>
      <w:r>
        <w:rPr>
          <w:rFonts w:hint="eastAsia"/>
          <w:color w:val="auto"/>
        </w:rPr>
        <w:t>软件文档起到多种桥梁的作用，它有助于管理人员程序员编制程序，有助于管理人员监督和管理软件的开发，有助于用户了解软件的工作和应做的操作，有助于维护人员进行有效的修改和扩充。所以，软件文档的质量是整个软件质量不可缺少的部分。文档的管理与维护也是整个应用软件质量保证的重要环节，将有专门的文档保管员负责，并对文档进行跟踪和控制。系统总体设计方案、项目开发计划、系统需求分析报告、系统设计报告、模块开发卷宗、用户手册、软件测试计划、软件测试分析报告、项目验收报告。</w:t>
      </w:r>
    </w:p>
    <w:p>
      <w:pPr>
        <w:keepNext w:val="0"/>
        <w:keepLines w:val="0"/>
        <w:pageBreakBefore w:val="0"/>
        <w:widowControl w:val="0"/>
        <w:numPr>
          <w:ilvl w:val="0"/>
          <w:numId w:val="4"/>
        </w:numPr>
        <w:kinsoku/>
        <w:wordWrap/>
        <w:topLinePunct w:val="0"/>
        <w:bidi w:val="0"/>
        <w:snapToGrid/>
        <w:spacing w:line="500" w:lineRule="exact"/>
        <w:outlineLvl w:val="2"/>
        <w:rPr>
          <w:rFonts w:hint="eastAsia" w:ascii="宋体" w:hAnsi="宋体" w:eastAsia="宋体" w:cs="宋体"/>
          <w:color w:val="auto"/>
          <w:sz w:val="21"/>
          <w:szCs w:val="21"/>
        </w:rPr>
      </w:pPr>
      <w:r>
        <w:rPr>
          <w:rFonts w:hint="eastAsia" w:ascii="宋体" w:hAnsi="宋体" w:eastAsia="宋体" w:cs="宋体"/>
          <w:b/>
          <w:bCs/>
          <w:color w:val="auto"/>
          <w:sz w:val="21"/>
          <w:szCs w:val="21"/>
        </w:rPr>
        <w:t>质量要求：</w:t>
      </w:r>
      <w:r>
        <w:rPr>
          <w:rFonts w:hint="eastAsia" w:ascii="宋体" w:hAnsi="宋体" w:eastAsia="宋体" w:cs="宋体"/>
          <w:color w:val="auto"/>
          <w:sz w:val="21"/>
          <w:szCs w:val="21"/>
        </w:rPr>
        <w:t>符合国家地方相关规范、文件通知要求和相关质量标准要求。</w:t>
      </w:r>
    </w:p>
    <w:p>
      <w:pPr>
        <w:keepNext w:val="0"/>
        <w:keepLines w:val="0"/>
        <w:pageBreakBefore w:val="0"/>
        <w:widowControl w:val="0"/>
        <w:numPr>
          <w:ilvl w:val="0"/>
          <w:numId w:val="4"/>
        </w:numPr>
        <w:kinsoku/>
        <w:wordWrap/>
        <w:topLinePunct w:val="0"/>
        <w:bidi w:val="0"/>
        <w:snapToGrid/>
        <w:spacing w:line="500" w:lineRule="exact"/>
        <w:outlineLvl w:val="2"/>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营业收入预估</w:t>
      </w:r>
    </w:p>
    <w:p>
      <w:pPr>
        <w:pStyle w:val="23"/>
        <w:keepNext w:val="0"/>
        <w:keepLines w:val="0"/>
        <w:pageBreakBefore w:val="0"/>
        <w:widowControl w:val="0"/>
        <w:kinsoku/>
        <w:wordWrap/>
        <w:topLinePunct w:val="0"/>
        <w:bidi w:val="0"/>
        <w:snapToGrid/>
        <w:spacing w:line="500" w:lineRule="exact"/>
        <w:ind w:firstLine="420" w:firstLineChars="200"/>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根据海陵区收费标准，全天收费时间分为计时收费和按次收费，白天计时：8：30-22：00，15分钟后第一小时收费4元，不足一小时按一小时计，第二小时后每30分钟收费3元，不足30分钟按30分钟计；最高收费上限65元/天。晚上按次：22：00-8：30</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12元/次，共计24小时。</w:t>
      </w:r>
      <w:r>
        <w:rPr>
          <w:rFonts w:hint="eastAsia" w:ascii="宋体" w:hAnsi="宋体" w:eastAsia="宋体" w:cs="宋体"/>
          <w:color w:val="auto"/>
          <w:sz w:val="21"/>
          <w:szCs w:val="21"/>
          <w:lang w:eastAsia="zh-CN"/>
        </w:rPr>
        <w:t>运营期间停车收费标准根据当地物价实施情况进行调整。</w:t>
      </w:r>
    </w:p>
    <w:p>
      <w:pPr>
        <w:pStyle w:val="23"/>
        <w:keepNext w:val="0"/>
        <w:keepLines w:val="0"/>
        <w:pageBreakBefore w:val="0"/>
        <w:widowControl w:val="0"/>
        <w:kinsoku/>
        <w:wordWrap/>
        <w:topLinePunct w:val="0"/>
        <w:bidi w:val="0"/>
        <w:snapToGrid/>
        <w:spacing w:line="50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陵区为旅游城市，综合考虑泊位路段淡旺季等情况，参考“潮州智慧停车平台数据显示，节日期间，牌坊街及周边街巷31个卡口实行智能化管理，市城区共31条道路采用“智慧停车”系统，停车泊位平均周转率达6.6%，平均停车泊位利用率达到56%。”</w:t>
      </w:r>
    </w:p>
    <w:p>
      <w:pPr>
        <w:pStyle w:val="23"/>
        <w:keepNext w:val="0"/>
        <w:keepLines w:val="0"/>
        <w:pageBreakBefore w:val="0"/>
        <w:widowControl w:val="0"/>
        <w:kinsoku/>
        <w:wordWrap/>
        <w:topLinePunct w:val="0"/>
        <w:bidi w:val="0"/>
        <w:snapToGrid/>
        <w:spacing w:line="50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海陵区为旅游城市，有淡旺季现象存在，通过参考上述潮州智慧停车的停车泊位利用率数据，本报告推荐项目初始利用率为50%。</w:t>
      </w:r>
    </w:p>
    <w:p>
      <w:pPr>
        <w:pStyle w:val="23"/>
        <w:keepNext w:val="0"/>
        <w:keepLines w:val="0"/>
        <w:pageBreakBefore w:val="0"/>
        <w:widowControl w:val="0"/>
        <w:kinsoku/>
        <w:wordWrap/>
        <w:topLinePunct w:val="0"/>
        <w:bidi w:val="0"/>
        <w:snapToGrid/>
        <w:spacing w:line="50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预估平均单个泊位周转率为6次，其中免费停车（15分钟内）周转次数为5次，收费周转次数4次，平均单次收费金额为4元。</w:t>
      </w:r>
    </w:p>
    <w:p>
      <w:pPr>
        <w:pStyle w:val="23"/>
        <w:keepNext w:val="0"/>
        <w:keepLines w:val="0"/>
        <w:pageBreakBefore w:val="0"/>
        <w:widowControl w:val="0"/>
        <w:kinsoku/>
        <w:wordWrap/>
        <w:topLinePunct w:val="0"/>
        <w:bidi w:val="0"/>
        <w:snapToGrid/>
        <w:spacing w:line="500" w:lineRule="exact"/>
        <w:ind w:firstLine="420" w:firstLineChars="200"/>
        <w:rPr>
          <w:rFonts w:hint="eastAsia" w:ascii="宋体" w:hAnsi="宋体" w:eastAsia="宋体" w:cs="宋体"/>
          <w:color w:val="auto"/>
          <w:kern w:val="0"/>
          <w:sz w:val="21"/>
          <w:szCs w:val="21"/>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color w:val="auto"/>
          <w:kern w:val="0"/>
          <w:sz w:val="21"/>
          <w:szCs w:val="21"/>
        </w:rPr>
        <w:t>泊位平均每天应收金额=收费周转次数（4次）*平均单次收费金额为（4元）=16元。考虑到路内开放泊位，存在一定的逃费率，参考同等城市广东省潮州湘桥区车位使用比率为50%。</w:t>
      </w:r>
    </w:p>
    <w:p>
      <w:pPr>
        <w:keepNext w:val="0"/>
        <w:keepLines w:val="0"/>
        <w:pageBreakBefore w:val="0"/>
        <w:numPr>
          <w:ilvl w:val="0"/>
          <w:numId w:val="4"/>
        </w:numPr>
        <w:kinsoku/>
        <w:wordWrap/>
        <w:topLinePunct w:val="0"/>
        <w:bidi w:val="0"/>
        <w:snapToGrid/>
        <w:spacing w:line="460" w:lineRule="exact"/>
        <w:outlineLvl w:val="2"/>
        <w:rPr>
          <w:rFonts w:ascii="宋体" w:hAnsi="宋体" w:cs="宋体"/>
          <w:b/>
          <w:bCs/>
          <w:color w:val="auto"/>
          <w:kern w:val="0"/>
        </w:rPr>
      </w:pPr>
      <w:r>
        <w:rPr>
          <w:rFonts w:hint="eastAsia" w:ascii="宋体" w:hAnsi="宋体" w:cs="宋体"/>
          <w:b/>
          <w:bCs/>
          <w:color w:val="auto"/>
          <w:kern w:val="0"/>
        </w:rPr>
        <w:t>停车收益测算</w:t>
      </w:r>
    </w:p>
    <w:p>
      <w:pPr>
        <w:keepNext w:val="0"/>
        <w:keepLines w:val="0"/>
        <w:pageBreakBefore w:val="0"/>
        <w:kinsoku/>
        <w:wordWrap/>
        <w:topLinePunct w:val="0"/>
        <w:bidi w:val="0"/>
        <w:snapToGrid/>
        <w:spacing w:line="460" w:lineRule="exac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r>
        <w:rPr>
          <w:rFonts w:hint="eastAsia" w:eastAsia="宋体"/>
          <w:color w:val="auto"/>
          <w:lang w:eastAsia="zh-CN"/>
        </w:rPr>
        <w:drawing>
          <wp:anchor distT="0" distB="0" distL="114300" distR="114300" simplePos="0" relativeHeight="251659264" behindDoc="0" locked="0" layoutInCell="1" allowOverlap="1">
            <wp:simplePos x="0" y="0"/>
            <wp:positionH relativeFrom="column">
              <wp:posOffset>-122555</wp:posOffset>
            </wp:positionH>
            <wp:positionV relativeFrom="page">
              <wp:posOffset>1612265</wp:posOffset>
            </wp:positionV>
            <wp:extent cx="8984615" cy="4080510"/>
            <wp:effectExtent l="0" t="0" r="6985" b="3810"/>
            <wp:wrapTopAndBottom/>
            <wp:docPr id="2" name="图片 2" descr="1649218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9218136(1)"/>
                    <pic:cNvPicPr>
                      <a:picLocks noChangeAspect="1"/>
                    </pic:cNvPicPr>
                  </pic:nvPicPr>
                  <pic:blipFill>
                    <a:blip r:embed="rId10"/>
                    <a:stretch>
                      <a:fillRect/>
                    </a:stretch>
                  </pic:blipFill>
                  <pic:spPr>
                    <a:xfrm>
                      <a:off x="0" y="0"/>
                      <a:ext cx="8984615" cy="4080510"/>
                    </a:xfrm>
                    <a:prstGeom prst="rect">
                      <a:avLst/>
                    </a:prstGeom>
                  </pic:spPr>
                </pic:pic>
              </a:graphicData>
            </a:graphic>
          </wp:anchor>
        </w:drawing>
      </w:r>
    </w:p>
    <w:p>
      <w:pPr>
        <w:keepNext w:val="0"/>
        <w:keepLines w:val="0"/>
        <w:pageBreakBefore w:val="0"/>
        <w:kinsoku/>
        <w:wordWrap/>
        <w:topLinePunct w:val="0"/>
        <w:bidi w:val="0"/>
        <w:snapToGrid/>
        <w:spacing w:line="460" w:lineRule="exact"/>
        <w:rPr>
          <w:rFonts w:hint="eastAsia"/>
          <w:color w:val="auto"/>
          <w:lang w:eastAsia="zh-CN"/>
        </w:rPr>
      </w:pPr>
      <w:r>
        <w:rPr>
          <w:rFonts w:hint="eastAsia"/>
          <w:color w:val="auto"/>
          <w:lang w:eastAsia="zh-CN"/>
        </w:rPr>
        <w:t>根据测算，建议特许经营期12年，建设期分配比例：按照交投8%与中标公司92%，运营期分配比例：按照交投10%与中标公司90%，回报预测表如下所示：</w:t>
      </w:r>
    </w:p>
    <w:p>
      <w:pPr>
        <w:keepNext w:val="0"/>
        <w:keepLines w:val="0"/>
        <w:pageBreakBefore w:val="0"/>
        <w:widowControl w:val="0"/>
        <w:numPr>
          <w:ilvl w:val="0"/>
          <w:numId w:val="0"/>
        </w:numPr>
        <w:kinsoku/>
        <w:wordWrap/>
        <w:topLinePunct w:val="0"/>
        <w:bidi w:val="0"/>
        <w:snapToGrid/>
        <w:spacing w:line="460" w:lineRule="exact"/>
        <w:jc w:val="both"/>
        <w:outlineLvl w:val="9"/>
        <w:rPr>
          <w:rFonts w:hint="eastAsia" w:ascii="宋体" w:hAnsi="宋体" w:eastAsia="宋体" w:cs="宋体"/>
          <w:b/>
          <w:bCs/>
          <w:color w:val="auto"/>
          <w:kern w:val="0"/>
          <w:sz w:val="21"/>
          <w:szCs w:val="21"/>
        </w:rPr>
      </w:pPr>
      <w:r>
        <w:rPr>
          <w:rFonts w:hint="eastAsia"/>
          <w:color w:val="auto"/>
          <w:lang w:eastAsia="zh-CN"/>
        </w:rPr>
        <w:drawing>
          <wp:anchor distT="0" distB="0" distL="114300" distR="114300" simplePos="0" relativeHeight="251660288" behindDoc="0" locked="0" layoutInCell="1" allowOverlap="1">
            <wp:simplePos x="0" y="0"/>
            <wp:positionH relativeFrom="column">
              <wp:posOffset>425450</wp:posOffset>
            </wp:positionH>
            <wp:positionV relativeFrom="page">
              <wp:posOffset>1598295</wp:posOffset>
            </wp:positionV>
            <wp:extent cx="6767195" cy="3510280"/>
            <wp:effectExtent l="0" t="0" r="14605" b="10160"/>
            <wp:wrapSquare wrapText="bothSides"/>
            <wp:docPr id="3" name="图片 3" descr="1649218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9218353(1)"/>
                    <pic:cNvPicPr>
                      <a:picLocks noChangeAspect="1"/>
                    </pic:cNvPicPr>
                  </pic:nvPicPr>
                  <pic:blipFill>
                    <a:blip r:embed="rId11"/>
                    <a:stretch>
                      <a:fillRect/>
                    </a:stretch>
                  </pic:blipFill>
                  <pic:spPr>
                    <a:xfrm>
                      <a:off x="0" y="0"/>
                      <a:ext cx="6767195" cy="3510280"/>
                    </a:xfrm>
                    <a:prstGeom prst="rect">
                      <a:avLst/>
                    </a:prstGeom>
                  </pic:spPr>
                </pic:pic>
              </a:graphicData>
            </a:graphic>
          </wp:anchor>
        </w:drawing>
      </w:r>
    </w:p>
    <w:p>
      <w:pPr>
        <w:pStyle w:val="2"/>
        <w:keepNext w:val="0"/>
        <w:keepLines w:val="0"/>
        <w:pageBreakBefore w:val="0"/>
        <w:kinsoku/>
        <w:wordWrap/>
        <w:topLinePunct w:val="0"/>
        <w:bidi w:val="0"/>
        <w:snapToGrid/>
        <w:spacing w:line="460" w:lineRule="exact"/>
        <w:rPr>
          <w:rFonts w:hint="eastAsia" w:ascii="宋体" w:hAnsi="宋体" w:eastAsia="宋体" w:cs="宋体"/>
          <w:b/>
          <w:bCs/>
          <w:color w:val="auto"/>
          <w:kern w:val="0"/>
          <w:sz w:val="21"/>
          <w:szCs w:val="21"/>
        </w:rPr>
      </w:pPr>
    </w:p>
    <w:p>
      <w:pPr>
        <w:pStyle w:val="5"/>
        <w:keepNext w:val="0"/>
        <w:keepLines w:val="0"/>
        <w:pageBreakBefore w:val="0"/>
        <w:kinsoku/>
        <w:wordWrap/>
        <w:topLinePunct w:val="0"/>
        <w:bidi w:val="0"/>
        <w:snapToGrid/>
        <w:spacing w:line="460" w:lineRule="exact"/>
        <w:rPr>
          <w:rFonts w:hint="eastAsia" w:ascii="宋体" w:hAnsi="宋体" w:eastAsia="宋体" w:cs="宋体"/>
          <w:b/>
          <w:bCs/>
          <w:color w:val="auto"/>
          <w:kern w:val="0"/>
          <w:sz w:val="21"/>
          <w:szCs w:val="21"/>
        </w:rPr>
      </w:pPr>
    </w:p>
    <w:p>
      <w:pPr>
        <w:pStyle w:val="8"/>
        <w:keepNext w:val="0"/>
        <w:keepLines w:val="0"/>
        <w:pageBreakBefore w:val="0"/>
        <w:kinsoku/>
        <w:wordWrap/>
        <w:topLinePunct w:val="0"/>
        <w:bidi w:val="0"/>
        <w:snapToGrid/>
        <w:spacing w:line="460" w:lineRule="exact"/>
        <w:rPr>
          <w:rFonts w:hint="eastAsia" w:ascii="宋体" w:hAnsi="宋体" w:eastAsia="宋体" w:cs="宋体"/>
          <w:b/>
          <w:bCs/>
          <w:color w:val="auto"/>
          <w:kern w:val="0"/>
          <w:sz w:val="21"/>
          <w:szCs w:val="21"/>
        </w:rPr>
      </w:pPr>
    </w:p>
    <w:p>
      <w:pPr>
        <w:keepNext w:val="0"/>
        <w:keepLines w:val="0"/>
        <w:pageBreakBefore w:val="0"/>
        <w:kinsoku/>
        <w:wordWrap/>
        <w:topLinePunct w:val="0"/>
        <w:bidi w:val="0"/>
        <w:snapToGrid/>
        <w:spacing w:line="460" w:lineRule="exact"/>
        <w:rPr>
          <w:rFonts w:hint="eastAsia" w:ascii="宋体" w:hAnsi="宋体" w:eastAsia="宋体" w:cs="宋体"/>
          <w:b/>
          <w:bCs/>
          <w:color w:val="auto"/>
          <w:kern w:val="0"/>
          <w:sz w:val="21"/>
          <w:szCs w:val="21"/>
        </w:rPr>
      </w:pPr>
    </w:p>
    <w:p>
      <w:pPr>
        <w:pStyle w:val="2"/>
        <w:keepNext w:val="0"/>
        <w:keepLines w:val="0"/>
        <w:pageBreakBefore w:val="0"/>
        <w:kinsoku/>
        <w:wordWrap/>
        <w:topLinePunct w:val="0"/>
        <w:bidi w:val="0"/>
        <w:snapToGrid/>
        <w:spacing w:line="460" w:lineRule="exact"/>
        <w:rPr>
          <w:rFonts w:hint="eastAsia"/>
          <w:color w:val="auto"/>
        </w:rPr>
      </w:pPr>
    </w:p>
    <w:p>
      <w:pPr>
        <w:keepNext w:val="0"/>
        <w:keepLines w:val="0"/>
        <w:pageBreakBefore w:val="0"/>
        <w:kinsoku/>
        <w:wordWrap/>
        <w:topLinePunct w:val="0"/>
        <w:bidi w:val="0"/>
        <w:snapToGrid/>
        <w:spacing w:line="460" w:lineRule="exact"/>
        <w:rPr>
          <w:rFonts w:hint="eastAsia" w:ascii="宋体" w:hAnsi="宋体" w:cs="宋体"/>
          <w:b/>
          <w:bCs/>
          <w:color w:val="auto"/>
          <w:sz w:val="21"/>
          <w:szCs w:val="21"/>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eastAsia" w:eastAsia="宋体"/>
          <w:color w:val="auto"/>
          <w:lang w:eastAsia="zh-CN"/>
        </w:rPr>
        <w:drawing>
          <wp:anchor distT="0" distB="0" distL="114300" distR="114300" simplePos="0" relativeHeight="251661312" behindDoc="0" locked="0" layoutInCell="1" allowOverlap="1">
            <wp:simplePos x="0" y="0"/>
            <wp:positionH relativeFrom="column">
              <wp:posOffset>476250</wp:posOffset>
            </wp:positionH>
            <wp:positionV relativeFrom="page">
              <wp:posOffset>4972050</wp:posOffset>
            </wp:positionV>
            <wp:extent cx="6626225" cy="1575435"/>
            <wp:effectExtent l="0" t="0" r="3175" b="9525"/>
            <wp:wrapTopAndBottom/>
            <wp:docPr id="4" name="图片 4" descr="16492186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49218645(1)"/>
                    <pic:cNvPicPr>
                      <a:picLocks noChangeAspect="1"/>
                    </pic:cNvPicPr>
                  </pic:nvPicPr>
                  <pic:blipFill>
                    <a:blip r:embed="rId12"/>
                    <a:stretch>
                      <a:fillRect/>
                    </a:stretch>
                  </pic:blipFill>
                  <pic:spPr>
                    <a:xfrm>
                      <a:off x="0" y="0"/>
                      <a:ext cx="6626225" cy="1575435"/>
                    </a:xfrm>
                    <a:prstGeom prst="rect">
                      <a:avLst/>
                    </a:prstGeom>
                  </pic:spPr>
                </pic:pic>
              </a:graphicData>
            </a:graphic>
          </wp:anchor>
        </w:drawing>
      </w:r>
      <w:r>
        <w:rPr>
          <w:rFonts w:hint="eastAsia" w:ascii="宋体" w:hAnsi="宋体" w:cs="宋体"/>
          <w:b/>
          <w:bCs/>
          <w:color w:val="auto"/>
          <w:sz w:val="21"/>
          <w:szCs w:val="21"/>
          <w:lang w:val="en-US" w:eastAsia="zh-CN"/>
        </w:rPr>
        <w:br w:type="page"/>
      </w:r>
    </w:p>
    <w:p>
      <w:pPr>
        <w:keepNext w:val="0"/>
        <w:keepLines w:val="0"/>
        <w:pageBreakBefore w:val="0"/>
        <w:numPr>
          <w:ilvl w:val="0"/>
          <w:numId w:val="4"/>
        </w:numPr>
        <w:kinsoku/>
        <w:wordWrap/>
        <w:topLinePunct w:val="0"/>
        <w:bidi w:val="0"/>
        <w:snapToGrid/>
        <w:spacing w:line="460" w:lineRule="exact"/>
        <w:outlineLvl w:val="2"/>
        <w:rPr>
          <w:rFonts w:ascii="宋体" w:hAnsi="宋体" w:cs="宋体"/>
          <w:b/>
          <w:bCs/>
          <w:color w:val="auto"/>
          <w:kern w:val="0"/>
        </w:rPr>
      </w:pPr>
      <w:r>
        <w:rPr>
          <w:rFonts w:hint="eastAsia" w:ascii="宋体" w:hAnsi="宋体" w:cs="宋体"/>
          <w:b/>
          <w:bCs/>
          <w:color w:val="auto"/>
          <w:kern w:val="0"/>
          <w:lang w:val="en-US" w:eastAsia="zh-CN"/>
        </w:rPr>
        <w:t>可行性分析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2" w:firstLineChars="200"/>
        <w:jc w:val="left"/>
        <w:textAlignment w:val="auto"/>
        <w:rPr>
          <w:rFonts w:hint="eastAsia" w:ascii="宋体" w:hAnsi="宋体" w:eastAsia="宋体" w:cs="宋体"/>
          <w:color w:val="auto"/>
          <w:sz w:val="21"/>
          <w:szCs w:val="21"/>
        </w:rPr>
      </w:pPr>
      <w:r>
        <w:rPr>
          <w:rFonts w:hint="eastAsia" w:ascii="宋体" w:hAnsi="宋体" w:cs="宋体"/>
          <w:b/>
          <w:bCs/>
          <w:color w:val="auto"/>
          <w:kern w:val="0"/>
          <w:sz w:val="21"/>
          <w:szCs w:val="21"/>
          <w:lang w:val="en-US" w:eastAsia="zh-CN" w:bidi="ar"/>
        </w:rPr>
        <w:t>（一）</w:t>
      </w:r>
      <w:r>
        <w:rPr>
          <w:rFonts w:hint="eastAsia" w:ascii="宋体" w:hAnsi="宋体" w:eastAsia="宋体" w:cs="宋体"/>
          <w:b/>
          <w:bCs/>
          <w:color w:val="auto"/>
          <w:kern w:val="0"/>
          <w:sz w:val="21"/>
          <w:szCs w:val="21"/>
          <w:lang w:val="en-US" w:eastAsia="zh-CN" w:bidi="ar"/>
        </w:rPr>
        <w:t xml:space="preserve">特许经营模式的确定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val="en-US" w:eastAsia="zh-CN" w:bidi="ar"/>
        </w:rPr>
        <w:t xml:space="preserve">政策支持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近年，财政部、国家发改委、住建部等中央部委发布一系列政策和指导意见，大力支持引入社会资本参与传统基础设施建设。《基础设施和公用事业特许经营管理办法》（第 25 号令）、，《广东省发展改革委广东省 住房和城乡建设厅 广东省交通运输厅关于进一步完善机动车停放服务 收费政策的实施意见》，（粤发改规〔2017〕5号）等一系列文件，打造规范化制度管理体系，旨在加快推进传统基础设施建设。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 xml:space="preserve">实现资金的最佳价值，有效降低全周期成本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本项目全生命周期成本主要包括经营成本、建设投资、财务费用、所得税等。特许经营模式可以通过竞争性选择来增加垄断领域的竞争，可以通过招标采购到性价比最高的服务，可以将部分风险转移给能够更好控制风险的特许经营者，可以利用特许经营者的专业知识和创新能力提供质量更高、更有效率的服务，可以促使相关部门与私人部门对各自的风险和成本进行全面长期的考虑。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该模式下，往往由同一个组织完成设计建设和运营，这样有利于更清晰的划分责任，也能更有效的激励私人部门降低建设运营的成本。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3、</w:t>
      </w:r>
      <w:r>
        <w:rPr>
          <w:rFonts w:hint="eastAsia" w:ascii="宋体" w:hAnsi="宋体" w:eastAsia="宋体" w:cs="宋体"/>
          <w:color w:val="auto"/>
          <w:kern w:val="0"/>
          <w:sz w:val="21"/>
          <w:szCs w:val="21"/>
          <w:lang w:val="en-US" w:eastAsia="zh-CN" w:bidi="ar"/>
        </w:rPr>
        <w:t xml:space="preserve">弥补公共资金的不足，解决行业资金缺口，缓解政府财政压力该模式为公共服务的融资提供了新的选择，通过私人部门的投资和融资，可以缓解公共部门的财政压力，尽快满足公众对公共服务的需求。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4、</w:t>
      </w:r>
      <w:r>
        <w:rPr>
          <w:rFonts w:hint="eastAsia" w:ascii="宋体" w:hAnsi="宋体" w:eastAsia="宋体" w:cs="宋体"/>
          <w:color w:val="auto"/>
          <w:kern w:val="0"/>
          <w:sz w:val="21"/>
          <w:szCs w:val="21"/>
          <w:lang w:val="en-US" w:eastAsia="zh-CN" w:bidi="ar"/>
        </w:rPr>
        <w:t xml:space="preserve">提升公共服务的水平，运营和管理水平，提升运营效率在该模式框架下，为了保持持续提供公共服务的资格，实现投资收益最大化，私人部门有满足用户需要，提升服务水平的内在动力。同时私人部门具有的商业头脑和管理经验及专业技术人员为提升服务水平提供了客观支持。项目采用特许经营模式，可以整合社会资本方的技术经验、创新管理机制、投融资能力等，通过绩效捆绑，激励社会资本方提高项目建设实施效率、改进管理方案和提高绩效水平，从而降低项目建设运营维护成本，提高公共服务质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 xml:space="preserve">运营较为灵活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采用特许经营模式，引入专业机构负责项目的投资、建设、运营和维护。政府方将协调包括交通部门、财政部门、市场监管部门等各部门协同运作，大大提高了项目的决策效率、决策水平和建设效率，运营灵活性高。基于以上分析，参照《基础设施和公用事业特许经营管理办法》（第 25 号令），中华人民共和国境内的能源、交通运输、水利、环境保护、市政工程等基础设施和公用事业领域的特许经营活动，适用采用特许经营模式。因此，本项目拟采用特许经营模式。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2" w:firstLineChars="200"/>
        <w:jc w:val="left"/>
        <w:textAlignment w:val="auto"/>
        <w:rPr>
          <w:rFonts w:hint="eastAsia" w:ascii="宋体" w:hAnsi="宋体" w:eastAsia="宋体" w:cs="宋体"/>
          <w:color w:val="auto"/>
          <w:sz w:val="21"/>
          <w:szCs w:val="21"/>
        </w:rPr>
      </w:pPr>
      <w:r>
        <w:rPr>
          <w:rFonts w:hint="eastAsia" w:ascii="宋体" w:hAnsi="宋体" w:cs="宋体"/>
          <w:b/>
          <w:bCs/>
          <w:color w:val="auto"/>
          <w:kern w:val="0"/>
          <w:sz w:val="21"/>
          <w:szCs w:val="21"/>
          <w:lang w:val="en-US" w:eastAsia="zh-CN" w:bidi="ar"/>
        </w:rPr>
        <w:t>（二）</w:t>
      </w:r>
      <w:r>
        <w:rPr>
          <w:rFonts w:hint="eastAsia" w:ascii="宋体" w:hAnsi="宋体" w:eastAsia="宋体" w:cs="宋体"/>
          <w:b/>
          <w:bCs/>
          <w:color w:val="auto"/>
          <w:kern w:val="0"/>
          <w:sz w:val="21"/>
          <w:szCs w:val="21"/>
          <w:lang w:val="en-US" w:eastAsia="zh-CN" w:bidi="ar"/>
        </w:rPr>
        <w:t xml:space="preserve"> 特许经营者的选取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本项目根据《中华人民共和国招标投标法》、《中华人民共和国招标投标法实施条例》等相关法律法规，选取特许经营者。采购方式包括公开招标、邀请招标、竞争性谈判、竞争性磋商和单一来源采购。根据项目采购需求特点，考虑到本项目投资额较大，合同的核心边界条件和技术经济参数明确、完整，项目竞争性强，建议采用公开招标方式选取特许经营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2" w:firstLineChars="200"/>
        <w:jc w:val="left"/>
        <w:textAlignment w:val="auto"/>
        <w:rPr>
          <w:rFonts w:hint="eastAsia" w:ascii="宋体" w:hAnsi="宋体" w:eastAsia="宋体" w:cs="宋体"/>
          <w:color w:val="auto"/>
          <w:sz w:val="21"/>
          <w:szCs w:val="21"/>
        </w:rPr>
      </w:pPr>
      <w:r>
        <w:rPr>
          <w:rFonts w:hint="eastAsia" w:ascii="宋体" w:hAnsi="宋体" w:cs="宋体"/>
          <w:b/>
          <w:bCs/>
          <w:color w:val="auto"/>
          <w:kern w:val="0"/>
          <w:sz w:val="21"/>
          <w:szCs w:val="21"/>
          <w:lang w:val="en-US" w:eastAsia="zh-CN" w:bidi="ar"/>
        </w:rPr>
        <w:t>（三）</w:t>
      </w:r>
      <w:r>
        <w:rPr>
          <w:rFonts w:hint="eastAsia" w:ascii="宋体" w:hAnsi="宋体" w:eastAsia="宋体" w:cs="宋体"/>
          <w:b/>
          <w:bCs/>
          <w:color w:val="auto"/>
          <w:kern w:val="0"/>
          <w:sz w:val="21"/>
          <w:szCs w:val="21"/>
          <w:lang w:val="en-US" w:eastAsia="zh-CN" w:bidi="ar"/>
        </w:rPr>
        <w:t xml:space="preserve">特许经营项目的运作方式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《基础设施和公用事业特许经营管理办法》（第25号令）指出，基础设施和公用事业特许经营可以采用以下方式：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（一）</w:t>
      </w:r>
      <w:r>
        <w:rPr>
          <w:rFonts w:hint="eastAsia" w:ascii="宋体" w:hAnsi="宋体" w:eastAsia="宋体" w:cs="宋体"/>
          <w:color w:val="auto"/>
          <w:kern w:val="0"/>
          <w:sz w:val="21"/>
          <w:szCs w:val="21"/>
          <w:lang w:val="en-US" w:eastAsia="zh-CN" w:bidi="ar"/>
        </w:rPr>
        <w:t xml:space="preserve">在一定期限内，政府授予特许经营者投资新建或改扩建、运营基础设施和公用事业，期限届满移交政府。（BOT）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（二）</w:t>
      </w:r>
      <w:r>
        <w:rPr>
          <w:rFonts w:hint="eastAsia" w:ascii="宋体" w:hAnsi="宋体" w:eastAsia="宋体" w:cs="宋体"/>
          <w:color w:val="auto"/>
          <w:kern w:val="0"/>
          <w:sz w:val="21"/>
          <w:szCs w:val="21"/>
          <w:lang w:val="en-US" w:eastAsia="zh-CN" w:bidi="ar"/>
        </w:rPr>
        <w:t xml:space="preserve">在一定期限内，政府授予特许经营者投资新建或改扩建、拥有并运营基础设施和公用事业，期限届满移交政府。（BOT）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（三）</w:t>
      </w:r>
      <w:r>
        <w:rPr>
          <w:rFonts w:hint="eastAsia" w:ascii="宋体" w:hAnsi="宋体" w:eastAsia="宋体" w:cs="宋体"/>
          <w:color w:val="auto"/>
          <w:kern w:val="0"/>
          <w:sz w:val="21"/>
          <w:szCs w:val="21"/>
          <w:lang w:val="en-US" w:eastAsia="zh-CN" w:bidi="ar"/>
        </w:rPr>
        <w:t xml:space="preserve">特许经营者投资新建或改扩建基础设施和公用事业并移交政府后，由政府授予其在一定期限内运营。（BTO）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（四）</w:t>
      </w:r>
      <w:r>
        <w:rPr>
          <w:rFonts w:hint="eastAsia" w:ascii="宋体" w:hAnsi="宋体" w:eastAsia="宋体" w:cs="宋体"/>
          <w:color w:val="auto"/>
          <w:kern w:val="0"/>
          <w:sz w:val="21"/>
          <w:szCs w:val="21"/>
          <w:lang w:val="en-US" w:eastAsia="zh-CN" w:bidi="ar"/>
        </w:rPr>
        <w:t xml:space="preserve">国家规定的其他形式。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本项目为公共停车场项目，依据项目自身运营特点，拟采用BOT的运作方式。该方式可在企业的积极参与下，使一些政府目前无力投资建设的基础设施项目，能够顺利实施，满足社会公众的需求。特许经营协议签订后，由特许经营者负责项目实施。项目实施完成，向招标人或其授权实施机构申请竣工验收。通过验收后，协议存续期间，特许经营者负责运营维护，确保达到相应使用功能及标准。运营期间，特许经营者负责运行质量，享有公共设施的经营权。期满后，特许经营者按照协议约定，就项目内容进行修缮，申请移交验收，通过验收后，无偿移交项目所有设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2" w:firstLineChars="200"/>
        <w:jc w:val="left"/>
        <w:textAlignment w:val="auto"/>
        <w:rPr>
          <w:rFonts w:hint="eastAsia" w:ascii="宋体" w:hAnsi="宋体" w:eastAsia="宋体" w:cs="宋体"/>
          <w:color w:val="auto"/>
          <w:sz w:val="21"/>
          <w:szCs w:val="21"/>
        </w:rPr>
      </w:pPr>
      <w:r>
        <w:rPr>
          <w:rFonts w:hint="eastAsia" w:ascii="宋体" w:hAnsi="宋体" w:cs="宋体"/>
          <w:b/>
          <w:bCs/>
          <w:color w:val="auto"/>
          <w:kern w:val="0"/>
          <w:sz w:val="21"/>
          <w:szCs w:val="21"/>
          <w:lang w:val="en-US" w:eastAsia="zh-CN" w:bidi="ar"/>
        </w:rPr>
        <w:t>（四）</w:t>
      </w:r>
      <w:r>
        <w:rPr>
          <w:rFonts w:hint="eastAsia" w:ascii="宋体" w:hAnsi="宋体" w:eastAsia="宋体" w:cs="宋体"/>
          <w:b/>
          <w:bCs/>
          <w:color w:val="auto"/>
          <w:kern w:val="0"/>
          <w:sz w:val="21"/>
          <w:szCs w:val="21"/>
          <w:lang w:val="en-US" w:eastAsia="zh-CN" w:bidi="ar"/>
        </w:rPr>
        <w:t xml:space="preserve">特许经营项目的监管要求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在本项目合作周期内，政府方将加强监管，综合运用行政监管、履约管理和公众监督等方式，保障项目运营效率得以提升。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val="en-US" w:eastAsia="zh-CN" w:bidi="ar"/>
        </w:rPr>
        <w:t xml:space="preserve">合同履约监管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履约管理最主要的方式就是合同控制，因此为保证项目公司严格按照经营权的范围履约，项目实施机构应根据合同约定对项目公司的融资、建设、运营、维护和移交等进行监督管控，督促项目公司落实相关承诺。通过特许经营协议设置相应的履约条款，由项目公司向实施机构出具可接受格式的履约保函，以保证项目公司履行本合同项下建设、运营维护项目设施等义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 xml:space="preserve">行政监管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行政监管主要分为两个阶段，一是项目采购过程的监管；二是项目建设、运营、移交的绩效监管（包括安全、质量、造价、服务水平和资金等方面的监管）。项目采购实施阶段严格按照相关规定；项目建设期间，按照工程建设程序，阳江市海陵岛经济开发试验区城市管理和综合执法局及相关行政主管部门应加强履职，对项目公司的工程招投标、设备采购、工程建设的安全、质量、进度、投资进行监督管控；项目运营阶段对项目进行中期评估，重点分析项目运行的合规性、适应性、合理性，科学评估风险，制定应对措施；项目移交阶段由政府组织相关部门成立项目移交机构，对项目进行整体移交，妥善办理移交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3、</w:t>
      </w:r>
      <w:r>
        <w:rPr>
          <w:rFonts w:hint="eastAsia" w:ascii="宋体" w:hAnsi="宋体" w:eastAsia="宋体" w:cs="宋体"/>
          <w:color w:val="auto"/>
          <w:kern w:val="0"/>
          <w:sz w:val="21"/>
          <w:szCs w:val="21"/>
          <w:lang w:val="en-US" w:eastAsia="zh-CN" w:bidi="ar"/>
        </w:rPr>
        <w:t>公众监督建立舆论监督和委托第三方监督工作机制，建立健全社会监督网络和舆论监督反馈，形成有效的、完善的社会监督。本着尊重社会公众的知情权，鼓励公众参与监督的原则，有权及时将产品和服务质量检查、监测、评估结果和整改情况以适当的方式向社会公布；并受理公众对项目公司的投诉，进行核实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2" w:firstLineChars="200"/>
        <w:jc w:val="left"/>
        <w:textAlignment w:val="auto"/>
        <w:rPr>
          <w:rFonts w:hint="eastAsia" w:ascii="宋体" w:hAnsi="宋体" w:eastAsia="宋体" w:cs="宋体"/>
          <w:color w:val="auto"/>
          <w:sz w:val="21"/>
          <w:szCs w:val="21"/>
        </w:rPr>
      </w:pPr>
      <w:r>
        <w:rPr>
          <w:rFonts w:hint="eastAsia" w:ascii="宋体" w:hAnsi="宋体" w:cs="宋体"/>
          <w:b/>
          <w:bCs/>
          <w:color w:val="auto"/>
          <w:kern w:val="0"/>
          <w:sz w:val="21"/>
          <w:szCs w:val="21"/>
          <w:lang w:val="en-US" w:eastAsia="zh-CN" w:bidi="ar"/>
        </w:rPr>
        <w:t>（五）</w:t>
      </w:r>
      <w:r>
        <w:rPr>
          <w:rFonts w:hint="eastAsia" w:ascii="宋体" w:hAnsi="宋体" w:eastAsia="宋体" w:cs="宋体"/>
          <w:b/>
          <w:bCs/>
          <w:color w:val="auto"/>
          <w:kern w:val="0"/>
          <w:sz w:val="21"/>
          <w:szCs w:val="21"/>
          <w:lang w:val="en-US" w:eastAsia="zh-CN" w:bidi="ar"/>
        </w:rPr>
        <w:t xml:space="preserve">运营期满后移交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项目移交机构与项目公司联合聘请具有资质的专业机构对项目设施进行检测，检测结果达不到移交标准时，项目公司需对项目进行一次恢复性的全面大修，以确保项目设施在移交时能够良好的运转。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移交范围：本项目全部设施、设备；与本项目建设有关的立项、勘察、设计、施工、工程监理及工程竣工验收等城建档案资料；与本项目运营和维护有关的手册、制度、财务账目和凭证等文件资料；本项目建设、运营、维护期间所产生的记录、档案资料等；项目公司在运营期间为设施运营而购置和取得的资产等；法律规定及双方约定的其它内容。项目实施机构不承担项目公司在项目合作期内的任何债务或者负债（包括任何形式的抵押、质押、保证等担保）。在质保期内发现项目公司造成设施设备有缺陷导致项目设施不能达到使用要求时，项目公司须整改和维修，其费用由项目公司承担。如办理移交手续产生需要交纳的税、费，由项目实施机构承担。在项目实施机构完成移交接管前，项目公司应当按照合同约定维持正常的运营维护业务，保证项目处于正常使用状态，直至移交完毕。最终移交有关事宜以特许经营协议为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422" w:firstLineChars="200"/>
        <w:jc w:val="left"/>
        <w:textAlignment w:val="auto"/>
        <w:rPr>
          <w:rFonts w:hint="eastAsia" w:ascii="宋体" w:hAnsi="宋体" w:eastAsia="宋体" w:cs="宋体"/>
          <w:color w:val="auto"/>
          <w:sz w:val="21"/>
          <w:szCs w:val="21"/>
        </w:rPr>
      </w:pPr>
      <w:r>
        <w:rPr>
          <w:rFonts w:hint="eastAsia" w:ascii="宋体" w:hAnsi="宋体" w:cs="宋体"/>
          <w:b/>
          <w:bCs/>
          <w:color w:val="auto"/>
          <w:kern w:val="0"/>
          <w:sz w:val="21"/>
          <w:szCs w:val="21"/>
          <w:lang w:val="en-US" w:eastAsia="zh-CN" w:bidi="ar"/>
        </w:rPr>
        <w:t>（六）</w:t>
      </w:r>
      <w:r>
        <w:rPr>
          <w:rFonts w:hint="eastAsia" w:ascii="宋体" w:hAnsi="宋体" w:eastAsia="宋体" w:cs="宋体"/>
          <w:b/>
          <w:bCs/>
          <w:color w:val="auto"/>
          <w:kern w:val="0"/>
          <w:sz w:val="21"/>
          <w:szCs w:val="21"/>
          <w:lang w:val="en-US" w:eastAsia="zh-CN" w:bidi="ar"/>
        </w:rPr>
        <w:t xml:space="preserve">结论 </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经论证，本项目属于国家规定的特许经营范围内，且在特许经营模式下比传统模式具有有效降低全生命周期成本、提高运营效率、提高风险管理水平等优势，因此，本项目适宜采用特许经营模式。 </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eastAsia="宋体" w:cs="宋体"/>
          <w:b/>
          <w:bCs/>
          <w:color w:val="auto"/>
          <w:kern w:val="0"/>
          <w:sz w:val="21"/>
          <w:szCs w:val="21"/>
        </w:rPr>
      </w:pPr>
      <w:r>
        <w:rPr>
          <w:rFonts w:hint="eastAsia" w:ascii="宋体" w:hAnsi="宋体" w:cs="宋体"/>
          <w:b/>
          <w:bCs/>
          <w:color w:val="auto"/>
          <w:sz w:val="21"/>
          <w:szCs w:val="21"/>
          <w:lang w:val="en-US" w:eastAsia="zh-CN"/>
        </w:rPr>
        <w:t>缴纳特许经营权费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kern w:val="0"/>
          <w:sz w:val="21"/>
          <w:szCs w:val="21"/>
        </w:rPr>
      </w:pPr>
      <w:r>
        <w:rPr>
          <w:rFonts w:hint="eastAsia" w:hAnsi="宋体" w:cs="宋体"/>
          <w:color w:val="auto"/>
          <w:kern w:val="0"/>
          <w:sz w:val="21"/>
          <w:szCs w:val="21"/>
          <w:lang w:eastAsia="zh-CN"/>
        </w:rPr>
        <w:t>（</w:t>
      </w:r>
      <w:r>
        <w:rPr>
          <w:rFonts w:hint="eastAsia" w:hAnsi="宋体" w:cs="宋体"/>
          <w:color w:val="auto"/>
          <w:kern w:val="0"/>
          <w:sz w:val="21"/>
          <w:szCs w:val="21"/>
          <w:lang w:val="en-US" w:eastAsia="zh-CN"/>
        </w:rPr>
        <w:t>一</w:t>
      </w:r>
      <w:r>
        <w:rPr>
          <w:rFonts w:hint="eastAsia" w:hAnsi="宋体" w:cs="宋体"/>
          <w:color w:val="auto"/>
          <w:kern w:val="0"/>
          <w:sz w:val="21"/>
          <w:szCs w:val="21"/>
          <w:lang w:eastAsia="zh-CN"/>
        </w:rPr>
        <w:t>）</w:t>
      </w:r>
      <w:r>
        <w:rPr>
          <w:rFonts w:hint="eastAsia" w:ascii="宋体" w:hAnsi="宋体" w:eastAsia="宋体" w:cs="宋体"/>
          <w:color w:val="auto"/>
          <w:kern w:val="0"/>
          <w:sz w:val="21"/>
          <w:szCs w:val="21"/>
        </w:rPr>
        <w:t>中标</w:t>
      </w:r>
      <w:r>
        <w:rPr>
          <w:rFonts w:hint="eastAsia" w:ascii="宋体" w:hAnsi="宋体" w:eastAsia="宋体" w:cs="宋体"/>
          <w:color w:val="auto"/>
          <w:kern w:val="0"/>
          <w:sz w:val="21"/>
          <w:szCs w:val="21"/>
          <w:lang w:val="en-US" w:eastAsia="zh-CN"/>
        </w:rPr>
        <w:t>单位</w:t>
      </w:r>
      <w:r>
        <w:rPr>
          <w:rFonts w:hint="eastAsia" w:ascii="宋体" w:hAnsi="宋体" w:eastAsia="宋体" w:cs="宋体"/>
          <w:color w:val="auto"/>
          <w:kern w:val="0"/>
          <w:sz w:val="21"/>
          <w:szCs w:val="21"/>
        </w:rPr>
        <w:t>须缴纳</w:t>
      </w:r>
      <w:r>
        <w:rPr>
          <w:rFonts w:hint="eastAsia" w:ascii="宋体" w:hAnsi="宋体" w:cs="宋体"/>
          <w:color w:val="auto"/>
          <w:sz w:val="21"/>
          <w:szCs w:val="21"/>
          <w:lang w:val="en-US" w:eastAsia="zh-CN"/>
        </w:rPr>
        <w:t>特许经营权费</w:t>
      </w:r>
      <w:r>
        <w:rPr>
          <w:rFonts w:hint="eastAsia" w:ascii="宋体" w:hAnsi="宋体" w:eastAsia="宋体" w:cs="宋体"/>
          <w:color w:val="auto"/>
          <w:kern w:val="0"/>
          <w:sz w:val="21"/>
          <w:szCs w:val="21"/>
        </w:rPr>
        <w:t>，缴纳标准按照每月营业收入为基数计取</w:t>
      </w:r>
      <w:r>
        <w:rPr>
          <w:rFonts w:hint="eastAsia" w:hAnsi="宋体" w:cs="宋体"/>
          <w:color w:val="auto"/>
          <w:kern w:val="0"/>
          <w:sz w:val="21"/>
          <w:szCs w:val="21"/>
          <w:lang w:eastAsia="zh-CN"/>
        </w:rPr>
        <w:t>（</w:t>
      </w:r>
      <w:r>
        <w:rPr>
          <w:rFonts w:hint="eastAsia" w:hAnsi="宋体" w:cs="宋体"/>
          <w:color w:val="auto"/>
          <w:kern w:val="0"/>
          <w:sz w:val="21"/>
          <w:szCs w:val="21"/>
          <w:lang w:val="en-US" w:eastAsia="zh-CN"/>
        </w:rPr>
        <w:t>其中建设期按</w:t>
      </w:r>
      <w:r>
        <w:rPr>
          <w:rFonts w:hint="eastAsia" w:ascii="宋体" w:hAnsi="宋体" w:eastAsia="宋体" w:cs="宋体"/>
          <w:color w:val="auto"/>
          <w:kern w:val="0"/>
          <w:sz w:val="21"/>
          <w:szCs w:val="21"/>
        </w:rPr>
        <w:t>营业收入</w:t>
      </w:r>
      <w:r>
        <w:rPr>
          <w:rFonts w:hint="eastAsia" w:hAnsi="宋体" w:cs="宋体"/>
          <w:color w:val="auto"/>
          <w:kern w:val="0"/>
          <w:sz w:val="21"/>
          <w:szCs w:val="21"/>
          <w:lang w:val="en-US" w:eastAsia="zh-CN"/>
        </w:rPr>
        <w:t>8%计取，营运期按</w:t>
      </w:r>
      <w:r>
        <w:rPr>
          <w:rFonts w:hint="eastAsia" w:ascii="宋体" w:hAnsi="宋体" w:eastAsia="宋体" w:cs="宋体"/>
          <w:color w:val="auto"/>
          <w:kern w:val="0"/>
          <w:sz w:val="21"/>
          <w:szCs w:val="21"/>
        </w:rPr>
        <w:t>营业收入</w:t>
      </w:r>
      <w:r>
        <w:rPr>
          <w:rFonts w:hint="eastAsia" w:hAnsi="宋体" w:cs="宋体"/>
          <w:color w:val="auto"/>
          <w:kern w:val="0"/>
          <w:sz w:val="21"/>
          <w:szCs w:val="21"/>
          <w:lang w:val="en-US" w:eastAsia="zh-CN"/>
        </w:rPr>
        <w:t>12%计取</w:t>
      </w:r>
      <w:r>
        <w:rPr>
          <w:rFonts w:hint="eastAsia" w:hAnsi="宋体" w:cs="宋体"/>
          <w:color w:val="auto"/>
          <w:kern w:val="0"/>
          <w:sz w:val="21"/>
          <w:szCs w:val="21"/>
          <w:lang w:eastAsia="zh-CN"/>
        </w:rPr>
        <w:t>）</w:t>
      </w:r>
      <w:r>
        <w:rPr>
          <w:rFonts w:hint="eastAsia" w:ascii="宋体" w:hAnsi="宋体" w:eastAsia="宋体" w:cs="宋体"/>
          <w:color w:val="auto"/>
          <w:kern w:val="0"/>
          <w:sz w:val="21"/>
          <w:szCs w:val="21"/>
        </w:rPr>
        <w:t>，缴纳至海陵试验区财政局专用账户。</w:t>
      </w:r>
    </w:p>
    <w:p>
      <w:pPr>
        <w:pStyle w:val="15"/>
        <w:keepNext w:val="0"/>
        <w:keepLines w:val="0"/>
        <w:pageBreakBefore w:val="0"/>
        <w:widowControl w:val="0"/>
        <w:kinsoku/>
        <w:wordWrap/>
        <w:overflowPunct/>
        <w:topLinePunct w:val="0"/>
        <w:autoSpaceDE/>
        <w:autoSpaceDN/>
        <w:bidi w:val="0"/>
        <w:adjustRightInd/>
        <w:snapToGrid/>
        <w:spacing w:line="460" w:lineRule="exact"/>
        <w:ind w:firstLine="424" w:firstLineChars="202"/>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支付时间：次月10日前，缴清上月</w:t>
      </w:r>
      <w:r>
        <w:rPr>
          <w:rFonts w:hint="eastAsia" w:ascii="宋体" w:hAnsi="宋体" w:cs="宋体"/>
          <w:color w:val="auto"/>
          <w:sz w:val="21"/>
          <w:szCs w:val="21"/>
          <w:lang w:val="en-US" w:eastAsia="zh-CN"/>
        </w:rPr>
        <w:t>特许经营权费</w:t>
      </w:r>
      <w:r>
        <w:rPr>
          <w:rFonts w:hint="eastAsia" w:ascii="宋体" w:hAnsi="宋体" w:eastAsia="宋体" w:cs="宋体"/>
          <w:color w:val="auto"/>
          <w:kern w:val="0"/>
          <w:sz w:val="21"/>
          <w:szCs w:val="21"/>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color w:val="auto"/>
          <w:lang w:val="en-US" w:eastAsia="zh-CN"/>
        </w:rPr>
      </w:pP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二</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大角湾地下停车场</w:t>
      </w:r>
      <w:r>
        <w:rPr>
          <w:rFonts w:hint="eastAsia" w:asciiTheme="minorEastAsia" w:hAnsiTheme="minorEastAsia" w:eastAsiaTheme="minorEastAsia" w:cstheme="minorEastAsia"/>
          <w:color w:val="auto"/>
          <w:kern w:val="0"/>
          <w:sz w:val="21"/>
          <w:szCs w:val="21"/>
          <w:lang w:val="en-US" w:eastAsia="zh-CN"/>
        </w:rPr>
        <w:t>总车位数量为268个，经营权费用前六年定价为110万元/年，后六年</w:t>
      </w:r>
      <w:r>
        <w:rPr>
          <w:rFonts w:hint="eastAsia" w:ascii="宋体" w:hAnsi="宋体" w:eastAsia="宋体" w:cs="宋体"/>
          <w:color w:val="auto"/>
          <w:kern w:val="0"/>
          <w:sz w:val="21"/>
          <w:szCs w:val="21"/>
          <w:lang w:val="en-US" w:eastAsia="zh-CN"/>
        </w:rPr>
        <w:t>定价</w:t>
      </w:r>
      <w:r>
        <w:rPr>
          <w:rFonts w:hint="eastAsia" w:asciiTheme="minorEastAsia" w:hAnsiTheme="minorEastAsia" w:eastAsiaTheme="minorEastAsia" w:cstheme="minorEastAsia"/>
          <w:color w:val="auto"/>
          <w:kern w:val="0"/>
          <w:sz w:val="21"/>
          <w:szCs w:val="21"/>
          <w:lang w:val="en-US" w:eastAsia="zh-CN"/>
        </w:rPr>
        <w:t>为120万元/年，由中标单位自主经营，自负盈亏，不需缴纳</w:t>
      </w:r>
      <w:r>
        <w:rPr>
          <w:rFonts w:hint="eastAsia" w:asciiTheme="minorEastAsia" w:hAnsiTheme="minorEastAsia" w:eastAsiaTheme="minorEastAsia" w:cstheme="minorEastAsia"/>
          <w:color w:val="auto"/>
          <w:sz w:val="21"/>
          <w:szCs w:val="21"/>
          <w:lang w:val="en-US" w:eastAsia="zh-CN"/>
        </w:rPr>
        <w:t>特许经营权费。</w:t>
      </w:r>
      <w:r>
        <w:rPr>
          <w:rFonts w:hint="eastAsia" w:asciiTheme="minorEastAsia" w:hAnsiTheme="minorEastAsia" w:eastAsiaTheme="minorEastAsia" w:cstheme="minorEastAsia"/>
          <w:color w:val="auto"/>
          <w:kern w:val="0"/>
          <w:sz w:val="21"/>
          <w:szCs w:val="21"/>
        </w:rPr>
        <w:t>大角湾地下停车场</w:t>
      </w:r>
      <w:r>
        <w:rPr>
          <w:rFonts w:hint="eastAsia" w:asciiTheme="minorEastAsia" w:hAnsiTheme="minorEastAsia" w:eastAsiaTheme="minorEastAsia" w:cstheme="minorEastAsia"/>
          <w:color w:val="auto"/>
          <w:kern w:val="0"/>
          <w:sz w:val="21"/>
          <w:szCs w:val="21"/>
          <w:lang w:val="en-US" w:eastAsia="zh-CN"/>
        </w:rPr>
        <w:t>近年来营业收入如下：</w:t>
      </w:r>
    </w:p>
    <w:tbl>
      <w:tblPr>
        <w:tblStyle w:val="20"/>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1209"/>
        <w:gridCol w:w="1237"/>
        <w:gridCol w:w="1194"/>
        <w:gridCol w:w="1237"/>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color w:val="auto"/>
                <w:kern w:val="0"/>
                <w:sz w:val="21"/>
                <w:szCs w:val="21"/>
                <w:vertAlign w:val="baseline"/>
                <w:lang w:val="en-US" w:eastAsia="zh-CN"/>
              </w:rPr>
            </w:pPr>
            <w:r>
              <w:rPr>
                <w:rFonts w:hint="eastAsia" w:asciiTheme="minorEastAsia" w:hAnsiTheme="minorEastAsia" w:eastAsiaTheme="minorEastAsia" w:cstheme="minorEastAsia"/>
                <w:b/>
                <w:bCs/>
                <w:color w:val="auto"/>
                <w:kern w:val="0"/>
                <w:sz w:val="21"/>
                <w:szCs w:val="21"/>
                <w:vertAlign w:val="baseline"/>
                <w:lang w:val="en-US" w:eastAsia="zh-CN"/>
              </w:rPr>
              <w:t>年 度</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color w:val="auto"/>
                <w:kern w:val="0"/>
                <w:sz w:val="21"/>
                <w:szCs w:val="21"/>
                <w:vertAlign w:val="baseline"/>
                <w:lang w:val="en-US" w:eastAsia="zh-CN"/>
              </w:rPr>
            </w:pPr>
            <w:r>
              <w:rPr>
                <w:rFonts w:hint="eastAsia" w:asciiTheme="minorEastAsia" w:hAnsiTheme="minorEastAsia" w:eastAsiaTheme="minorEastAsia" w:cstheme="minorEastAsia"/>
                <w:b/>
                <w:bCs/>
                <w:color w:val="auto"/>
                <w:kern w:val="0"/>
                <w:sz w:val="21"/>
                <w:szCs w:val="21"/>
                <w:vertAlign w:val="baseline"/>
                <w:lang w:val="en-US" w:eastAsia="zh-CN"/>
              </w:rPr>
              <w:t>2018</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color w:val="auto"/>
                <w:kern w:val="0"/>
                <w:sz w:val="21"/>
                <w:szCs w:val="21"/>
                <w:vertAlign w:val="baseline"/>
                <w:lang w:val="en-US" w:eastAsia="zh-CN"/>
              </w:rPr>
            </w:pPr>
            <w:r>
              <w:rPr>
                <w:rFonts w:hint="eastAsia" w:asciiTheme="minorEastAsia" w:hAnsiTheme="minorEastAsia" w:eastAsiaTheme="minorEastAsia" w:cstheme="minorEastAsia"/>
                <w:b/>
                <w:bCs/>
                <w:color w:val="auto"/>
                <w:kern w:val="0"/>
                <w:sz w:val="21"/>
                <w:szCs w:val="21"/>
                <w:vertAlign w:val="baseline"/>
                <w:lang w:val="en-US" w:eastAsia="zh-CN"/>
              </w:rPr>
              <w:t>2019</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color w:val="auto"/>
                <w:kern w:val="0"/>
                <w:sz w:val="21"/>
                <w:szCs w:val="21"/>
                <w:vertAlign w:val="baseline"/>
                <w:lang w:val="en-US" w:eastAsia="zh-CN"/>
              </w:rPr>
            </w:pPr>
            <w:r>
              <w:rPr>
                <w:rFonts w:hint="eastAsia" w:asciiTheme="minorEastAsia" w:hAnsiTheme="minorEastAsia" w:eastAsiaTheme="minorEastAsia" w:cstheme="minorEastAsia"/>
                <w:b/>
                <w:bCs/>
                <w:color w:val="auto"/>
                <w:kern w:val="0"/>
                <w:sz w:val="21"/>
                <w:szCs w:val="21"/>
                <w:vertAlign w:val="baseline"/>
                <w:lang w:val="en-US" w:eastAsia="zh-CN"/>
              </w:rPr>
              <w:t>2020</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color w:val="auto"/>
                <w:kern w:val="0"/>
                <w:sz w:val="21"/>
                <w:szCs w:val="21"/>
                <w:vertAlign w:val="baseline"/>
                <w:lang w:val="en-US" w:eastAsia="zh-CN"/>
              </w:rPr>
            </w:pPr>
            <w:r>
              <w:rPr>
                <w:rFonts w:hint="eastAsia" w:asciiTheme="minorEastAsia" w:hAnsiTheme="minorEastAsia" w:eastAsiaTheme="minorEastAsia" w:cstheme="minorEastAsia"/>
                <w:b/>
                <w:bCs/>
                <w:color w:val="auto"/>
                <w:kern w:val="0"/>
                <w:sz w:val="21"/>
                <w:szCs w:val="21"/>
                <w:vertAlign w:val="baseline"/>
                <w:lang w:val="en-US" w:eastAsia="zh-CN"/>
              </w:rPr>
              <w:t>2021</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color w:val="auto"/>
                <w:kern w:val="0"/>
                <w:sz w:val="21"/>
                <w:szCs w:val="21"/>
                <w:vertAlign w:val="baseline"/>
                <w:lang w:val="en-US" w:eastAsia="zh-CN"/>
              </w:rPr>
            </w:pPr>
            <w:r>
              <w:rPr>
                <w:rFonts w:hint="eastAsia" w:asciiTheme="minorEastAsia" w:hAnsiTheme="minorEastAsia" w:eastAsiaTheme="minorEastAsia" w:cstheme="minorEastAsia"/>
                <w:b/>
                <w:bCs/>
                <w:color w:val="auto"/>
                <w:kern w:val="0"/>
                <w:sz w:val="21"/>
                <w:szCs w:val="21"/>
                <w:vertAlign w:val="baseline"/>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2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营业收入（万元）</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144</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167</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122</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121</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2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经营成本（万元）</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40</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40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40</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40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2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经营利润（万元）</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104</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127</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82</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81</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kern w:val="0"/>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rPr>
              <w:t>98.5</w:t>
            </w:r>
          </w:p>
        </w:tc>
      </w:tr>
    </w:tbl>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支付方式：需提前预交两年的大角湾地下停车场经营权费。前两年的经营权费在合同签订后一个月内一次性付清，今后需在满两年期限前缴交下两年的经营权费。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color w:val="auto"/>
        </w:rPr>
      </w:pPr>
      <w:r>
        <w:rPr>
          <w:rFonts w:hint="eastAsia" w:hAnsi="宋体" w:cs="宋体"/>
          <w:color w:val="auto"/>
          <w:kern w:val="0"/>
          <w:sz w:val="21"/>
          <w:szCs w:val="21"/>
          <w:lang w:val="en-US" w:eastAsia="zh-CN"/>
        </w:rPr>
        <w:t>（三）</w:t>
      </w:r>
      <w:r>
        <w:rPr>
          <w:rFonts w:hint="eastAsia" w:ascii="宋体" w:hAnsi="宋体" w:eastAsia="宋体" w:cs="宋体"/>
          <w:color w:val="auto"/>
          <w:kern w:val="0"/>
          <w:sz w:val="21"/>
          <w:szCs w:val="21"/>
          <w:lang w:val="en-US" w:eastAsia="zh-CN"/>
        </w:rPr>
        <w:t>中标单位</w:t>
      </w:r>
      <w:r>
        <w:rPr>
          <w:rFonts w:hint="eastAsia" w:ascii="宋体" w:hAnsi="宋体" w:cs="宋体"/>
          <w:color w:val="auto"/>
          <w:kern w:val="0"/>
          <w:sz w:val="21"/>
          <w:szCs w:val="21"/>
          <w:lang w:val="en-US" w:eastAsia="zh-CN"/>
        </w:rPr>
        <w:t>需保证</w:t>
      </w:r>
      <w:r>
        <w:rPr>
          <w:rFonts w:hint="eastAsia" w:ascii="宋体" w:hAnsi="宋体" w:eastAsia="宋体" w:cs="宋体"/>
          <w:color w:val="auto"/>
          <w:kern w:val="0"/>
          <w:sz w:val="21"/>
          <w:szCs w:val="21"/>
        </w:rPr>
        <w:t>大角湾地下停车场</w:t>
      </w:r>
      <w:r>
        <w:rPr>
          <w:rFonts w:hint="eastAsia" w:ascii="宋体" w:hAnsi="宋体" w:cs="宋体"/>
          <w:color w:val="auto"/>
          <w:kern w:val="0"/>
          <w:sz w:val="21"/>
          <w:szCs w:val="21"/>
          <w:lang w:val="en-US" w:eastAsia="zh-CN"/>
        </w:rPr>
        <w:t>对外开放，应遵守</w:t>
      </w:r>
      <w:r>
        <w:rPr>
          <w:rFonts w:hint="eastAsia" w:ascii="宋体" w:hAnsi="宋体" w:eastAsia="宋体" w:cs="宋体"/>
          <w:color w:val="auto"/>
          <w:kern w:val="0"/>
          <w:sz w:val="21"/>
          <w:szCs w:val="21"/>
        </w:rPr>
        <w:t>大角湾地下停车场</w:t>
      </w:r>
      <w:r>
        <w:rPr>
          <w:rFonts w:hint="eastAsia" w:ascii="宋体" w:hAnsi="宋体" w:cs="宋体"/>
          <w:color w:val="auto"/>
          <w:kern w:val="0"/>
          <w:sz w:val="21"/>
          <w:szCs w:val="21"/>
          <w:lang w:val="en-US" w:eastAsia="zh-CN"/>
        </w:rPr>
        <w:t>原有的管理制度，不得变相出租给其他商家作为固定车位，不得允许任何商家、个人进入停车场拉客揽客和销售商品。因特殊节假日或重大活动的需要，政府要求免费开放</w:t>
      </w:r>
      <w:r>
        <w:rPr>
          <w:rFonts w:hint="eastAsia" w:ascii="宋体" w:hAnsi="宋体" w:eastAsia="宋体" w:cs="宋体"/>
          <w:color w:val="auto"/>
          <w:kern w:val="0"/>
          <w:sz w:val="21"/>
          <w:szCs w:val="21"/>
        </w:rPr>
        <w:t>大角湾地下停车场</w:t>
      </w:r>
      <w:r>
        <w:rPr>
          <w:rFonts w:hint="eastAsia" w:ascii="宋体" w:hAnsi="宋体" w:cs="宋体"/>
          <w:color w:val="auto"/>
          <w:kern w:val="0"/>
          <w:sz w:val="21"/>
          <w:szCs w:val="21"/>
          <w:lang w:val="en-US" w:eastAsia="zh-CN"/>
        </w:rPr>
        <w:t>时</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中标单位应当予以配合执行。</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textAlignment w:val="auto"/>
        <w:outlineLvl w:val="2"/>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政府承诺或保障：</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5" w:leftChars="0"/>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为推进本项目的全面建设，打造示范级精品民生民心工程，区政府给予以下支持：</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一</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w:t>
      </w:r>
      <w:r>
        <w:rPr>
          <w:rFonts w:hint="eastAsia" w:asciiTheme="minorEastAsia" w:hAnsiTheme="minorEastAsia" w:eastAsiaTheme="minorEastAsia" w:cstheme="minorEastAsia"/>
          <w:color w:val="auto"/>
          <w:sz w:val="21"/>
          <w:szCs w:val="21"/>
          <w:lang w:eastAsia="zh-CN"/>
        </w:rPr>
        <w:t>城管执法</w:t>
      </w:r>
      <w:r>
        <w:rPr>
          <w:rFonts w:hint="eastAsia" w:asciiTheme="minorEastAsia" w:hAnsiTheme="minorEastAsia" w:eastAsiaTheme="minorEastAsia" w:cstheme="minorEastAsia"/>
          <w:color w:val="auto"/>
          <w:sz w:val="21"/>
          <w:szCs w:val="21"/>
        </w:rPr>
        <w:t>局负责</w:t>
      </w:r>
      <w:r>
        <w:rPr>
          <w:rFonts w:hint="eastAsia" w:asciiTheme="minorEastAsia" w:hAnsiTheme="minorEastAsia" w:eastAsiaTheme="minorEastAsia" w:cstheme="minorEastAsia"/>
          <w:color w:val="auto"/>
          <w:sz w:val="21"/>
          <w:szCs w:val="21"/>
          <w:lang w:val="en-US" w:eastAsia="zh-CN"/>
        </w:rPr>
        <w:t>市容市貌日常整治维护</w:t>
      </w:r>
      <w:r>
        <w:rPr>
          <w:rFonts w:hint="eastAsia" w:asciiTheme="minorEastAsia" w:hAnsiTheme="minorEastAsia" w:eastAsiaTheme="minorEastAsia" w:cstheme="minorEastAsia"/>
          <w:color w:val="auto"/>
          <w:sz w:val="21"/>
          <w:szCs w:val="21"/>
        </w:rPr>
        <w:t>工作，依法依规处置乱停放等影响市容及交通秩序的行为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配合做好停车区域划定</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二</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w:t>
      </w:r>
      <w:r>
        <w:rPr>
          <w:rFonts w:hint="eastAsia" w:asciiTheme="minorEastAsia" w:hAnsiTheme="minorEastAsia" w:eastAsiaTheme="minorEastAsia" w:cstheme="minorEastAsia"/>
          <w:color w:val="auto"/>
          <w:sz w:val="21"/>
          <w:szCs w:val="21"/>
          <w:lang w:eastAsia="zh-CN"/>
        </w:rPr>
        <w:t>自然资源</w:t>
      </w:r>
      <w:r>
        <w:rPr>
          <w:rFonts w:hint="eastAsia" w:asciiTheme="minorEastAsia" w:hAnsiTheme="minorEastAsia" w:eastAsiaTheme="minorEastAsia" w:cstheme="minorEastAsia"/>
          <w:color w:val="auto"/>
          <w:sz w:val="21"/>
          <w:szCs w:val="21"/>
          <w:lang w:val="en-US" w:eastAsia="zh-CN"/>
        </w:rPr>
        <w:t>分</w:t>
      </w:r>
      <w:r>
        <w:rPr>
          <w:rFonts w:hint="eastAsia" w:asciiTheme="minorEastAsia" w:hAnsiTheme="minorEastAsia" w:eastAsiaTheme="minorEastAsia" w:cstheme="minorEastAsia"/>
          <w:color w:val="auto"/>
          <w:sz w:val="21"/>
          <w:szCs w:val="21"/>
        </w:rPr>
        <w:t>局负责完善</w:t>
      </w:r>
      <w:r>
        <w:rPr>
          <w:rFonts w:hint="eastAsia" w:asciiTheme="minorEastAsia" w:hAnsiTheme="minorEastAsia" w:eastAsiaTheme="minorEastAsia" w:cstheme="minorEastAsia"/>
          <w:color w:val="auto"/>
          <w:sz w:val="21"/>
          <w:szCs w:val="21"/>
          <w:lang w:val="en-US" w:eastAsia="zh-CN"/>
        </w:rPr>
        <w:t>停车交通系统</w:t>
      </w:r>
      <w:r>
        <w:rPr>
          <w:rFonts w:hint="eastAsia" w:asciiTheme="minorEastAsia" w:hAnsiTheme="minorEastAsia" w:eastAsiaTheme="minorEastAsia" w:cstheme="minorEastAsia"/>
          <w:color w:val="auto"/>
          <w:sz w:val="21"/>
          <w:szCs w:val="21"/>
        </w:rPr>
        <w:t>规划</w:t>
      </w:r>
      <w:r>
        <w:rPr>
          <w:rFonts w:hint="eastAsia" w:asciiTheme="minorEastAsia" w:hAnsiTheme="minorEastAsia" w:eastAsiaTheme="minorEastAsia" w:cstheme="minorEastAsia"/>
          <w:color w:val="auto"/>
          <w:sz w:val="21"/>
          <w:szCs w:val="21"/>
          <w:lang w:val="en-US" w:eastAsia="zh-CN"/>
        </w:rPr>
        <w:t>,配合做好停车区域划定</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三</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区经发局</w:t>
      </w:r>
      <w:r>
        <w:rPr>
          <w:rFonts w:hint="eastAsia" w:asciiTheme="minorEastAsia" w:hAnsiTheme="minorEastAsia" w:eastAsiaTheme="minorEastAsia" w:cstheme="minorEastAsia"/>
          <w:color w:val="auto"/>
          <w:sz w:val="21"/>
          <w:szCs w:val="21"/>
        </w:rPr>
        <w:t>负责</w:t>
      </w:r>
      <w:r>
        <w:rPr>
          <w:rFonts w:hint="eastAsia" w:asciiTheme="minorEastAsia" w:hAnsiTheme="minorEastAsia" w:eastAsiaTheme="minorEastAsia" w:cstheme="minorEastAsia"/>
          <w:color w:val="auto"/>
          <w:sz w:val="21"/>
          <w:szCs w:val="21"/>
          <w:lang w:val="en-US" w:eastAsia="zh-CN"/>
        </w:rPr>
        <w:t>办理停车收费审批手续，依规定制定、公布收费标准，给予企业必要的政策指导。</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四</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w:t>
      </w:r>
      <w:r>
        <w:rPr>
          <w:rFonts w:hint="eastAsia" w:asciiTheme="minorEastAsia" w:hAnsiTheme="minorEastAsia" w:eastAsiaTheme="minorEastAsia" w:cstheme="minorEastAsia"/>
          <w:color w:val="auto"/>
          <w:sz w:val="21"/>
          <w:szCs w:val="21"/>
        </w:rPr>
        <w:t>交通运输局</w:t>
      </w:r>
      <w:r>
        <w:rPr>
          <w:rFonts w:hint="eastAsia" w:asciiTheme="minorEastAsia" w:hAnsiTheme="minorEastAsia" w:eastAsiaTheme="minorEastAsia" w:cstheme="minorEastAsia"/>
          <w:color w:val="auto"/>
          <w:sz w:val="21"/>
          <w:szCs w:val="21"/>
          <w:lang w:val="en-US" w:eastAsia="zh-CN"/>
        </w:rPr>
        <w:t>配合做好区内停车</w:t>
      </w:r>
      <w:r>
        <w:rPr>
          <w:rFonts w:hint="eastAsia" w:asciiTheme="minorEastAsia" w:hAnsiTheme="minorEastAsia" w:eastAsiaTheme="minorEastAsia" w:cstheme="minorEastAsia"/>
          <w:color w:val="auto"/>
          <w:sz w:val="21"/>
          <w:szCs w:val="21"/>
        </w:rPr>
        <w:t>与公共交通融合发展的政策制定和统筹协调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指导、督促</w:t>
      </w:r>
      <w:r>
        <w:rPr>
          <w:rFonts w:hint="eastAsia" w:asciiTheme="minorEastAsia" w:hAnsiTheme="minorEastAsia" w:eastAsiaTheme="minorEastAsia" w:cstheme="minorEastAsia"/>
          <w:color w:val="auto"/>
          <w:sz w:val="21"/>
          <w:szCs w:val="21"/>
          <w:lang w:val="en-US" w:eastAsia="zh-CN"/>
        </w:rPr>
        <w:t>运营企业</w:t>
      </w:r>
      <w:r>
        <w:rPr>
          <w:rFonts w:hint="eastAsia" w:asciiTheme="minorEastAsia" w:hAnsiTheme="minorEastAsia" w:eastAsiaTheme="minorEastAsia" w:cstheme="minorEastAsia"/>
          <w:color w:val="auto"/>
          <w:sz w:val="21"/>
          <w:szCs w:val="21"/>
        </w:rPr>
        <w:t>落实管理责任，做好应急处置工作；</w:t>
      </w:r>
      <w:r>
        <w:rPr>
          <w:rFonts w:hint="eastAsia" w:asciiTheme="minorEastAsia" w:hAnsiTheme="minorEastAsia" w:eastAsiaTheme="minorEastAsia" w:cstheme="minorEastAsia"/>
          <w:color w:val="auto"/>
          <w:sz w:val="21"/>
          <w:szCs w:val="21"/>
          <w:lang w:val="en-US" w:eastAsia="zh-CN"/>
        </w:rPr>
        <w:t>配合</w:t>
      </w:r>
      <w:r>
        <w:rPr>
          <w:rFonts w:hint="eastAsia" w:asciiTheme="minorEastAsia" w:hAnsiTheme="minorEastAsia" w:eastAsiaTheme="minorEastAsia" w:cstheme="minorEastAsia"/>
          <w:color w:val="auto"/>
          <w:sz w:val="21"/>
          <w:szCs w:val="21"/>
        </w:rPr>
        <w:t>确定</w:t>
      </w:r>
      <w:r>
        <w:rPr>
          <w:rFonts w:hint="eastAsia" w:asciiTheme="minorEastAsia" w:hAnsiTheme="minorEastAsia" w:eastAsiaTheme="minorEastAsia" w:cstheme="minorEastAsia"/>
          <w:color w:val="auto"/>
          <w:sz w:val="21"/>
          <w:szCs w:val="21"/>
          <w:lang w:val="en-US" w:eastAsia="zh-CN"/>
        </w:rPr>
        <w:t>停车</w:t>
      </w:r>
      <w:r>
        <w:rPr>
          <w:rFonts w:hint="eastAsia" w:asciiTheme="minorEastAsia" w:hAnsiTheme="minorEastAsia" w:eastAsiaTheme="minorEastAsia" w:cstheme="minorEastAsia"/>
          <w:color w:val="auto"/>
          <w:sz w:val="21"/>
          <w:szCs w:val="21"/>
        </w:rPr>
        <w:t>区域</w:t>
      </w:r>
      <w:r>
        <w:rPr>
          <w:rFonts w:hint="eastAsia" w:asciiTheme="minorEastAsia" w:hAnsiTheme="minorEastAsia" w:eastAsiaTheme="minorEastAsia" w:cstheme="minorEastAsia"/>
          <w:color w:val="auto"/>
          <w:sz w:val="21"/>
          <w:szCs w:val="21"/>
          <w:lang w:val="en-US" w:eastAsia="zh-CN"/>
        </w:rPr>
        <w:t>的规划建设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受理相关投诉和建议</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五</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w:t>
      </w:r>
      <w:r>
        <w:rPr>
          <w:rFonts w:hint="eastAsia" w:asciiTheme="minorEastAsia" w:hAnsiTheme="minorEastAsia" w:eastAsiaTheme="minorEastAsia" w:cstheme="minorEastAsia"/>
          <w:color w:val="auto"/>
          <w:sz w:val="21"/>
          <w:szCs w:val="21"/>
        </w:rPr>
        <w:t>公安</w:t>
      </w:r>
      <w:r>
        <w:rPr>
          <w:rFonts w:hint="eastAsia" w:asciiTheme="minorEastAsia" w:hAnsiTheme="minorEastAsia" w:eastAsiaTheme="minorEastAsia" w:cstheme="minorEastAsia"/>
          <w:color w:val="auto"/>
          <w:sz w:val="21"/>
          <w:szCs w:val="21"/>
          <w:lang w:val="en-US" w:eastAsia="zh-CN"/>
        </w:rPr>
        <w:t>分</w:t>
      </w:r>
      <w:r>
        <w:rPr>
          <w:rFonts w:hint="eastAsia" w:asciiTheme="minorEastAsia" w:hAnsiTheme="minorEastAsia" w:eastAsiaTheme="minorEastAsia" w:cstheme="minorEastAsia"/>
          <w:color w:val="auto"/>
          <w:sz w:val="21"/>
          <w:szCs w:val="21"/>
        </w:rPr>
        <w:t>局负责</w:t>
      </w:r>
      <w:r>
        <w:rPr>
          <w:rFonts w:hint="eastAsia" w:asciiTheme="minorEastAsia" w:hAnsiTheme="minorEastAsia" w:eastAsiaTheme="minorEastAsia" w:cstheme="minorEastAsia"/>
          <w:color w:val="auto"/>
          <w:sz w:val="21"/>
          <w:szCs w:val="21"/>
          <w:lang w:val="en-US" w:eastAsia="zh-CN"/>
        </w:rPr>
        <w:t>治安监控和</w:t>
      </w:r>
      <w:r>
        <w:rPr>
          <w:rFonts w:hint="eastAsia" w:asciiTheme="minorEastAsia" w:hAnsiTheme="minorEastAsia" w:eastAsiaTheme="minorEastAsia" w:cstheme="minorEastAsia"/>
          <w:color w:val="auto"/>
          <w:sz w:val="21"/>
          <w:szCs w:val="21"/>
        </w:rPr>
        <w:t>对侵占、盗窃、破坏</w:t>
      </w:r>
      <w:r>
        <w:rPr>
          <w:rFonts w:hint="eastAsia" w:asciiTheme="minorEastAsia" w:hAnsiTheme="minorEastAsia" w:eastAsiaTheme="minorEastAsia" w:cstheme="minorEastAsia"/>
          <w:color w:val="auto"/>
          <w:sz w:val="21"/>
          <w:szCs w:val="21"/>
          <w:lang w:val="en-US" w:eastAsia="zh-CN"/>
        </w:rPr>
        <w:t>停车设施</w:t>
      </w:r>
      <w:r>
        <w:rPr>
          <w:rFonts w:hint="eastAsia" w:asciiTheme="minorEastAsia" w:hAnsiTheme="minorEastAsia" w:eastAsiaTheme="minorEastAsia" w:cstheme="minorEastAsia"/>
          <w:color w:val="auto"/>
          <w:sz w:val="21"/>
          <w:szCs w:val="21"/>
        </w:rPr>
        <w:t>等违法行为进行查处</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六</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交警海陵大队</w:t>
      </w:r>
      <w:r>
        <w:rPr>
          <w:rFonts w:hint="eastAsia" w:asciiTheme="minorEastAsia" w:hAnsiTheme="minorEastAsia" w:eastAsiaTheme="minorEastAsia" w:cstheme="minorEastAsia"/>
          <w:color w:val="auto"/>
          <w:sz w:val="21"/>
          <w:szCs w:val="21"/>
        </w:rPr>
        <w:t>负责</w:t>
      </w:r>
      <w:r>
        <w:rPr>
          <w:rFonts w:hint="eastAsia" w:asciiTheme="minorEastAsia" w:hAnsiTheme="minorEastAsia" w:eastAsiaTheme="minorEastAsia" w:cstheme="minorEastAsia"/>
          <w:color w:val="auto"/>
          <w:sz w:val="21"/>
          <w:szCs w:val="21"/>
          <w:lang w:val="en-US" w:eastAsia="zh-CN"/>
        </w:rPr>
        <w:t>交通管理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配合做好停车区域划定，指导完成相关标识标线设置</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（七）区旅游外侨局</w:t>
      </w:r>
      <w:r>
        <w:rPr>
          <w:rFonts w:hint="eastAsia" w:asciiTheme="minorEastAsia" w:hAnsiTheme="minorEastAsia" w:eastAsiaTheme="minorEastAsia" w:cstheme="minorEastAsia"/>
          <w:color w:val="auto"/>
          <w:sz w:val="21"/>
          <w:szCs w:val="21"/>
          <w:lang w:val="en-US" w:eastAsia="zh-CN"/>
        </w:rPr>
        <w:t>研究指导智慧旅游总体规划和布局。</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八</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区市场监管分局负责企业的登记注册，依法查处不按规定明码标价、乱收费等欺诈消费者违法行为。</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九</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区委宣传统战</w:t>
      </w:r>
      <w:r>
        <w:rPr>
          <w:rFonts w:hint="eastAsia" w:asciiTheme="minorEastAsia" w:hAnsiTheme="minorEastAsia" w:eastAsiaTheme="minorEastAsia" w:cstheme="minorEastAsia"/>
          <w:color w:val="auto"/>
          <w:sz w:val="21"/>
          <w:szCs w:val="21"/>
        </w:rPr>
        <w:t>部负责指导协调新闻单位积极配合相关职能部门做好</w:t>
      </w:r>
      <w:r>
        <w:rPr>
          <w:rFonts w:hint="eastAsia" w:asciiTheme="minorEastAsia" w:hAnsiTheme="minorEastAsia" w:eastAsiaTheme="minorEastAsia" w:cstheme="minorEastAsia"/>
          <w:color w:val="auto"/>
          <w:sz w:val="21"/>
          <w:szCs w:val="21"/>
          <w:lang w:val="en-US" w:eastAsia="zh-CN"/>
        </w:rPr>
        <w:t>停车规划、运营、管理等相关</w:t>
      </w:r>
      <w:r>
        <w:rPr>
          <w:rFonts w:hint="eastAsia" w:asciiTheme="minorEastAsia" w:hAnsiTheme="minorEastAsia" w:eastAsiaTheme="minorEastAsia" w:cstheme="minorEastAsia"/>
          <w:color w:val="auto"/>
          <w:sz w:val="21"/>
          <w:szCs w:val="21"/>
        </w:rPr>
        <w:t>工作的宣传报道，发挥舆论引导和监督作用，营造良好舆论氛围。</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color w:val="auto"/>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区信访局配合协调</w:t>
      </w:r>
      <w:r>
        <w:rPr>
          <w:rFonts w:hint="eastAsia" w:asciiTheme="minorEastAsia" w:hAnsiTheme="minorEastAsia" w:eastAsiaTheme="minorEastAsia" w:cstheme="minorEastAsia"/>
          <w:color w:val="auto"/>
          <w:sz w:val="21"/>
          <w:szCs w:val="21"/>
        </w:rPr>
        <w:t>相关投诉</w:t>
      </w:r>
      <w:r>
        <w:rPr>
          <w:rFonts w:hint="eastAsia" w:asciiTheme="minorEastAsia" w:hAnsiTheme="minorEastAsia" w:eastAsiaTheme="minorEastAsia" w:cstheme="minorEastAsia"/>
          <w:color w:val="auto"/>
          <w:sz w:val="21"/>
          <w:szCs w:val="21"/>
          <w:lang w:val="en-US" w:eastAsia="zh-CN"/>
        </w:rPr>
        <w:t>的处理，积极对有关政策以及信访投诉事项予以解释、调解。</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textAlignment w:val="auto"/>
        <w:outlineLvl w:val="2"/>
        <w:rPr>
          <w:rFonts w:hint="eastAsia" w:ascii="宋体" w:hAnsi="宋体" w:eastAsia="宋体" w:cs="宋体"/>
          <w:color w:val="auto"/>
        </w:rPr>
      </w:pPr>
      <w:r>
        <w:rPr>
          <w:rFonts w:hint="eastAsia" w:ascii="宋体" w:hAnsi="宋体" w:eastAsia="宋体" w:cs="宋体"/>
          <w:b/>
          <w:bCs/>
          <w:color w:val="auto"/>
          <w:kern w:val="0"/>
          <w:sz w:val="21"/>
          <w:szCs w:val="21"/>
        </w:rPr>
        <w:t>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textAlignment w:val="auto"/>
        <w:outlineLvl w:val="2"/>
        <w:rPr>
          <w:rFonts w:hint="eastAsia" w:ascii="宋体" w:hAnsi="宋体" w:eastAsia="宋体" w:cs="宋体"/>
          <w:color w:val="auto"/>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rPr>
        <w:t>履约保证金的金额：</w:t>
      </w:r>
      <w:r>
        <w:rPr>
          <w:rFonts w:hint="eastAsia" w:ascii="宋体" w:hAnsi="宋体" w:cs="宋体"/>
          <w:color w:val="auto"/>
          <w:sz w:val="21"/>
          <w:szCs w:val="21"/>
          <w:lang w:val="en-US" w:eastAsia="zh-CN"/>
        </w:rPr>
        <w:t>合同建设投资额</w:t>
      </w:r>
      <w:r>
        <w:rPr>
          <w:rFonts w:hint="eastAsia" w:ascii="宋体" w:hAnsi="宋体" w:eastAsia="宋体" w:cs="宋体"/>
          <w:color w:val="auto"/>
          <w:sz w:val="21"/>
          <w:szCs w:val="21"/>
        </w:rPr>
        <w:t>的5%作为履约保证金。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hint="eastAsia" w:ascii="宋体" w:hAnsi="宋体" w:eastAsia="宋体" w:cs="宋体"/>
          <w:color w:val="auto"/>
        </w:rPr>
      </w:pPr>
      <w:r>
        <w:rPr>
          <w:rFonts w:hint="eastAsia" w:ascii="宋体" w:hAnsi="宋体" w:cs="宋体"/>
          <w:color w:val="auto"/>
          <w:lang w:eastAsia="zh-CN"/>
        </w:rPr>
        <w:t>（</w:t>
      </w:r>
      <w:r>
        <w:rPr>
          <w:rFonts w:hint="eastAsia" w:ascii="宋体" w:hAnsi="宋体" w:cs="宋体"/>
          <w:color w:val="auto"/>
          <w:lang w:val="en-US" w:eastAsia="zh-CN"/>
        </w:rPr>
        <w:t>二</w:t>
      </w:r>
      <w:r>
        <w:rPr>
          <w:rFonts w:hint="eastAsia" w:ascii="宋体" w:hAnsi="宋体" w:cs="宋体"/>
          <w:color w:val="auto"/>
          <w:lang w:eastAsia="zh-CN"/>
        </w:rPr>
        <w:t>）</w:t>
      </w:r>
      <w:r>
        <w:rPr>
          <w:rFonts w:hint="eastAsia" w:ascii="宋体" w:hAnsi="宋体" w:eastAsia="宋体" w:cs="宋体"/>
          <w:color w:val="auto"/>
        </w:rPr>
        <w:t>缴纳履约保证金的时间：合同签订前；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hint="eastAsia" w:ascii="宋体" w:hAnsi="宋体" w:eastAsia="宋体" w:cs="宋体"/>
          <w:color w:val="auto"/>
        </w:rPr>
      </w:pPr>
      <w:r>
        <w:rPr>
          <w:rFonts w:hint="eastAsia" w:ascii="宋体" w:hAnsi="宋体" w:cs="宋体"/>
          <w:color w:val="auto"/>
          <w:lang w:eastAsia="zh-CN"/>
        </w:rPr>
        <w:t>（</w:t>
      </w:r>
      <w:r>
        <w:rPr>
          <w:rFonts w:hint="eastAsia" w:ascii="宋体" w:hAnsi="宋体" w:cs="宋体"/>
          <w:color w:val="auto"/>
          <w:lang w:val="en-US" w:eastAsia="zh-CN"/>
        </w:rPr>
        <w:t>三</w:t>
      </w:r>
      <w:r>
        <w:rPr>
          <w:rFonts w:hint="eastAsia" w:ascii="宋体" w:hAnsi="宋体" w:cs="宋体"/>
          <w:color w:val="auto"/>
          <w:lang w:eastAsia="zh-CN"/>
        </w:rPr>
        <w:t>）</w:t>
      </w:r>
      <w:r>
        <w:rPr>
          <w:rFonts w:hint="eastAsia" w:ascii="宋体" w:hAnsi="宋体" w:eastAsia="宋体" w:cs="宋体"/>
          <w:color w:val="auto"/>
        </w:rPr>
        <w:t>履约保证金的形式：采用银行转账或银行保函或保险机构保险保函的形式。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rPr>
      </w:pPr>
      <w:r>
        <w:rPr>
          <w:rFonts w:hint="eastAsia" w:ascii="宋体" w:hAnsi="宋体" w:cs="宋体"/>
          <w:color w:val="auto"/>
          <w:lang w:val="en-US" w:eastAsia="zh-CN"/>
        </w:rPr>
        <w:t>1、</w:t>
      </w:r>
      <w:r>
        <w:rPr>
          <w:rFonts w:hint="eastAsia" w:ascii="宋体" w:hAnsi="宋体" w:eastAsia="宋体" w:cs="宋体"/>
          <w:color w:val="auto"/>
        </w:rPr>
        <w:t>若采用银行转账方式的，中标人将履约保证金转至采购人指定账户。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rPr>
      </w:pPr>
      <w:r>
        <w:rPr>
          <w:rFonts w:hint="eastAsia" w:ascii="宋体" w:hAnsi="宋体" w:cs="宋体"/>
          <w:color w:val="auto"/>
          <w:lang w:val="en-US" w:eastAsia="zh-CN"/>
        </w:rPr>
        <w:t>2、</w:t>
      </w:r>
      <w:r>
        <w:rPr>
          <w:rFonts w:hint="eastAsia" w:ascii="宋体" w:hAnsi="宋体" w:eastAsia="宋体" w:cs="宋体"/>
          <w:color w:val="auto"/>
        </w:rPr>
        <w:t>若采用银行保函或保险机构保险保函形式的，中标人出具的保函需符合采购人的要求。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hint="eastAsia" w:ascii="宋体" w:hAnsi="宋体" w:eastAsia="宋体" w:cs="宋体"/>
          <w:color w:val="auto"/>
        </w:rPr>
      </w:pPr>
      <w:r>
        <w:rPr>
          <w:rFonts w:hint="eastAsia" w:ascii="宋体" w:hAnsi="宋体" w:cs="宋体"/>
          <w:color w:val="auto"/>
          <w:lang w:eastAsia="zh-CN"/>
        </w:rPr>
        <w:t>（</w:t>
      </w:r>
      <w:r>
        <w:rPr>
          <w:rFonts w:hint="eastAsia" w:ascii="宋体" w:hAnsi="宋体" w:cs="宋体"/>
          <w:color w:val="auto"/>
          <w:lang w:val="en-US" w:eastAsia="zh-CN"/>
        </w:rPr>
        <w:t>四</w:t>
      </w:r>
      <w:r>
        <w:rPr>
          <w:rFonts w:hint="eastAsia" w:ascii="宋体" w:hAnsi="宋体" w:cs="宋体"/>
          <w:color w:val="auto"/>
          <w:lang w:eastAsia="zh-CN"/>
        </w:rPr>
        <w:t>）</w:t>
      </w:r>
      <w:r>
        <w:rPr>
          <w:rFonts w:hint="eastAsia" w:ascii="宋体" w:hAnsi="宋体" w:eastAsia="宋体" w:cs="宋体"/>
          <w:color w:val="auto"/>
        </w:rPr>
        <w:t>履约保证金的期限：是从提供履约保证金之日起至本项目</w:t>
      </w:r>
      <w:r>
        <w:rPr>
          <w:rFonts w:hint="eastAsia" w:ascii="宋体" w:hAnsi="宋体" w:eastAsia="宋体" w:cs="宋体"/>
          <w:color w:val="auto"/>
          <w:sz w:val="21"/>
          <w:szCs w:val="21"/>
          <w:lang w:val="en-US" w:eastAsia="zh-CN"/>
        </w:rPr>
        <w:t>经营期</w:t>
      </w:r>
      <w:r>
        <w:rPr>
          <w:rFonts w:hint="eastAsia" w:ascii="宋体" w:hAnsi="宋体" w:eastAsia="宋体" w:cs="宋体"/>
          <w:color w:val="auto"/>
        </w:rPr>
        <w:t>届满之日止。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hint="eastAsia"/>
          <w:color w:val="auto"/>
        </w:rPr>
      </w:pPr>
      <w:r>
        <w:rPr>
          <w:rFonts w:hint="eastAsia" w:ascii="宋体" w:hAnsi="宋体" w:cs="宋体"/>
          <w:color w:val="auto"/>
          <w:lang w:eastAsia="zh-CN"/>
        </w:rPr>
        <w:t>（</w:t>
      </w:r>
      <w:r>
        <w:rPr>
          <w:rFonts w:hint="eastAsia" w:ascii="宋体" w:hAnsi="宋体" w:cs="宋体"/>
          <w:color w:val="auto"/>
          <w:lang w:val="en-US" w:eastAsia="zh-CN"/>
        </w:rPr>
        <w:t>五</w:t>
      </w:r>
      <w:r>
        <w:rPr>
          <w:rFonts w:hint="eastAsia" w:ascii="宋体" w:hAnsi="宋体" w:cs="宋体"/>
          <w:color w:val="auto"/>
          <w:lang w:eastAsia="zh-CN"/>
        </w:rPr>
        <w:t>）</w:t>
      </w:r>
      <w:r>
        <w:rPr>
          <w:rFonts w:hint="eastAsia" w:ascii="宋体" w:hAnsi="宋体" w:eastAsia="宋体" w:cs="宋体"/>
          <w:color w:val="auto"/>
        </w:rPr>
        <w:t>在合同期内，中标人能全面履行合同条款无任何违规违约行为时，则期限届满后履约保证金全额无息退回；如果有违规违约行为或其他导致采购人经济损失的行为，履约保证金将用以扣减相应的违约金及采购人经济损失，如期限未届满，中标人应在扣减之后的20工作日内及时补足，期限届满的则在扣减后无息退回；履约保证金不足以弥补损失的，中标人须补足损失金额。</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textAlignment w:val="auto"/>
        <w:outlineLvl w:val="2"/>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为了统筹调配全区的停车场资源，政府鼓励中标方与私营企业停车场合作经营，所产生的收益免</w:t>
      </w:r>
      <w:r>
        <w:rPr>
          <w:rFonts w:hint="eastAsia" w:ascii="宋体" w:hAnsi="宋体" w:cs="宋体"/>
          <w:color w:val="auto"/>
          <w:kern w:val="0"/>
          <w:sz w:val="21"/>
          <w:szCs w:val="21"/>
          <w:lang w:val="en-US" w:eastAsia="zh-CN"/>
        </w:rPr>
        <w:t>缴纳</w:t>
      </w:r>
      <w:r>
        <w:rPr>
          <w:rFonts w:hint="eastAsia" w:ascii="宋体" w:hAnsi="宋体" w:cs="宋体"/>
          <w:color w:val="auto"/>
          <w:sz w:val="21"/>
          <w:szCs w:val="21"/>
          <w:lang w:val="en-US" w:eastAsia="zh-CN"/>
        </w:rPr>
        <w:t>特许经营权费</w:t>
      </w:r>
      <w:r>
        <w:rPr>
          <w:rFonts w:hint="eastAsia" w:ascii="宋体" w:hAnsi="宋体" w:cs="宋体"/>
          <w:color w:val="auto"/>
          <w:kern w:val="0"/>
          <w:sz w:val="21"/>
          <w:szCs w:val="21"/>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textAlignment w:val="auto"/>
        <w:outlineLvl w:val="2"/>
        <w:rPr>
          <w:rFonts w:hint="default" w:eastAsia="宋体"/>
          <w:color w:val="auto"/>
          <w:lang w:val="en-US" w:eastAsia="zh-CN"/>
        </w:rPr>
      </w:pPr>
      <w:r>
        <w:rPr>
          <w:rFonts w:hint="eastAsia" w:ascii="宋体" w:hAnsi="宋体" w:eastAsia="宋体" w:cs="宋体"/>
          <w:color w:val="auto"/>
          <w:sz w:val="21"/>
          <w:szCs w:val="21"/>
        </w:rPr>
        <w:t>中标特许经营</w:t>
      </w:r>
      <w:r>
        <w:rPr>
          <w:rFonts w:hint="eastAsia" w:ascii="宋体" w:hAnsi="宋体" w:cs="宋体"/>
          <w:color w:val="auto"/>
          <w:sz w:val="21"/>
          <w:szCs w:val="21"/>
          <w:lang w:val="en-US" w:eastAsia="zh-CN"/>
        </w:rPr>
        <w:t>单位应制定完善的防逃费机制，</w:t>
      </w:r>
      <w:r>
        <w:rPr>
          <w:rFonts w:hint="eastAsia"/>
          <w:color w:val="auto"/>
        </w:rPr>
        <w:t>逃费率</w:t>
      </w:r>
      <w:r>
        <w:rPr>
          <w:rFonts w:hint="eastAsia"/>
          <w:color w:val="auto"/>
          <w:lang w:val="en-US" w:eastAsia="zh-CN"/>
        </w:rPr>
        <w:t>不超过</w:t>
      </w:r>
      <w:r>
        <w:rPr>
          <w:rFonts w:hint="eastAsia"/>
          <w:color w:val="auto"/>
          <w:u w:val="single"/>
          <w:lang w:val="en-US" w:eastAsia="zh-CN"/>
        </w:rPr>
        <w:t>30</w:t>
      </w:r>
      <w:r>
        <w:rPr>
          <w:rFonts w:hint="eastAsia"/>
          <w:color w:val="auto"/>
          <w:lang w:val="en-US" w:eastAsia="zh-CN"/>
        </w:rPr>
        <w:t>%。如连续2年</w:t>
      </w:r>
      <w:r>
        <w:rPr>
          <w:rFonts w:hint="eastAsia"/>
          <w:color w:val="auto"/>
        </w:rPr>
        <w:t>逃费率</w:t>
      </w:r>
      <w:r>
        <w:rPr>
          <w:rFonts w:hint="eastAsia"/>
          <w:color w:val="auto"/>
          <w:lang w:val="en-US" w:eastAsia="zh-CN"/>
        </w:rPr>
        <w:t>超过指定额度，则解除其</w:t>
      </w:r>
      <w:r>
        <w:rPr>
          <w:rFonts w:hint="eastAsia" w:ascii="宋体" w:hAnsi="宋体" w:cs="宋体"/>
          <w:color w:val="auto"/>
          <w:sz w:val="21"/>
          <w:szCs w:val="21"/>
          <w:lang w:val="en-US" w:eastAsia="zh-CN"/>
        </w:rPr>
        <w:t>特许经营权。</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textAlignment w:val="auto"/>
        <w:outlineLvl w:val="2"/>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退出机制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中标方在运营期限内出现下列情形之一的，</w:t>
      </w:r>
      <w:r>
        <w:rPr>
          <w:rFonts w:hint="eastAsia" w:ascii="宋体" w:hAnsi="宋体" w:eastAsia="宋体" w:cs="宋体"/>
          <w:color w:val="auto"/>
        </w:rPr>
        <w:t>采购人</w:t>
      </w:r>
      <w:r>
        <w:rPr>
          <w:rFonts w:hint="eastAsia" w:ascii="宋体" w:hAnsi="宋体" w:eastAsia="宋体" w:cs="宋体"/>
          <w:color w:val="auto"/>
          <w:sz w:val="21"/>
          <w:szCs w:val="21"/>
          <w:lang w:eastAsia="zh-CN"/>
        </w:rPr>
        <w:t>有权单方终止本合同，收回经营管理权。期间中标方产生的费用由中标方自行承担，给</w:t>
      </w:r>
      <w:r>
        <w:rPr>
          <w:rFonts w:hint="eastAsia" w:ascii="宋体" w:hAnsi="宋体" w:eastAsia="宋体" w:cs="宋体"/>
          <w:color w:val="auto"/>
        </w:rPr>
        <w:t>采购人</w:t>
      </w:r>
      <w:r>
        <w:rPr>
          <w:rFonts w:hint="eastAsia" w:ascii="宋体" w:hAnsi="宋体" w:eastAsia="宋体" w:cs="宋体"/>
          <w:color w:val="auto"/>
          <w:sz w:val="21"/>
          <w:szCs w:val="21"/>
          <w:lang w:eastAsia="zh-CN"/>
        </w:rPr>
        <w:t>造成损失的，中标方承担赔偿责任。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中标方未按规定向</w:t>
      </w:r>
      <w:r>
        <w:rPr>
          <w:rFonts w:hint="eastAsia" w:ascii="宋体" w:hAnsi="宋体" w:eastAsia="宋体" w:cs="宋体"/>
          <w:color w:val="auto"/>
        </w:rPr>
        <w:t>采购人</w:t>
      </w:r>
      <w:r>
        <w:rPr>
          <w:rFonts w:hint="eastAsia" w:ascii="宋体" w:hAnsi="宋体" w:eastAsia="宋体" w:cs="宋体"/>
          <w:color w:val="auto"/>
          <w:sz w:val="21"/>
          <w:szCs w:val="21"/>
          <w:lang w:eastAsia="zh-CN"/>
        </w:rPr>
        <w:t>足额缴纳</w:t>
      </w:r>
      <w:r>
        <w:rPr>
          <w:rFonts w:hint="eastAsia" w:ascii="宋体" w:hAnsi="宋体" w:cs="宋体"/>
          <w:color w:val="auto"/>
          <w:sz w:val="21"/>
          <w:szCs w:val="21"/>
          <w:lang w:val="en-US" w:eastAsia="zh-CN"/>
        </w:rPr>
        <w:t>特许经营权费</w:t>
      </w:r>
      <w:r>
        <w:rPr>
          <w:rFonts w:hint="eastAsia" w:ascii="宋体" w:hAnsi="宋体" w:eastAsia="宋体" w:cs="宋体"/>
          <w:color w:val="auto"/>
          <w:sz w:val="21"/>
          <w:szCs w:val="21"/>
          <w:lang w:eastAsia="zh-CN"/>
        </w:rPr>
        <w:t>，逾期3个月的；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因中标方原因，中标方纳入管理的路内临时停车位不足总数的50%，且时间连续超过3个月的；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合同期限内，因中标方原因造成项目不能继续经营，停工超过30天的。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非因</w:t>
      </w:r>
      <w:r>
        <w:rPr>
          <w:rFonts w:hint="eastAsia" w:ascii="宋体" w:hAnsi="宋体" w:eastAsia="宋体" w:cs="宋体"/>
          <w:color w:val="auto"/>
        </w:rPr>
        <w:t>采购人</w:t>
      </w:r>
      <w:r>
        <w:rPr>
          <w:rFonts w:hint="eastAsia" w:ascii="宋体" w:hAnsi="宋体" w:eastAsia="宋体" w:cs="宋体"/>
          <w:color w:val="auto"/>
          <w:sz w:val="21"/>
          <w:szCs w:val="21"/>
          <w:lang w:eastAsia="zh-CN"/>
        </w:rPr>
        <w:t>原因或不可抗力原因，项目到期后，中标方拒绝移交或延期移交的，每逾期一个月，由中标方承担双倍管理费的违约金，逾期超过三个月以上的，每逾期一个月，违约金依次递增一个月的管理费。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hint="eastAsia" w:ascii="宋体" w:hAnsi="宋体" w:eastAsia="宋体" w:cs="宋体"/>
          <w:b/>
          <w:bCs/>
          <w:color w:val="auto"/>
          <w:kern w:val="0"/>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五</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由上级或同级领导发现重大问题，造成严重后果的，</w:t>
      </w:r>
      <w:r>
        <w:rPr>
          <w:rFonts w:hint="eastAsia" w:ascii="宋体" w:hAnsi="宋体" w:eastAsia="宋体" w:cs="宋体"/>
          <w:color w:val="auto"/>
        </w:rPr>
        <w:t>采购人</w:t>
      </w:r>
      <w:r>
        <w:rPr>
          <w:rFonts w:hint="eastAsia" w:ascii="宋体" w:hAnsi="宋体" w:eastAsia="宋体" w:cs="宋体"/>
          <w:color w:val="auto"/>
          <w:sz w:val="21"/>
          <w:szCs w:val="21"/>
          <w:lang w:eastAsia="zh-CN"/>
        </w:rPr>
        <w:t>有权对中标方进行处罚，直至解除合同。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hint="eastAsia" w:ascii="宋体" w:hAnsi="宋体" w:eastAsia="宋体" w:cs="宋体"/>
          <w:b/>
          <w:bCs/>
          <w:color w:val="auto"/>
          <w:kern w:val="0"/>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六</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中标方未按时间要求及时发放员工工资，</w:t>
      </w:r>
      <w:r>
        <w:rPr>
          <w:rFonts w:hint="eastAsia" w:ascii="宋体" w:hAnsi="宋体" w:eastAsia="宋体" w:cs="宋体"/>
          <w:color w:val="auto"/>
        </w:rPr>
        <w:t>采购人</w:t>
      </w:r>
      <w:r>
        <w:rPr>
          <w:rFonts w:hint="eastAsia" w:ascii="宋体" w:hAnsi="宋体" w:eastAsia="宋体" w:cs="宋体"/>
          <w:color w:val="auto"/>
          <w:sz w:val="21"/>
          <w:szCs w:val="21"/>
          <w:lang w:eastAsia="zh-CN"/>
        </w:rPr>
        <w:t>有权单方解除合同。</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textAlignment w:val="auto"/>
        <w:outlineLvl w:val="2"/>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运营与交接要求</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在特许经营期届满后，项目运营公司应按照正常运行的技术状态无条件的移交给政府</w:t>
      </w:r>
      <w:r>
        <w:rPr>
          <w:rFonts w:hint="eastAsia" w:ascii="宋体" w:hAnsi="宋体" w:eastAsia="宋体" w:cs="宋体"/>
          <w:color w:val="auto"/>
          <w:sz w:val="21"/>
          <w:szCs w:val="21"/>
          <w:lang w:val="en-US" w:eastAsia="zh-CN"/>
        </w:rPr>
        <w:t>单位或其</w:t>
      </w:r>
      <w:r>
        <w:rPr>
          <w:rFonts w:hint="eastAsia" w:ascii="宋体" w:hAnsi="宋体" w:eastAsia="宋体" w:cs="宋体"/>
          <w:color w:val="auto"/>
          <w:sz w:val="21"/>
          <w:szCs w:val="21"/>
        </w:rPr>
        <w:t>授权的接收单位，所移交的资产不得存在与资产有关的担保、租赁等债权债务关系。</w:t>
      </w:r>
    </w:p>
    <w:p>
      <w:pPr>
        <w:keepNext w:val="0"/>
        <w:keepLines w:val="0"/>
        <w:pageBreakBefore w:val="0"/>
        <w:numPr>
          <w:ilvl w:val="0"/>
          <w:numId w:val="4"/>
        </w:numPr>
        <w:kinsoku/>
        <w:wordWrap/>
        <w:topLinePunct w:val="0"/>
        <w:bidi w:val="0"/>
        <w:snapToGrid/>
        <w:spacing w:line="460" w:lineRule="exact"/>
        <w:outlineLvl w:val="2"/>
        <w:rPr>
          <w:rFonts w:hint="eastAsia" w:ascii="宋体" w:hAnsi="宋体" w:cs="宋体"/>
          <w:b/>
          <w:bCs/>
          <w:color w:val="auto"/>
          <w:kern w:val="0"/>
          <w:lang w:eastAsia="zh-CN"/>
        </w:rPr>
      </w:pPr>
      <w:r>
        <w:rPr>
          <w:rFonts w:hint="eastAsia" w:ascii="宋体" w:hAnsi="宋体" w:cs="宋体"/>
          <w:b/>
          <w:bCs/>
          <w:color w:val="auto"/>
          <w:kern w:val="0"/>
          <w:lang w:eastAsia="zh-CN"/>
        </w:rPr>
        <w:t>特许经营协议框架草案</w:t>
      </w:r>
    </w:p>
    <w:p>
      <w:pPr>
        <w:keepNext w:val="0"/>
        <w:keepLines w:val="0"/>
        <w:pageBreakBefore w:val="0"/>
        <w:kinsoku/>
        <w:wordWrap/>
        <w:topLinePunct w:val="0"/>
        <w:bidi w:val="0"/>
        <w:snapToGrid/>
        <w:spacing w:line="460" w:lineRule="exact"/>
        <w:jc w:val="center"/>
        <w:outlineLvl w:val="0"/>
        <w:rPr>
          <w:color w:val="auto"/>
        </w:rPr>
      </w:pPr>
      <w:r>
        <w:rPr>
          <w:rFonts w:hint="eastAsia" w:ascii="宋体" w:hAnsi="宋体" w:eastAsia="宋体" w:cs="宋体"/>
          <w:b/>
          <w:bCs/>
          <w:color w:val="auto"/>
          <w:sz w:val="28"/>
          <w:szCs w:val="28"/>
          <w:lang w:eastAsia="zh-CN"/>
        </w:rPr>
        <w:t>合同条款及格式</w:t>
      </w:r>
    </w:p>
    <w:p>
      <w:pPr>
        <w:keepNext w:val="0"/>
        <w:keepLines w:val="0"/>
        <w:pageBreakBefore w:val="0"/>
        <w:kinsoku/>
        <w:wordWrap/>
        <w:topLinePunct w:val="0"/>
        <w:bidi w:val="0"/>
        <w:snapToGrid/>
        <w:spacing w:line="460" w:lineRule="exac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系按照中华人民共和国（下称“中国”）法律依法设立及存续的有限责任公司（下称“政府方”），并由阳江市海陵岛经济开发试验区城市管理和综合执法局授权作为本项目的实施机构。</w:t>
      </w:r>
    </w:p>
    <w:p>
      <w:pPr>
        <w:keepNext w:val="0"/>
        <w:keepLines w:val="0"/>
        <w:pageBreakBefore w:val="0"/>
        <w:kinsoku/>
        <w:wordWrap/>
        <w:topLinePunct w:val="0"/>
        <w:bidi w:val="0"/>
        <w:snapToGrid/>
        <w:spacing w:line="460" w:lineRule="exac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系按照中华人民共和国（下称“中国”）法律依法设立及存续的有限责任公司。</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根据《中华人民共和国民法典》、《基础设施和公用事业特许经营管理办法》及相关法律、法规、标准和规范的要求，通过公开招标方式选取投资运营商，确定（供应商名称，以下称“乙方”）为本项目的投资运营商，负责本项目的全额投资建设及运营管理。现甲、乙双方就 </w:t>
      </w:r>
      <w:r>
        <w:rPr>
          <w:rFonts w:hint="eastAsia" w:ascii="宋体" w:hAnsi="宋体" w:eastAsia="宋体" w:cs="宋体"/>
          <w:color w:val="auto"/>
          <w:sz w:val="21"/>
          <w:szCs w:val="21"/>
          <w:u w:val="single"/>
          <w:lang w:eastAsia="zh-CN"/>
        </w:rPr>
        <w:t>海陵试验区智慧停车运营管理采购项目</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签订本合同（下称“本合同”）。</w:t>
      </w:r>
    </w:p>
    <w:p>
      <w:pPr>
        <w:keepNext w:val="0"/>
        <w:keepLines w:val="0"/>
        <w:pageBreakBefore w:val="0"/>
        <w:kinsoku/>
        <w:wordWrap/>
        <w:topLinePunct w:val="0"/>
        <w:bidi w:val="0"/>
        <w:snapToGrid/>
        <w:spacing w:line="460" w:lineRule="exact"/>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 xml:space="preserve">第一章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总则</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第一条 术语定义和解释</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 xml:space="preserve"> 合同中下述用词及用语将具有本条所指定的含义：</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rPr>
        <w:t xml:space="preserve">）“甲方”： </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rPr>
        <w:t>）“乙方”：</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）“本合同”：指甲方与乙方之间签订的</w:t>
      </w:r>
      <w:r>
        <w:rPr>
          <w:rFonts w:hint="eastAsia" w:ascii="宋体" w:hAnsi="宋体" w:eastAsia="宋体" w:cs="宋体"/>
          <w:color w:val="auto"/>
          <w:sz w:val="21"/>
          <w:szCs w:val="21"/>
          <w:u w:val="single"/>
          <w:lang w:eastAsia="zh-CN"/>
        </w:rPr>
        <w:t>海陵试验区智慧停车运营管理采购项目协议</w:t>
      </w:r>
      <w:r>
        <w:rPr>
          <w:rFonts w:hint="eastAsia" w:ascii="宋体" w:hAnsi="宋体" w:eastAsia="宋体" w:cs="宋体"/>
          <w:color w:val="auto"/>
          <w:sz w:val="21"/>
          <w:szCs w:val="21"/>
          <w:lang w:eastAsia="zh-CN"/>
        </w:rPr>
        <w:t>。</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建设-运营-移交”：即国际上通用的项目投资建设管理模式，即项目的实施机构将项目授予另一方，由另一方负责项目的设计、投资、建设、在一定的年限内经营管理、收回投资和获得回报，并在运营期满后将项目无偿归还给实施机构的模式。</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）“本项目”：指上述项目设计、投资、建设、运营、维护、移交的</w:t>
      </w:r>
      <w:r>
        <w:rPr>
          <w:rFonts w:hint="eastAsia" w:ascii="宋体" w:hAnsi="宋体" w:eastAsia="宋体" w:cs="宋体"/>
          <w:color w:val="auto"/>
          <w:sz w:val="21"/>
          <w:szCs w:val="21"/>
          <w:u w:val="single"/>
          <w:lang w:eastAsia="zh-CN"/>
        </w:rPr>
        <w:t>海陵试验区智慧停车运营管理采购项目</w:t>
      </w:r>
      <w:r>
        <w:rPr>
          <w:rFonts w:hint="eastAsia" w:ascii="宋体" w:hAnsi="宋体" w:eastAsia="宋体" w:cs="宋体"/>
          <w:color w:val="auto"/>
          <w:sz w:val="21"/>
          <w:szCs w:val="21"/>
          <w:lang w:eastAsia="zh-CN"/>
        </w:rPr>
        <w:t>。</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eastAsia="zh-CN"/>
        </w:rPr>
        <w:t>）“项目公司”：指由乙方在阳江市海陵岛经济开发试验区组建的负责本项目投融资、设计、建设、运营和维护的公司。本合同中乙方的相关权利义务关系由相应的项目公司承继。</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七</w:t>
      </w:r>
      <w:r>
        <w:rPr>
          <w:rFonts w:hint="eastAsia" w:ascii="宋体" w:hAnsi="宋体" w:eastAsia="宋体" w:cs="宋体"/>
          <w:color w:val="auto"/>
          <w:sz w:val="21"/>
          <w:szCs w:val="21"/>
          <w:lang w:eastAsia="zh-CN"/>
        </w:rPr>
        <w:t>）“本项目设施”：指本项目所涉及的停车场、路内停车位的相关设施。</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八</w:t>
      </w:r>
      <w:r>
        <w:rPr>
          <w:rFonts w:hint="eastAsia" w:ascii="宋体" w:hAnsi="宋体" w:eastAsia="宋体" w:cs="宋体"/>
          <w:color w:val="auto"/>
          <w:sz w:val="21"/>
          <w:szCs w:val="21"/>
          <w:lang w:eastAsia="zh-CN"/>
        </w:rPr>
        <w:t>）“运营期”：指本项目从签订合同之日起，到本项目运营结束后移交给甲方之日止。</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九</w:t>
      </w:r>
      <w:r>
        <w:rPr>
          <w:rFonts w:hint="eastAsia" w:ascii="宋体" w:hAnsi="宋体" w:eastAsia="宋体" w:cs="宋体"/>
          <w:color w:val="auto"/>
          <w:sz w:val="21"/>
          <w:szCs w:val="21"/>
          <w:lang w:eastAsia="zh-CN"/>
        </w:rPr>
        <w:t>）“本项目经营权”：指甲方根据本合同的规定，授予乙方及项目公司设计、投资、建设、运营及维护本项目以及与该项目有关的附属设施的权利。</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十</w:t>
      </w:r>
      <w:r>
        <w:rPr>
          <w:rFonts w:hint="eastAsia" w:ascii="宋体" w:hAnsi="宋体" w:eastAsia="宋体" w:cs="宋体"/>
          <w:color w:val="auto"/>
          <w:sz w:val="21"/>
          <w:szCs w:val="21"/>
          <w:lang w:eastAsia="zh-CN"/>
        </w:rPr>
        <w:t>）“适用法律”：指所有适用的中国法律、法规、规章、地方法规和政府部门颁布的所有适用的技术标准、技术规范以及所有其他适用的强制性要求，及其有效的修改、更新或补充。</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十一</w:t>
      </w:r>
      <w:r>
        <w:rPr>
          <w:rFonts w:hint="eastAsia" w:ascii="宋体" w:hAnsi="宋体" w:eastAsia="宋体" w:cs="宋体"/>
          <w:color w:val="auto"/>
          <w:sz w:val="21"/>
          <w:szCs w:val="21"/>
          <w:lang w:eastAsia="zh-CN"/>
        </w:rPr>
        <w:t>）“工程设备”：指本合同中规定的、由乙方或项目公司采购的临时构成或永久构成本项目产出中之一部分所需要的设备、设施、仪器仪表等。</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十二</w:t>
      </w:r>
      <w:r>
        <w:rPr>
          <w:rFonts w:hint="eastAsia" w:ascii="宋体" w:hAnsi="宋体" w:eastAsia="宋体" w:cs="宋体"/>
          <w:color w:val="auto"/>
          <w:sz w:val="21"/>
          <w:szCs w:val="21"/>
          <w:lang w:eastAsia="zh-CN"/>
        </w:rPr>
        <w:t>）“违约”：指本合同签约任何一方未能履行其在本合同项下的任何义务，而且该违约行为不能归咎于另一方违反本合同的作为或不作为或不可抗力等。</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十三</w:t>
      </w:r>
      <w:r>
        <w:rPr>
          <w:rFonts w:hint="eastAsia" w:ascii="宋体" w:hAnsi="宋体" w:eastAsia="宋体" w:cs="宋体"/>
          <w:color w:val="auto"/>
          <w:sz w:val="21"/>
          <w:szCs w:val="21"/>
          <w:lang w:eastAsia="zh-CN"/>
        </w:rPr>
        <w:t>）“不可抗力”：自然灾害、政府原因或法律政策变化等不可抗力因素。</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十四</w:t>
      </w:r>
      <w:r>
        <w:rPr>
          <w:rFonts w:hint="eastAsia" w:ascii="宋体" w:hAnsi="宋体" w:eastAsia="宋体" w:cs="宋体"/>
          <w:color w:val="auto"/>
          <w:sz w:val="21"/>
          <w:szCs w:val="21"/>
          <w:lang w:eastAsia="zh-CN"/>
        </w:rPr>
        <w:t>）“政府部门”：指</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国务院及其下属的部、委、局、署，或具有中央政府行政管理功能的其他行政实体；</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eastAsia="zh-CN"/>
        </w:rPr>
        <w:t>阳江市海陵岛经济开发试验区</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lang w:eastAsia="zh-CN"/>
        </w:rPr>
        <w:t>及其下辖政府职能部门；</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在合同中，无论何处及由任何人发出或颁发任何通知、同意、认可、批准、证明或决定，除另有说明外，均指书面文件；对于任何此类文件，双方都不得无故扣押或拖延，收件方应在回执上签署姓名和收件时间。</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释义</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在本合同中，除非另有明确规定，下述词语的释义如下：</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）“日”、“月”、“年”均指公历的日、月、年；</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）“一方”按适用情况分别指甲方或乙方，包括其继让者和获准的受让人；“双方”指甲方和乙方，包括其继让者和获准的受让人；</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）除非上下文另有所指，“元”指人民币元；</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四</w:t>
      </w:r>
      <w:r>
        <w:rPr>
          <w:rFonts w:hint="eastAsia" w:ascii="宋体" w:hAnsi="宋体" w:eastAsia="宋体" w:cs="宋体"/>
          <w:color w:val="auto"/>
          <w:sz w:val="21"/>
          <w:szCs w:val="21"/>
        </w:rPr>
        <w:t>）“包括”指包括但不限于；</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）若规定支付任何款项或提交任何书面材料之日不是工作日，则应在该等日期后的第一个工作日支付或提交；</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eastAsia="zh-CN"/>
        </w:rPr>
        <w:t>）任何章、条款、段、附表或附件指本合同的章、条款、段、附表或附件。</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第二条 合同背景和目的</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为了促进市政公用事业健康发展，规范公用事业经营活动，通过公开招标方式选取投资商，由乙方负责本项目的全额投资及建设。</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第三条 声明和保证</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甲方的声明和保证。甲方受</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的授权，在此声明：</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甲方完全有权签署本合同，并有能力履行本合同项下的义务。</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）本合同一经签订，即对甲方具有完全的法律约束力，签订和履行本合同不会导致甲方违反对其具有的约束力的任何法律、法规和合同文件的规定，或者与之有利益冲突。</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）不存在任何和本项目有关的由甲方作为一方签署、并可能对本项目产生重大不利影响的合同。</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）为确保本合同的实施，而应由甲方取得的审批文件或授权，甲方应积极申请取得或协助乙方取得。</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乙方的声明和保证。乙方在此声明：</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）乙方是依据中国法律正式成立的企业法人，具有签署和履行本合同的法人资格。</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）本合同一经签订即对乙方具有完全的法律约束力，签订和履行本合同不会导致乙方违反对其具有约束力的任何法律、法规和合同文件的规定，或者与之有利益冲突。</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）乙方在签署本合同前，不存在任何和本项目有关的由乙方作为一方签署、并可能对本项目或甲方产生重大不利影响的合同。</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）乙方具备相应的技术能力及运营能力，实施本项目并履行其在本合同下的每一项义务。</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第四条 合同的生效条件</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本合同经甲乙双方签字盖章生效后,即可视为甲方已经授予本项目经营权给乙方。</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第五条 合同构成及优先次序</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构成合同的文件应是相互说明和相互补充的，如果合同文件之间出现歧义、矛盾或明显错误时，其优先解释顺序如下：</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）本合同</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）《补充合同》（如有）；</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）中标通知书；</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）投标书及附件；</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）招标文件；</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eastAsia="zh-CN"/>
        </w:rPr>
        <w:t>）政府或其相关部门批准实施本项目的相关文件；</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七</w:t>
      </w:r>
      <w:r>
        <w:rPr>
          <w:rFonts w:hint="eastAsia" w:ascii="宋体" w:hAnsi="宋体" w:eastAsia="宋体" w:cs="宋体"/>
          <w:color w:val="auto"/>
          <w:sz w:val="21"/>
          <w:szCs w:val="21"/>
          <w:lang w:eastAsia="zh-CN"/>
        </w:rPr>
        <w:t>）其他按规定应作为本合同的组成部分的附件。</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合同的任何一部分若出现字或字符错排、增添、遗漏或文字矛盾或歧义，均不应改变合同作为一个整体所本应赋予它的含义。</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本合同各标题仅为方便起见而加入，不能用于解释本合同效力或任何条款。</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原则上后期签订的其他合同，不违背本项目招标文件与本合同精神。</w:t>
      </w:r>
    </w:p>
    <w:p>
      <w:pPr>
        <w:keepNext w:val="0"/>
        <w:keepLines w:val="0"/>
        <w:pageBreakBefore w:val="0"/>
        <w:kinsoku/>
        <w:wordWrap/>
        <w:topLinePunct w:val="0"/>
        <w:bidi w:val="0"/>
        <w:snapToGrid/>
        <w:spacing w:line="460" w:lineRule="exact"/>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 xml:space="preserve">第二章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双方的权利义务</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第六条 甲方的权利义务</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甲方在合同履行过程中拥有以下权利：</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）监督乙方的建设进度和质量。</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）做好项目施工外部环境协调工程，督促乙方抓好现场安全文明施工管理。</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）监督乙方履行经营合同规定的义务；</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）受理公众对乙方的投诉；</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）监督检查乙方提供的服务质量；</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eastAsia="zh-CN"/>
        </w:rPr>
        <w:t>）如果发生乙方违约的情况，要求乙方纠正违约、向乙方收取违约金、特许经营协议提前终止（向乙方发出特许经营协议提前终止通知）或采取其他措施维护甲方权益。</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七</w:t>
      </w:r>
      <w:r>
        <w:rPr>
          <w:rFonts w:hint="eastAsia" w:ascii="宋体" w:hAnsi="宋体" w:eastAsia="宋体" w:cs="宋体"/>
          <w:color w:val="auto"/>
          <w:sz w:val="21"/>
          <w:szCs w:val="21"/>
          <w:lang w:eastAsia="zh-CN"/>
        </w:rPr>
        <w:t>）在特许经营期期满后，无偿获得乙方移交的约定部分设施及相关权益。</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八</w:t>
      </w:r>
      <w:r>
        <w:rPr>
          <w:rFonts w:hint="eastAsia" w:ascii="宋体" w:hAnsi="宋体" w:eastAsia="宋体" w:cs="宋体"/>
          <w:color w:val="auto"/>
          <w:sz w:val="21"/>
          <w:szCs w:val="21"/>
          <w:lang w:eastAsia="zh-CN"/>
        </w:rPr>
        <w:t>）在发生本协议约定的乙方严重违约或发生紧急事件时，甲方或政府指定机构有权利（但不得被要求）介入，接管乙方运营管理和维护项目设施。</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九</w:t>
      </w:r>
      <w:r>
        <w:rPr>
          <w:rFonts w:hint="eastAsia" w:ascii="宋体" w:hAnsi="宋体" w:eastAsia="宋体" w:cs="宋体"/>
          <w:color w:val="auto"/>
          <w:sz w:val="21"/>
          <w:szCs w:val="21"/>
          <w:lang w:eastAsia="zh-CN"/>
        </w:rPr>
        <w:t>）在特许经营期内，如乙方违反或拒绝履行本协议下规定的义务，甲方可依据本协议的相关规定兑取该项目建设履约保函的相应金额。</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十</w:t>
      </w:r>
      <w:r>
        <w:rPr>
          <w:rFonts w:hint="eastAsia" w:ascii="宋体" w:hAnsi="宋体" w:eastAsia="宋体" w:cs="宋体"/>
          <w:color w:val="auto"/>
          <w:sz w:val="21"/>
          <w:szCs w:val="21"/>
          <w:lang w:eastAsia="zh-CN"/>
        </w:rPr>
        <w:t>）法律、法规和规章规定的其他职责。</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在运营期间，甲方应在乙方所需的水、电、气等基础条件手续办理和现场施工管理上提供相应的支持。</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甲方应按照法律法规，在其权限和管辖范围内协助乙方及时获得设立项目公司以及项目公司进行项目建设、运营、维护及管理所必需的批文。</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甲方保证按本合同的规定授予乙方的本项目经营权具有独占性，即甲方不得将本项目的经营权全部或部分地授予第三方，或就本项目停车场及停车场经营权以租赁、质押、承包、托管等任何方式与任何第三方开展合作、提供担保或设置其他权利（乙方事先违约的除外），否则视为严重违约，必须向乙方赔偿直接及间接损失。</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协助乙方办理项目公司经营授权许可。平台、系统以及硬件设备安装完成后，具备收费条件，允许项目公司试运营并进行收费。</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eastAsia="zh-CN"/>
        </w:rPr>
        <w:t>甲方通过政府官网、政府公众号、广播电台等宣传途径，协助乙方向阳江市海陵岛经济开发试验区居民进行智慧停车收费宣传（宣传内容：智慧停车政策、收费必要性、收费目的、智慧停车改造宣传、停车收费通知）。</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七、</w:t>
      </w:r>
      <w:r>
        <w:rPr>
          <w:rFonts w:hint="eastAsia" w:ascii="宋体" w:hAnsi="宋体" w:eastAsia="宋体" w:cs="宋体"/>
          <w:color w:val="auto"/>
          <w:sz w:val="21"/>
          <w:szCs w:val="21"/>
          <w:lang w:eastAsia="zh-CN"/>
        </w:rPr>
        <w:t>甲方负责组织协调政府相关部门协助乙方开展建设、运营相关工作，保证乙方依法享有独立的经营自主权，并积极落实乙方应享受的有关优惠政策。</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第七条 乙方的权利义务</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乙方在本合同签订后</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none"/>
          <w:lang w:eastAsia="zh-CN"/>
        </w:rPr>
        <w:t>日</w:t>
      </w:r>
      <w:r>
        <w:rPr>
          <w:rFonts w:hint="eastAsia" w:ascii="宋体" w:hAnsi="宋体" w:eastAsia="宋体" w:cs="宋体"/>
          <w:color w:val="auto"/>
          <w:sz w:val="21"/>
          <w:szCs w:val="21"/>
          <w:lang w:eastAsia="zh-CN"/>
        </w:rPr>
        <w:t>内应依法在阳江市海陵岛经济开发试验区组建项目公司，负责项目公司的投融资、建设及运营。</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乙方应遵守国家及地方的有关法律、法规、规章、规范性文件及与本项目有关的建设、运营、维护的规定。</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乙方有权对私自拆、改、破坏项目设施影响乙方设施正常运行的行为进行合法维权。</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乙方负责与政府或相关部门工作对接、沟通、运营期间停车项目的收费经营推广等工作，并承担提供给阳江市海陵岛经济开发试验区官方媒体宣传所需资料和素材的相关费用，所提供的资料素材由媒体单位统一整理发布。</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在运营期限内，甲方授权乙方对路内临时停车位及公共停车场进行停车收费和管理，在不影响停车服务和市容管理的前提下在公共停车场内开展如设置充电桩等停车衍生的便服务；获取的停车脱敏数据开发和运营等，并取得收益，乙方不得改变停车场用途。合同期满后，在同等条件下，乙方享有继续经营的优先权。</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eastAsia="zh-CN"/>
        </w:rPr>
        <w:t>乙方可根据实际情况，按照相关规定对路内临时停车位进行相应的调整，报请甲方同意后，由乙方实施。</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七、</w:t>
      </w:r>
      <w:r>
        <w:rPr>
          <w:rFonts w:hint="eastAsia" w:ascii="宋体" w:hAnsi="宋体" w:eastAsia="宋体" w:cs="宋体"/>
          <w:color w:val="auto"/>
          <w:sz w:val="21"/>
          <w:szCs w:val="21"/>
          <w:lang w:eastAsia="zh-CN"/>
        </w:rPr>
        <w:t>乙方在项目运营期间，出现物价上涨等因素导致运营成本增加的，乙方及项目公司有权向甲方及政府相关部门提出调价的建议。</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八、</w:t>
      </w:r>
      <w:r>
        <w:rPr>
          <w:rFonts w:hint="eastAsia" w:ascii="宋体" w:hAnsi="宋体" w:eastAsia="宋体" w:cs="宋体"/>
          <w:color w:val="auto"/>
          <w:sz w:val="21"/>
          <w:szCs w:val="21"/>
          <w:lang w:eastAsia="zh-CN"/>
        </w:rPr>
        <w:t>在委托运营期限内，乙方应接受甲方的监督、检查、指导。</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九、</w:t>
      </w:r>
      <w:r>
        <w:rPr>
          <w:rFonts w:hint="eastAsia" w:ascii="宋体" w:hAnsi="宋体" w:eastAsia="宋体" w:cs="宋体"/>
          <w:color w:val="auto"/>
          <w:sz w:val="21"/>
          <w:szCs w:val="21"/>
          <w:lang w:eastAsia="zh-CN"/>
        </w:rPr>
        <w:t>乙方在项目实施过程中的施工及其他行为，需要进行行政审批或备案的，须按照相应程序完成审批或备案后方可进行，甲方予以积极协助。乙方在项目实施前，将项目勘察设计、监理等单位的选定方案报甲方批准后实施，并将与勘察设计、监理等单位签订的合同报甲方备案，实施过程中接受甲方监督。</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十、</w:t>
      </w:r>
      <w:r>
        <w:rPr>
          <w:rFonts w:hint="eastAsia" w:ascii="宋体" w:hAnsi="宋体" w:eastAsia="宋体" w:cs="宋体"/>
          <w:color w:val="auto"/>
          <w:sz w:val="21"/>
          <w:szCs w:val="21"/>
          <w:lang w:eastAsia="zh-CN"/>
        </w:rPr>
        <w:t>乙方在经营过程中应制定停车场（位）管理细则，依法依规制定和落实好安全管理规范，组织管理人员岗位培训，完善车辆登记资料，收费标准上公示牌公示，规范收费程序，建立收费档案。</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十一、</w:t>
      </w:r>
      <w:r>
        <w:rPr>
          <w:rFonts w:hint="eastAsia" w:ascii="宋体" w:hAnsi="宋体" w:eastAsia="宋体" w:cs="宋体"/>
          <w:color w:val="auto"/>
          <w:sz w:val="21"/>
          <w:szCs w:val="21"/>
          <w:lang w:eastAsia="zh-CN"/>
        </w:rPr>
        <w:t>乙方经营管理过程中，因城区建设或管理需要导致路内临时停车位急剧减少或无法实施收费的，应及时告知甲方，经双方协商后，可按实际减少的车位数比例减少相应管理服务费。</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十二、</w:t>
      </w:r>
      <w:r>
        <w:rPr>
          <w:rFonts w:hint="eastAsia" w:ascii="宋体" w:hAnsi="宋体" w:eastAsia="宋体" w:cs="宋体"/>
          <w:color w:val="auto"/>
          <w:sz w:val="21"/>
          <w:szCs w:val="21"/>
          <w:lang w:eastAsia="zh-CN"/>
        </w:rPr>
        <w:t>运营期间内，在保证系统功能正常使用的情况下，乙方可自行选择适宜的设备进行替代升级并保持系统的先进性。</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十三、</w:t>
      </w:r>
      <w:r>
        <w:rPr>
          <w:rFonts w:hint="eastAsia" w:ascii="宋体" w:hAnsi="宋体" w:eastAsia="宋体" w:cs="宋体"/>
          <w:color w:val="auto"/>
          <w:sz w:val="21"/>
          <w:szCs w:val="21"/>
          <w:lang w:eastAsia="zh-CN"/>
        </w:rPr>
        <w:t>乙方在施工及后期运营期间，因管理和经营产生的人事纠纷和其他民事纠纷，以及违反相关行政管理规定造成的纠纷，由乙方自行负责解决，并承担全部法律责任。</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十四、</w:t>
      </w:r>
      <w:r>
        <w:rPr>
          <w:rFonts w:hint="eastAsia" w:ascii="宋体" w:hAnsi="宋体" w:eastAsia="宋体" w:cs="宋体"/>
          <w:color w:val="auto"/>
          <w:sz w:val="21"/>
          <w:szCs w:val="21"/>
          <w:lang w:eastAsia="zh-CN"/>
        </w:rPr>
        <w:t>在运营期内，乙方必须遵守国家和省、市及区政府的各项法规政策，自行承担费用、责任和风险，管理、运营和维护本项目设施，依法经营，认真履行经营管理责任，应确保符合相关技术标准。运营期内未经甲方同意，乙方不得擅自决定中断项目设施运营和维护、解散、歇业。</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十五、</w:t>
      </w:r>
      <w:r>
        <w:rPr>
          <w:rFonts w:hint="eastAsia" w:ascii="宋体" w:hAnsi="宋体" w:eastAsia="宋体" w:cs="宋体"/>
          <w:color w:val="auto"/>
          <w:sz w:val="21"/>
          <w:szCs w:val="21"/>
          <w:lang w:eastAsia="zh-CN"/>
        </w:rPr>
        <w:t>执行因甲方要求或法律变更导致的项目建设、运营规定和办法的变更。</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十六、</w:t>
      </w:r>
      <w:r>
        <w:rPr>
          <w:rFonts w:hint="eastAsia" w:ascii="宋体" w:hAnsi="宋体" w:eastAsia="宋体" w:cs="宋体"/>
          <w:color w:val="auto"/>
          <w:sz w:val="21"/>
          <w:szCs w:val="21"/>
          <w:lang w:eastAsia="zh-CN"/>
        </w:rPr>
        <w:t>非经甲方同意，不得将收费权转让给第三方，不得将乙方在本协议项下的权利和利益及之上设置担保权益。</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十七、</w:t>
      </w:r>
      <w:r>
        <w:rPr>
          <w:rFonts w:hint="eastAsia" w:ascii="宋体" w:hAnsi="宋体" w:eastAsia="宋体" w:cs="宋体"/>
          <w:color w:val="auto"/>
          <w:sz w:val="21"/>
          <w:szCs w:val="21"/>
          <w:lang w:eastAsia="zh-CN"/>
        </w:rPr>
        <w:t>在项目特许经营期期满后，乙方按照本协议约定将项目设施完好无偿移交给甲方或政府指定机构，保证项目设施处于良好可使用状态，且其拥有的项目设施上未设有任何抵押、质押等担保权益或产权约束，亦不得存在任何种类和性质的索赔权。此外，乙方应行使法律、法规、当地政府的政策和文件、及本协议赋予的其他权利并履行规定的其他义务。</w:t>
      </w:r>
    </w:p>
    <w:p>
      <w:pPr>
        <w:keepNext w:val="0"/>
        <w:keepLines w:val="0"/>
        <w:pageBreakBefore w:val="0"/>
        <w:kinsoku/>
        <w:wordWrap/>
        <w:topLinePunct w:val="0"/>
        <w:bidi w:val="0"/>
        <w:snapToGrid/>
        <w:spacing w:line="460" w:lineRule="exact"/>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 xml:space="preserve">第三章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经营范围、期限及管理服务费</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第八条 经营范围</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u w:val="single"/>
          <w:lang w:val="en-US"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经营范围：</w:t>
      </w:r>
      <w:r>
        <w:rPr>
          <w:rFonts w:hint="eastAsia" w:ascii="宋体" w:hAnsi="宋体" w:eastAsia="宋体" w:cs="宋体"/>
          <w:color w:val="auto"/>
          <w:sz w:val="21"/>
          <w:szCs w:val="21"/>
          <w:u w:val="single"/>
          <w:lang w:val="en-US" w:eastAsia="zh-CN"/>
        </w:rPr>
        <w:t xml:space="preserve">                </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u w:val="single"/>
          <w:lang w:val="en-US"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注册资本：</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w:t>
      </w:r>
      <w:r>
        <w:rPr>
          <w:rFonts w:hint="eastAsia" w:ascii="宋体" w:hAnsi="宋体" w:eastAsia="宋体" w:cs="宋体"/>
          <w:color w:val="auto"/>
          <w:sz w:val="21"/>
          <w:szCs w:val="21"/>
          <w:lang w:eastAsia="zh-CN"/>
        </w:rPr>
        <w:t>股东出资方式：</w:t>
      </w:r>
      <w:r>
        <w:rPr>
          <w:rFonts w:hint="eastAsia" w:ascii="宋体" w:hAnsi="宋体" w:eastAsia="宋体" w:cs="宋体"/>
          <w:color w:val="auto"/>
          <w:sz w:val="21"/>
          <w:szCs w:val="21"/>
          <w:u w:val="single"/>
          <w:lang w:val="en-US" w:eastAsia="zh-CN"/>
        </w:rPr>
        <w:t xml:space="preserve">            </w:t>
      </w:r>
    </w:p>
    <w:p>
      <w:pPr>
        <w:keepNext w:val="0"/>
        <w:keepLines w:val="0"/>
        <w:pageBreakBefore w:val="0"/>
        <w:kinsoku/>
        <w:wordWrap/>
        <w:topLinePunct w:val="0"/>
        <w:bidi w:val="0"/>
        <w:snapToGrid/>
        <w:spacing w:line="460" w:lineRule="exact"/>
        <w:ind w:firstLine="420" w:firstLineChars="200"/>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出资比例：</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w:t>
      </w:r>
      <w:r>
        <w:rPr>
          <w:rFonts w:hint="eastAsia" w:ascii="宋体" w:hAnsi="宋体" w:eastAsia="宋体" w:cs="宋体"/>
          <w:color w:val="auto"/>
          <w:sz w:val="21"/>
          <w:szCs w:val="21"/>
          <w:lang w:eastAsia="zh-CN"/>
        </w:rPr>
        <w:t>股权转让：</w:t>
      </w:r>
      <w:r>
        <w:rPr>
          <w:rFonts w:hint="eastAsia" w:ascii="宋体" w:hAnsi="宋体" w:eastAsia="宋体" w:cs="宋体"/>
          <w:color w:val="auto"/>
          <w:sz w:val="21"/>
          <w:szCs w:val="21"/>
          <w:u w:val="single"/>
          <w:lang w:val="en-US" w:eastAsia="zh-CN"/>
        </w:rPr>
        <w:t xml:space="preserve">                </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项目地点：</w:t>
      </w:r>
      <w:r>
        <w:rPr>
          <w:rFonts w:hint="eastAsia" w:ascii="宋体" w:hAnsi="宋体" w:eastAsia="宋体" w:cs="宋体"/>
          <w:color w:val="auto"/>
          <w:sz w:val="21"/>
          <w:szCs w:val="21"/>
          <w:u w:val="single"/>
          <w:lang w:val="en-US" w:eastAsia="zh-CN"/>
        </w:rPr>
        <w:t xml:space="preserve">                </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u w:val="single"/>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项目主要建设内容：</w:t>
      </w:r>
      <w:r>
        <w:rPr>
          <w:rFonts w:hint="eastAsia" w:ascii="宋体" w:hAnsi="宋体" w:eastAsia="宋体" w:cs="宋体"/>
          <w:color w:val="auto"/>
          <w:sz w:val="21"/>
          <w:szCs w:val="21"/>
          <w:u w:val="single"/>
          <w:lang w:val="en-US" w:eastAsia="zh-CN"/>
        </w:rPr>
        <w:t xml:space="preserve">                </w:t>
      </w:r>
    </w:p>
    <w:p>
      <w:pPr>
        <w:keepNext w:val="0"/>
        <w:keepLines w:val="0"/>
        <w:pageBreakBefore w:val="0"/>
        <w:kinsoku/>
        <w:wordWrap/>
        <w:topLinePunct w:val="0"/>
        <w:bidi w:val="0"/>
        <w:snapToGrid/>
        <w:spacing w:line="460" w:lineRule="exact"/>
        <w:ind w:firstLine="42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本项目由中标人或其指定的下属公司成立的项目运营公司投资建设和运营。特许经营期</w:t>
      </w:r>
    </w:p>
    <w:p>
      <w:pPr>
        <w:keepNext w:val="0"/>
        <w:keepLines w:val="0"/>
        <w:pageBreakBefore w:val="0"/>
        <w:kinsoku/>
        <w:wordWrap/>
        <w:topLinePunct w:val="0"/>
        <w:bidi w:val="0"/>
        <w:snapToGrid/>
        <w:spacing w:line="460" w:lineRule="exact"/>
        <w:rPr>
          <w:rFonts w:ascii="宋体" w:hAnsi="宋体" w:eastAsia="宋体" w:cs="宋体"/>
          <w:color w:val="auto"/>
          <w:sz w:val="21"/>
          <w:szCs w:val="21"/>
          <w:lang w:eastAsia="zh-CN"/>
        </w:rPr>
      </w:pPr>
      <w:r>
        <w:rPr>
          <w:rFonts w:hint="eastAsia" w:ascii="宋体" w:hAnsi="宋体" w:eastAsia="宋体" w:cs="宋体"/>
          <w:color w:val="auto"/>
          <w:sz w:val="21"/>
          <w:szCs w:val="21"/>
          <w:u w:val="single"/>
          <w:lang w:eastAsia="zh-CN"/>
        </w:rPr>
        <w:t xml:space="preserve">限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lang w:eastAsia="zh-CN"/>
        </w:rPr>
        <w:t>年（其中建设期</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lang w:eastAsia="zh-CN"/>
        </w:rPr>
        <w:t>年，运营期</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lang w:eastAsia="zh-CN"/>
        </w:rPr>
        <w:t>年）</w:t>
      </w:r>
      <w:r>
        <w:rPr>
          <w:rFonts w:hint="eastAsia" w:ascii="宋体" w:hAnsi="宋体" w:eastAsia="宋体" w:cs="宋体"/>
          <w:color w:val="auto"/>
          <w:sz w:val="21"/>
          <w:szCs w:val="21"/>
          <w:lang w:eastAsia="zh-CN"/>
        </w:rPr>
        <w:t>，合同经营期限届满时，投资建设的所有资产及设施设备经检测完好后无偿归甲方所有。</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甲方提供的条件</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甲方授予乙方实施项目设计、投资、建设、运营和维护本项目的经营权，乙方通过组建项目公司实施经营项目。</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合作期内，本项目土地由政府批准提供使用权；</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合作期内，为提高项目实施效率及正常运营，甲方在合法合规的前提下为乙方提供必要的协助工作。</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合作期内，甲方可协助乙方在合法合规的前提下，最大限度获得政策优惠。</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经营权的内容</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按照本合同的规定，甲方授予乙方的经营权的内容为：</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 xml:space="preserve">在运营期内，对停车场、路边停车位及相关配套设施进行设计、投融资、建设、运营和维护的权利。 </w:t>
      </w:r>
    </w:p>
    <w:p>
      <w:pPr>
        <w:keepNext w:val="0"/>
        <w:keepLines w:val="0"/>
        <w:pageBreakBefore w:val="0"/>
        <w:kinsoku/>
        <w:wordWrap/>
        <w:topLinePunct w:val="0"/>
        <w:bidi w:val="0"/>
        <w:snapToGrid/>
        <w:spacing w:line="460" w:lineRule="exact"/>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在运营期内向停车场、路边停车位及相关配套设施的使用者收取使用费或其他有偿使用费用（如停车费、财政补贴收入（如有）等服务费）。收费标准由政府制定后执行。</w:t>
      </w:r>
      <w:r>
        <w:rPr>
          <w:rFonts w:hint="eastAsia" w:ascii="宋体" w:hAnsi="宋体" w:cs="宋体"/>
          <w:color w:val="auto"/>
          <w:sz w:val="21"/>
          <w:szCs w:val="21"/>
          <w:lang w:val="en-US" w:eastAsia="zh-CN"/>
        </w:rPr>
        <w:t xml:space="preserve">  </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运营期限满后，按照本合同的约定，无偿将本项目全部资产、设施和经营权移交给甲方。</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经甲方批准的其他经营活动。</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项目资产权属</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本项目土地使用权归属于甲方或政府方指定机构。在运营期内，乙方使用本项目用地。</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乙方在项目运营期内投资建设形成的项目资产，在运营期限内归乙方所有；运营期限满后将所有权移交给甲方。</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在运营期内甲方或政府授权的其他第三方根据重大国家政策规定需对停车场进行征收、征用或进行其他处分，乙方须服从，同时由征用拆迁方按照乙方投资残值补偿。</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运营期限届满后，甲方无偿收回该公共停车场项目资产经营权及资产设备所有权。经营权及资产设备所有权移交给甲方的日期为经营权合同履行期限届满之日。</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五</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甲方应积极协助乙方进行融资，提供融资过程中应由政府方提供的相关合规性资料。</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政府管理服务费</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乙方应在每个运营年度结束后</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个工作日内上报该年度停车费收费明细资料，甲方委托具备相应资质的第三方对上报的资料进行审核，审核完成后向乙方出具审核报告，并在审核报告签发后</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个工作日内向乙方收取管理费，路内泊位管理费按该年度停车费流水为基数按一定比例收取，</w:t>
      </w:r>
      <w:r>
        <w:rPr>
          <w:rFonts w:hint="eastAsia" w:ascii="宋体" w:hAnsi="宋体" w:eastAsia="宋体" w:cs="宋体"/>
          <w:color w:val="auto"/>
          <w:sz w:val="21"/>
          <w:szCs w:val="21"/>
          <w:u w:val="single"/>
          <w:lang w:eastAsia="zh-CN"/>
        </w:rPr>
        <w:t>前    年（建设期   年除外）    %，第    年     %，第    年    %</w:t>
      </w:r>
      <w:r>
        <w:rPr>
          <w:rFonts w:hint="eastAsia" w:ascii="宋体" w:hAnsi="宋体" w:eastAsia="宋体" w:cs="宋体"/>
          <w:color w:val="auto"/>
          <w:sz w:val="21"/>
          <w:szCs w:val="21"/>
          <w:lang w:eastAsia="zh-CN"/>
        </w:rPr>
        <w:t>。公共停车场管理费按该年度停车费流水为基数按一定比例收取，</w:t>
      </w:r>
      <w:r>
        <w:rPr>
          <w:rFonts w:hint="eastAsia" w:ascii="宋体" w:hAnsi="宋体" w:eastAsia="宋体" w:cs="宋体"/>
          <w:color w:val="auto"/>
          <w:sz w:val="21"/>
          <w:szCs w:val="21"/>
          <w:u w:val="single"/>
          <w:lang w:eastAsia="zh-CN"/>
        </w:rPr>
        <w:t xml:space="preserve">    年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eastAsia="zh-CN"/>
        </w:rPr>
        <w:t>%，  年    %，第    年    %</w:t>
      </w:r>
      <w:r>
        <w:rPr>
          <w:rFonts w:hint="eastAsia" w:ascii="宋体" w:hAnsi="宋体" w:eastAsia="宋体" w:cs="宋体"/>
          <w:color w:val="auto"/>
          <w:sz w:val="21"/>
          <w:szCs w:val="21"/>
          <w:lang w:eastAsia="zh-CN"/>
        </w:rPr>
        <w:t>。</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第九条 运营期限</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本项目运营期限</w:t>
      </w:r>
      <w:r>
        <w:rPr>
          <w:rFonts w:hint="eastAsia" w:ascii="宋体" w:hAnsi="宋体" w:eastAsia="宋体" w:cs="宋体"/>
          <w:color w:val="auto"/>
          <w:sz w:val="21"/>
          <w:szCs w:val="21"/>
          <w:u w:val="single"/>
          <w:lang w:eastAsia="zh-CN"/>
        </w:rPr>
        <w:t>自   年  月  日起至  年  月  日止。</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拟投资</w:t>
      </w:r>
      <w:r>
        <w:rPr>
          <w:rFonts w:hint="eastAsia" w:ascii="宋体" w:hAnsi="宋体" w:eastAsia="宋体" w:cs="宋体"/>
          <w:color w:val="auto"/>
          <w:sz w:val="21"/>
          <w:szCs w:val="21"/>
          <w:u w:val="single"/>
          <w:lang w:eastAsia="zh-CN"/>
        </w:rPr>
        <w:t xml:space="preserve">      万元</w:t>
      </w:r>
      <w:r>
        <w:rPr>
          <w:rFonts w:hint="eastAsia" w:ascii="宋体" w:hAnsi="宋体" w:eastAsia="宋体" w:cs="宋体"/>
          <w:color w:val="auto"/>
          <w:sz w:val="21"/>
          <w:szCs w:val="21"/>
          <w:lang w:eastAsia="zh-CN"/>
        </w:rPr>
        <w:t>。</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在运营期内如因城市建设与管理需要增加停车位，甲方将新增车位交由乙方负责安装相关监控设施、电子收费设施，并交给乙方进行经营管理，每个经营停车位按照同期管理费标准向甲方增加缴纳管理费。新增道路停车泊位和公共停车场等停车资源的运营期限自该具体新增项目正式投入停车场建设开工之日起算，运营期限满为止。</w:t>
      </w:r>
    </w:p>
    <w:p>
      <w:pPr>
        <w:keepNext w:val="0"/>
        <w:keepLines w:val="0"/>
        <w:pageBreakBefore w:val="0"/>
        <w:kinsoku/>
        <w:wordWrap/>
        <w:topLinePunct w:val="0"/>
        <w:bidi w:val="0"/>
        <w:snapToGrid/>
        <w:spacing w:line="460" w:lineRule="exact"/>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 xml:space="preserve">第四章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项目建设</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第十条 审批事项和质量安全</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在本项目运营期内，甲方拥有进入本项目建设的权利，并有权检查、监督施工过程，乙方应积极予以配合及提供方便。</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乙方须按基本建设程序办理各种手续，甲方予以协助，所需费用由乙方承担。</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乙方在该项目建设经营过程中应加强质量和安全管理，并承担一切质量及安全责任。</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第十一条 项目设计</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由乙方委托具有相应资质、经验、能力的勘察设计单位按相应的技术规范和技术要求以及适用的法律、法规和规范进行规划设计，与勘察设计单位签订的合同须报甲方备案，由此产生的各类前期费用将纳入总投资，并由乙方承担。</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乙方设计需经相关部门审批后方可进行项目建设。</w:t>
      </w:r>
    </w:p>
    <w:p>
      <w:pPr>
        <w:keepNext w:val="0"/>
        <w:keepLines w:val="0"/>
        <w:pageBreakBefore w:val="0"/>
        <w:kinsoku/>
        <w:wordWrap/>
        <w:topLinePunct w:val="0"/>
        <w:bidi w:val="0"/>
        <w:snapToGrid/>
        <w:spacing w:line="460" w:lineRule="exact"/>
        <w:ind w:firstLine="422" w:firstLineChars="200"/>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第十二条 项目施工</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开工通知</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乙方须在接到开工令后十（10）日内，开始项目工程的施工建设。乙方正式开工建设之日为“开工日”。</w:t>
      </w:r>
    </w:p>
    <w:p>
      <w:pPr>
        <w:keepNext w:val="0"/>
        <w:keepLines w:val="0"/>
        <w:pageBreakBefore w:val="0"/>
        <w:kinsoku/>
        <w:wordWrap/>
        <w:topLinePunct w:val="0"/>
        <w:bidi w:val="0"/>
        <w:snapToGrid/>
        <w:spacing w:line="460" w:lineRule="exact"/>
        <w:ind w:firstLine="420" w:firstLineChars="200"/>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乙方的主要责任</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按照下述文件的规定和要求进行项目建设：</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所有适用的中国法律、法规、标准和批复文件；</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eastAsia="zh-CN"/>
        </w:rPr>
        <w:t>经甲方批准或准予开工的时间（前提是符合本协议及法律、法规的要求）；</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eastAsia="zh-CN"/>
        </w:rPr>
        <w:t>本协议的其他要求。</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）在其施工方法和过程中注重安全以保护生命、健康、财产和环境；</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）在施工期间采取一切合理措施减少对公众、居民和商业的干扰和不便并需达到政府的有关标准；</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）负责按适用法律的要求及时申请并获得项目工程所需要的批准，并使其保持有效，同时支付所有获得上述批准所需的费用和支出；</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）向甲方提供与工程建设相关的一切机构（承包商、施工商、设备制造商、监理公司等）和相关人员的资质文件或资格证明副本；</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eastAsia="zh-CN"/>
        </w:rPr>
        <w:t>）确保项目工程的设计和施工方案符合要求，并取得审批机关的批准；</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七</w:t>
      </w:r>
      <w:r>
        <w:rPr>
          <w:rFonts w:hint="eastAsia" w:ascii="宋体" w:hAnsi="宋体" w:eastAsia="宋体" w:cs="宋体"/>
          <w:color w:val="auto"/>
          <w:sz w:val="21"/>
          <w:szCs w:val="21"/>
          <w:lang w:eastAsia="zh-CN"/>
        </w:rPr>
        <w:t>）乙方应负责完成项目的建设，包括项目的土建施工和设备安装、调试，并承担与建设相关的全部费用；</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甲方的主要责任</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）在建设期间协调和推进乙方所有与有关政府部门相关的事宜；</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）及时获得并保持只能由甲方得到的对工程建设所要求的批准；</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）尽其所有合理的努力协助乙方获得本项目建设所须的相关批准。</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）在建设期间，甲方需协调项目建设所涉及的用水、用电及协调等事宜。</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施工单位的选择</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&lt;乙方或其一方名称&gt;具有施工资质，由其负责项目工程施工，并接受甲方和阳江市海陵岛经济开发试验区相关职能部门审核和监督。</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设备及材料的采购</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乙方自行承担本项目的设备供应，并接受甲方和阳江市海陵岛经济开发试验区相关职能部门审核和监督。</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eastAsia="zh-CN"/>
        </w:rPr>
        <w:t>施工注意事项</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）工程的质量</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乙方应保证建设工程的施工符合批准的设计、技术规范、要求和技术方案，或者如没有</w:t>
      </w:r>
    </w:p>
    <w:p>
      <w:pPr>
        <w:keepNext w:val="0"/>
        <w:keepLines w:val="0"/>
        <w:pageBreakBefore w:val="0"/>
        <w:kinsoku/>
        <w:wordWrap/>
        <w:topLinePunct w:val="0"/>
        <w:bidi w:val="0"/>
        <w:snapToGrid/>
        <w:spacing w:line="460" w:lineRule="exac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上述规定，应运用适当的工艺方式，使用新型的且保证质量的材料和设备。工程质量标准要</w:t>
      </w:r>
    </w:p>
    <w:p>
      <w:pPr>
        <w:keepNext w:val="0"/>
        <w:keepLines w:val="0"/>
        <w:pageBreakBefore w:val="0"/>
        <w:kinsoku/>
        <w:wordWrap/>
        <w:topLinePunct w:val="0"/>
        <w:bidi w:val="0"/>
        <w:snapToGrid/>
        <w:spacing w:line="460" w:lineRule="exac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求一次性验收合格。</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）质量保证和质量控制</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乙方应制定符合本协议规定的质量保证和质量控制计划。乙方应及时向甲方提供完整的有关已完成或正在进行的建设工程质量控制结果的文件。在不影响乙方本协议项下义务的情况下，甲方有权参加或检查乙方及任何施工单位和工程监理公司的质量控制过程及方法，以确保建设工程符合规定的质量要求。乙方应全力保证协助进行这类定期检查。</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）施工人员</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乙方应提供或确保施工单位提供所有必要的、具有一定技能和规定证书的人员从事建设工程。在建设工程开工之前，乙方应向甲方提交乙方和项目承包商的所有人员名单及其资格概要，以便获得甲方的批准。</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第十三条 项目监理</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乙方将根据适用法律的要求，选定有相应资质的监理公司进行项目工程施工全过程的监理，相应的监理费用由乙方承担。乙方将与监理公司签订的合同报甲方备案，监理接受甲方的监督和管理。</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第十四条 项目变更</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建设方案重大调整（包括但不限于项目范围、技术方案、设计标准、建设标准）、土地规划变更等实质性的改变建设结果的行为，视为对建设方案的变更。</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建设方案的变更须经双方达成一致并协商解决。</w:t>
      </w:r>
    </w:p>
    <w:p>
      <w:pPr>
        <w:keepNext w:val="0"/>
        <w:keepLines w:val="0"/>
        <w:pageBreakBefore w:val="0"/>
        <w:kinsoku/>
        <w:wordWrap/>
        <w:topLinePunct w:val="0"/>
        <w:bidi w:val="0"/>
        <w:snapToGrid/>
        <w:spacing w:line="460" w:lineRule="exact"/>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 xml:space="preserve">第五章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运营和服务</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第十五条 运营和服务</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乙方在本合同约定的运营期期限内应自行承担运营服务的责任和风险，管理、运营和维护项目设施，负责整个工程和全部设备的日常维护和维修，使项目设施处于良好的使用状态。</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甲方在职权范围内应负责提供包括但不限于文件、证明等手续以保证乙方充分享有本合同项下的经营权，以最大限度保证经营权的充分行使。</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运营期间，乙方负责完成运营期间的各项整改、维修、调试、试运营管理工作，以及员工的管理培训、技术培训、特殊岗位的上岗培训等工作，逐步建立起运营服务技术规范与操作规程。</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乙方有权独立行使对本项目中停车场、路边停车位及其附属设施的经营权，合法经营不受干涉。乙方有权获得合理收益，同时应自行承担运营成本，并承担运营期间的亏损风险和责任。</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eastAsia="zh-CN"/>
        </w:rPr>
        <w:t>公共停车场项目建成投用后，未经甲方及相关部门批准不得擅自改变用途。</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eastAsia="zh-CN"/>
        </w:rPr>
        <w:t>乙方有责任维护该项目所有设施，运营期满，所有设备设施应保持良好的运行状态移交至甲方。</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第十六条 项目运营管理要求</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cs="宋体"/>
          <w:b/>
          <w:bCs/>
          <w:color w:val="auto"/>
          <w:sz w:val="21"/>
          <w:szCs w:val="21"/>
          <w:lang w:val="en-US" w:eastAsia="zh-CN"/>
        </w:rPr>
        <w:t>一、</w:t>
      </w:r>
      <w:r>
        <w:rPr>
          <w:rFonts w:hint="eastAsia" w:ascii="宋体" w:hAnsi="宋体" w:eastAsia="宋体" w:cs="宋体"/>
          <w:b/>
          <w:bCs/>
          <w:color w:val="auto"/>
          <w:sz w:val="21"/>
          <w:szCs w:val="21"/>
          <w:lang w:eastAsia="zh-CN"/>
        </w:rPr>
        <w:t>通用要求</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人员及场地要求</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项目公司须在当地成立项目公司，组建专业的运营团队，实施专业化的运营管理，在项目推广、企业内部管理、车位（场）现场管理、应急措施与预案等方面应具有丰富的运营管理经验。</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2</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用工要求符合《中华人民共和国民法典》及相关规定，为所招用的工作人员根据法律法规规定办理相关的社会保险，负责工作人员的劳动保护和人身安全。</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从事停车管理的人员，必须经过岗前培训合格后上岗，必须熟知相应收费标准以及各类收费操作流程，需佩戴工作证，注意个人仪容和礼貌，有良好的职业道德和服务态度，语言、动作规范，文明值勤。</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工作配合要求</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项目公司必须遵守甲方各项管理规定，接受和服从甲方的管理及考评，及时根据甲方提出的整改意见进行整改。</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投诉处理要求</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1</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项目公司必须按招标要求做好日常停车管理工作，减少群众通过来信、来电、来访等方式的投诉。</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2</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项目公司直接或间接收到群众通过来信、来电、来访等方式的投诉，必须及时妥善处理整改，避免反复投诉。</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二</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lang w:eastAsia="zh-CN"/>
        </w:rPr>
        <w:t>运营服务规范要求</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收费管理内容及要求</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1</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项目公司须配置足够数量的巡查人员、技术人员、客服人员、管理人员及设备、设施等，确保提供专业、完善的停车运营管理服务。</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2</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项目公司须维持停车位、停车场内机动车停放和行驶秩序，禁止超高、超长、超重等可能造成公共设施损坏的车辆停放。</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项目公司负责停车用户的服务工作，除设立客服部门外，还需提供电话、邮件、网站等渠道服务用户。</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4</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停车收费标准：</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本项目合同签订后</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none"/>
          <w:lang w:eastAsia="zh-CN"/>
        </w:rPr>
        <w:t>个月</w:t>
      </w:r>
      <w:r>
        <w:rPr>
          <w:rFonts w:hint="eastAsia" w:ascii="宋体" w:hAnsi="宋体" w:eastAsia="宋体" w:cs="宋体"/>
          <w:color w:val="auto"/>
          <w:sz w:val="21"/>
          <w:szCs w:val="21"/>
          <w:lang w:eastAsia="zh-CN"/>
        </w:rPr>
        <w:t>内由政府制定停车收费标准及停车收费时间并对外公布。运营期间停车收费标准根据当地物价实施情况进行调整。</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5</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项目公司须遵守有关法律、法规和规章的规定，按停车位、停车场的规划布局情况设立标志及收费公示牌（公布经政府制定的收费标准及监督投诉电话）。</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6</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项目公司须建立各项经营管理制度，接受政府以及群众监督。</w:t>
      </w:r>
    </w:p>
    <w:p>
      <w:pPr>
        <w:keepNext w:val="0"/>
        <w:keepLines w:val="0"/>
        <w:pageBreakBefore w:val="0"/>
        <w:kinsoku/>
        <w:wordWrap/>
        <w:topLinePunct w:val="0"/>
        <w:bidi w:val="0"/>
        <w:snapToGrid/>
        <w:spacing w:line="460" w:lineRule="exact"/>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 xml:space="preserve">第六章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收入</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第十七条 项目运营收入</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本项目收入来源包括但不限于道路临时停车泊位停车服务费；公共停车场停车服务费；项目设施破坏而获得的赔偿或补偿；依据项目建设运营且经甲方批准的其他经营活动收入。</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运营期内，项目公司通过使用者付费模式实现其投资回报并获得合理利润。</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第十八条 其他收入</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甲方积极配合乙方争取国家、省市相关政策扶持资金以及各项政府补贴，计入乙方收入。</w:t>
      </w:r>
    </w:p>
    <w:p>
      <w:pPr>
        <w:keepNext w:val="0"/>
        <w:keepLines w:val="0"/>
        <w:pageBreakBefore w:val="0"/>
        <w:kinsoku/>
        <w:wordWrap/>
        <w:topLinePunct w:val="0"/>
        <w:bidi w:val="0"/>
        <w:snapToGrid/>
        <w:spacing w:line="460" w:lineRule="exact"/>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 xml:space="preserve">第七章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项目移交</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第十九条 本项目的移交</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在本项目运营期满时，乙方应将本合同所规定的移交内容移交给甲方，并且不得向甲方索取任何补偿或提出任何其他要求。</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本项目合同期满前为项目移交过渡期，在项目移交过渡期内，乙方将项目设施及相关资料无偿移交给甲方或其指定单位。</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在移交之日，甲方和乙方双方将正式签署移交清单，经双方授权代表签字或盖章后，意味着乙方对本项目经营权的结束和终止。</w:t>
      </w:r>
    </w:p>
    <w:p>
      <w:pPr>
        <w:keepNext w:val="0"/>
        <w:keepLines w:val="0"/>
        <w:pageBreakBefore w:val="0"/>
        <w:numPr>
          <w:ilvl w:val="0"/>
          <w:numId w:val="0"/>
        </w:numPr>
        <w:kinsoku/>
        <w:wordWrap/>
        <w:topLinePunct w:val="0"/>
        <w:bidi w:val="0"/>
        <w:snapToGrid/>
        <w:spacing w:line="460" w:lineRule="exact"/>
        <w:jc w:val="center"/>
        <w:rPr>
          <w:rFonts w:ascii="宋体" w:hAnsi="宋体" w:eastAsia="宋体" w:cs="宋体"/>
          <w:b/>
          <w:bCs/>
          <w:color w:val="auto"/>
          <w:sz w:val="21"/>
          <w:szCs w:val="21"/>
          <w:lang w:eastAsia="zh-CN"/>
        </w:rPr>
      </w:pPr>
      <w:r>
        <w:rPr>
          <w:rFonts w:hint="eastAsia" w:ascii="宋体" w:hAnsi="宋体" w:cs="宋体"/>
          <w:b/>
          <w:bCs/>
          <w:color w:val="auto"/>
          <w:sz w:val="21"/>
          <w:szCs w:val="21"/>
          <w:lang w:val="en-US" w:eastAsia="zh-CN"/>
        </w:rPr>
        <w:t xml:space="preserve">第八章  </w:t>
      </w:r>
      <w:r>
        <w:rPr>
          <w:rFonts w:hint="eastAsia" w:ascii="宋体" w:hAnsi="宋体" w:eastAsia="宋体" w:cs="宋体"/>
          <w:b/>
          <w:bCs/>
          <w:color w:val="auto"/>
          <w:sz w:val="21"/>
          <w:szCs w:val="21"/>
          <w:lang w:eastAsia="zh-CN"/>
        </w:rPr>
        <w:t>不可抗力事件</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第二十条 不可抗力</w:t>
      </w:r>
    </w:p>
    <w:p>
      <w:pPr>
        <w:keepNext w:val="0"/>
        <w:keepLines w:val="0"/>
        <w:pageBreakBefore w:val="0"/>
        <w:kinsoku/>
        <w:wordWrap/>
        <w:topLinePunct w:val="0"/>
        <w:bidi w:val="0"/>
        <w:snapToGrid/>
        <w:spacing w:line="460" w:lineRule="exact"/>
        <w:ind w:firstLine="420"/>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lang w:eastAsia="zh-CN"/>
        </w:rPr>
        <w:t>自然灾害、政府原因或法律政策变化等不可抗力因素，因发生前述不可抗力因素造成乙方暂时丧失经营场地或者中止经营的，不可抗力期间甲方不向乙方收取管理服务费，待不可抗力因素消失后继续计算运营期限。如上述不可抗力因素导致本合同无法继续履行的，本合同自行终止，乙方于合同终止之日起30日内自行撤出，乙方的损失甲方不承担责任，双方均不承担违约责任。</w:t>
      </w:r>
    </w:p>
    <w:p>
      <w:pPr>
        <w:keepNext w:val="0"/>
        <w:keepLines w:val="0"/>
        <w:pageBreakBefore w:val="0"/>
        <w:numPr>
          <w:ilvl w:val="0"/>
          <w:numId w:val="0"/>
        </w:numPr>
        <w:kinsoku/>
        <w:wordWrap/>
        <w:topLinePunct w:val="0"/>
        <w:bidi w:val="0"/>
        <w:snapToGrid/>
        <w:spacing w:line="460" w:lineRule="exact"/>
        <w:jc w:val="center"/>
        <w:rPr>
          <w:rFonts w:hint="eastAsia" w:ascii="宋体" w:hAnsi="宋体" w:eastAsia="宋体" w:cs="宋体"/>
          <w:b/>
          <w:bCs/>
          <w:color w:val="auto"/>
          <w:kern w:val="0"/>
          <w:sz w:val="21"/>
          <w:szCs w:val="21"/>
        </w:rPr>
      </w:pPr>
      <w:r>
        <w:rPr>
          <w:rFonts w:hint="eastAsia" w:ascii="宋体" w:hAnsi="宋体" w:cs="宋体"/>
          <w:b/>
          <w:bCs/>
          <w:color w:val="auto"/>
          <w:sz w:val="21"/>
          <w:szCs w:val="21"/>
          <w:lang w:val="en-US" w:eastAsia="zh-CN"/>
        </w:rPr>
        <w:t xml:space="preserve">第九章  </w:t>
      </w:r>
      <w:r>
        <w:rPr>
          <w:rFonts w:hint="eastAsia" w:ascii="宋体" w:hAnsi="宋体" w:eastAsia="宋体" w:cs="宋体"/>
          <w:b/>
          <w:bCs/>
          <w:color w:val="auto"/>
          <w:sz w:val="21"/>
          <w:szCs w:val="21"/>
          <w:lang w:eastAsia="zh-CN"/>
        </w:rPr>
        <w:t>政府</w:t>
      </w:r>
      <w:r>
        <w:rPr>
          <w:rFonts w:hint="eastAsia" w:ascii="宋体" w:hAnsi="宋体" w:eastAsia="宋体" w:cs="宋体"/>
          <w:b/>
          <w:bCs/>
          <w:color w:val="auto"/>
          <w:kern w:val="0"/>
          <w:sz w:val="21"/>
          <w:szCs w:val="21"/>
        </w:rPr>
        <w:t>承诺或保障</w:t>
      </w:r>
    </w:p>
    <w:p>
      <w:pPr>
        <w:pStyle w:val="2"/>
        <w:keepNext w:val="0"/>
        <w:keepLines w:val="0"/>
        <w:pageBreakBefore w:val="0"/>
        <w:kinsoku/>
        <w:wordWrap/>
        <w:topLinePunct w:val="0"/>
        <w:bidi w:val="0"/>
        <w:snapToGrid/>
        <w:spacing w:line="460" w:lineRule="exact"/>
        <w:ind w:left="0" w:leftChars="0" w:firstLine="422" w:firstLineChars="200"/>
        <w:rPr>
          <w:rFonts w:hint="eastAsia"/>
          <w:color w:val="auto"/>
        </w:rPr>
      </w:pPr>
      <w:r>
        <w:rPr>
          <w:rFonts w:hint="eastAsia" w:ascii="宋体" w:hAnsi="宋体" w:eastAsia="宋体" w:cs="宋体"/>
          <w:b/>
          <w:bCs/>
          <w:color w:val="auto"/>
          <w:sz w:val="21"/>
          <w:szCs w:val="21"/>
          <w:lang w:eastAsia="zh-CN"/>
        </w:rPr>
        <w:t>第二十一条 政府</w:t>
      </w:r>
      <w:r>
        <w:rPr>
          <w:rFonts w:hint="eastAsia" w:ascii="宋体" w:hAnsi="宋体" w:eastAsia="宋体" w:cs="宋体"/>
          <w:b/>
          <w:bCs/>
          <w:color w:val="auto"/>
          <w:kern w:val="0"/>
          <w:sz w:val="21"/>
          <w:szCs w:val="21"/>
        </w:rPr>
        <w:t>承诺或保障</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color w:val="auto"/>
          <w:kern w:val="0"/>
          <w:sz w:val="21"/>
          <w:szCs w:val="21"/>
        </w:rPr>
      </w:pPr>
      <w:r>
        <w:rPr>
          <w:rFonts w:hint="eastAsia" w:hAnsi="宋体" w:cs="宋体"/>
          <w:b w:val="0"/>
          <w:bCs w:val="0"/>
          <w:color w:val="auto"/>
          <w:kern w:val="0"/>
          <w:sz w:val="21"/>
          <w:szCs w:val="21"/>
          <w:lang w:val="en-US" w:eastAsia="zh-CN"/>
        </w:rPr>
        <w:t>一、</w:t>
      </w:r>
      <w:r>
        <w:rPr>
          <w:rFonts w:hint="eastAsia" w:ascii="宋体" w:hAnsi="宋体" w:eastAsia="宋体" w:cs="宋体"/>
          <w:b w:val="0"/>
          <w:bCs w:val="0"/>
          <w:color w:val="auto"/>
          <w:kern w:val="0"/>
          <w:sz w:val="21"/>
          <w:szCs w:val="21"/>
        </w:rPr>
        <w:t>为推进本项目的全面建设，打造示范级精品民生民心工程，区政府给予以下支持：</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一</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w:t>
      </w:r>
      <w:r>
        <w:rPr>
          <w:rFonts w:hint="eastAsia" w:asciiTheme="minorEastAsia" w:hAnsiTheme="minorEastAsia" w:eastAsiaTheme="minorEastAsia" w:cstheme="minorEastAsia"/>
          <w:color w:val="auto"/>
          <w:sz w:val="21"/>
          <w:szCs w:val="21"/>
          <w:lang w:eastAsia="zh-CN"/>
        </w:rPr>
        <w:t>城管执法</w:t>
      </w:r>
      <w:r>
        <w:rPr>
          <w:rFonts w:hint="eastAsia" w:asciiTheme="minorEastAsia" w:hAnsiTheme="minorEastAsia" w:eastAsiaTheme="minorEastAsia" w:cstheme="minorEastAsia"/>
          <w:color w:val="auto"/>
          <w:sz w:val="21"/>
          <w:szCs w:val="21"/>
        </w:rPr>
        <w:t>局负责</w:t>
      </w:r>
      <w:r>
        <w:rPr>
          <w:rFonts w:hint="eastAsia" w:asciiTheme="minorEastAsia" w:hAnsiTheme="minorEastAsia" w:eastAsiaTheme="minorEastAsia" w:cstheme="minorEastAsia"/>
          <w:color w:val="auto"/>
          <w:sz w:val="21"/>
          <w:szCs w:val="21"/>
          <w:lang w:val="en-US" w:eastAsia="zh-CN"/>
        </w:rPr>
        <w:t>市容市貌日常整治维护</w:t>
      </w:r>
      <w:r>
        <w:rPr>
          <w:rFonts w:hint="eastAsia" w:asciiTheme="minorEastAsia" w:hAnsiTheme="minorEastAsia" w:eastAsiaTheme="minorEastAsia" w:cstheme="minorEastAsia"/>
          <w:color w:val="auto"/>
          <w:sz w:val="21"/>
          <w:szCs w:val="21"/>
        </w:rPr>
        <w:t>工作，依法依规处置乱停放等影响市容及交通秩序的行为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配合做好停车区域划定</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二</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w:t>
      </w:r>
      <w:r>
        <w:rPr>
          <w:rFonts w:hint="eastAsia" w:asciiTheme="minorEastAsia" w:hAnsiTheme="minorEastAsia" w:eastAsiaTheme="minorEastAsia" w:cstheme="minorEastAsia"/>
          <w:color w:val="auto"/>
          <w:sz w:val="21"/>
          <w:szCs w:val="21"/>
          <w:lang w:eastAsia="zh-CN"/>
        </w:rPr>
        <w:t>自然资源</w:t>
      </w:r>
      <w:r>
        <w:rPr>
          <w:rFonts w:hint="eastAsia" w:asciiTheme="minorEastAsia" w:hAnsiTheme="minorEastAsia" w:eastAsiaTheme="minorEastAsia" w:cstheme="minorEastAsia"/>
          <w:color w:val="auto"/>
          <w:sz w:val="21"/>
          <w:szCs w:val="21"/>
          <w:lang w:val="en-US" w:eastAsia="zh-CN"/>
        </w:rPr>
        <w:t>分</w:t>
      </w:r>
      <w:r>
        <w:rPr>
          <w:rFonts w:hint="eastAsia" w:asciiTheme="minorEastAsia" w:hAnsiTheme="minorEastAsia" w:eastAsiaTheme="minorEastAsia" w:cstheme="minorEastAsia"/>
          <w:color w:val="auto"/>
          <w:sz w:val="21"/>
          <w:szCs w:val="21"/>
        </w:rPr>
        <w:t>局负责完善</w:t>
      </w:r>
      <w:r>
        <w:rPr>
          <w:rFonts w:hint="eastAsia" w:asciiTheme="minorEastAsia" w:hAnsiTheme="minorEastAsia" w:eastAsiaTheme="minorEastAsia" w:cstheme="minorEastAsia"/>
          <w:color w:val="auto"/>
          <w:sz w:val="21"/>
          <w:szCs w:val="21"/>
          <w:lang w:val="en-US" w:eastAsia="zh-CN"/>
        </w:rPr>
        <w:t>停车交通系统</w:t>
      </w:r>
      <w:r>
        <w:rPr>
          <w:rFonts w:hint="eastAsia" w:asciiTheme="minorEastAsia" w:hAnsiTheme="minorEastAsia" w:eastAsiaTheme="minorEastAsia" w:cstheme="minorEastAsia"/>
          <w:color w:val="auto"/>
          <w:sz w:val="21"/>
          <w:szCs w:val="21"/>
        </w:rPr>
        <w:t>规划</w:t>
      </w:r>
      <w:r>
        <w:rPr>
          <w:rFonts w:hint="eastAsia" w:asciiTheme="minorEastAsia" w:hAnsiTheme="minorEastAsia" w:eastAsiaTheme="minorEastAsia" w:cstheme="minorEastAsia"/>
          <w:color w:val="auto"/>
          <w:sz w:val="21"/>
          <w:szCs w:val="21"/>
          <w:lang w:val="en-US" w:eastAsia="zh-CN"/>
        </w:rPr>
        <w:t>,配合做好停车区域划定</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三</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区经发局</w:t>
      </w:r>
      <w:r>
        <w:rPr>
          <w:rFonts w:hint="eastAsia" w:asciiTheme="minorEastAsia" w:hAnsiTheme="minorEastAsia" w:eastAsiaTheme="minorEastAsia" w:cstheme="minorEastAsia"/>
          <w:color w:val="auto"/>
          <w:sz w:val="21"/>
          <w:szCs w:val="21"/>
        </w:rPr>
        <w:t>负责</w:t>
      </w:r>
      <w:r>
        <w:rPr>
          <w:rFonts w:hint="eastAsia" w:asciiTheme="minorEastAsia" w:hAnsiTheme="minorEastAsia" w:eastAsiaTheme="minorEastAsia" w:cstheme="minorEastAsia"/>
          <w:color w:val="auto"/>
          <w:sz w:val="21"/>
          <w:szCs w:val="21"/>
          <w:lang w:val="en-US" w:eastAsia="zh-CN"/>
        </w:rPr>
        <w:t>办理停车收费审批手续，依规定制定、公布收费标准，给予企业必要的政策指导。</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四</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w:t>
      </w:r>
      <w:r>
        <w:rPr>
          <w:rFonts w:hint="eastAsia" w:asciiTheme="minorEastAsia" w:hAnsiTheme="minorEastAsia" w:eastAsiaTheme="minorEastAsia" w:cstheme="minorEastAsia"/>
          <w:color w:val="auto"/>
          <w:sz w:val="21"/>
          <w:szCs w:val="21"/>
        </w:rPr>
        <w:t>交通运输局</w:t>
      </w:r>
      <w:r>
        <w:rPr>
          <w:rFonts w:hint="eastAsia" w:asciiTheme="minorEastAsia" w:hAnsiTheme="minorEastAsia" w:eastAsiaTheme="minorEastAsia" w:cstheme="minorEastAsia"/>
          <w:color w:val="auto"/>
          <w:sz w:val="21"/>
          <w:szCs w:val="21"/>
          <w:lang w:val="en-US" w:eastAsia="zh-CN"/>
        </w:rPr>
        <w:t>配合做好区内停车</w:t>
      </w:r>
      <w:r>
        <w:rPr>
          <w:rFonts w:hint="eastAsia" w:asciiTheme="minorEastAsia" w:hAnsiTheme="minorEastAsia" w:eastAsiaTheme="minorEastAsia" w:cstheme="minorEastAsia"/>
          <w:color w:val="auto"/>
          <w:sz w:val="21"/>
          <w:szCs w:val="21"/>
        </w:rPr>
        <w:t>与公共交通融合发展的政策制定和统筹协调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指导、督促</w:t>
      </w:r>
      <w:r>
        <w:rPr>
          <w:rFonts w:hint="eastAsia" w:asciiTheme="minorEastAsia" w:hAnsiTheme="minorEastAsia" w:eastAsiaTheme="minorEastAsia" w:cstheme="minorEastAsia"/>
          <w:color w:val="auto"/>
          <w:sz w:val="21"/>
          <w:szCs w:val="21"/>
          <w:lang w:val="en-US" w:eastAsia="zh-CN"/>
        </w:rPr>
        <w:t>运营企业</w:t>
      </w:r>
      <w:r>
        <w:rPr>
          <w:rFonts w:hint="eastAsia" w:asciiTheme="minorEastAsia" w:hAnsiTheme="minorEastAsia" w:eastAsiaTheme="minorEastAsia" w:cstheme="minorEastAsia"/>
          <w:color w:val="auto"/>
          <w:sz w:val="21"/>
          <w:szCs w:val="21"/>
        </w:rPr>
        <w:t>落实管理责任，做好应急处置工作；</w:t>
      </w:r>
      <w:r>
        <w:rPr>
          <w:rFonts w:hint="eastAsia" w:asciiTheme="minorEastAsia" w:hAnsiTheme="minorEastAsia" w:eastAsiaTheme="minorEastAsia" w:cstheme="minorEastAsia"/>
          <w:color w:val="auto"/>
          <w:sz w:val="21"/>
          <w:szCs w:val="21"/>
          <w:lang w:val="en-US" w:eastAsia="zh-CN"/>
        </w:rPr>
        <w:t>配合</w:t>
      </w:r>
      <w:r>
        <w:rPr>
          <w:rFonts w:hint="eastAsia" w:asciiTheme="minorEastAsia" w:hAnsiTheme="minorEastAsia" w:eastAsiaTheme="minorEastAsia" w:cstheme="minorEastAsia"/>
          <w:color w:val="auto"/>
          <w:sz w:val="21"/>
          <w:szCs w:val="21"/>
        </w:rPr>
        <w:t>确定</w:t>
      </w:r>
      <w:r>
        <w:rPr>
          <w:rFonts w:hint="eastAsia" w:asciiTheme="minorEastAsia" w:hAnsiTheme="minorEastAsia" w:eastAsiaTheme="minorEastAsia" w:cstheme="minorEastAsia"/>
          <w:color w:val="auto"/>
          <w:sz w:val="21"/>
          <w:szCs w:val="21"/>
          <w:lang w:val="en-US" w:eastAsia="zh-CN"/>
        </w:rPr>
        <w:t>停车</w:t>
      </w:r>
      <w:r>
        <w:rPr>
          <w:rFonts w:hint="eastAsia" w:asciiTheme="minorEastAsia" w:hAnsiTheme="minorEastAsia" w:eastAsiaTheme="minorEastAsia" w:cstheme="minorEastAsia"/>
          <w:color w:val="auto"/>
          <w:sz w:val="21"/>
          <w:szCs w:val="21"/>
        </w:rPr>
        <w:t>区域</w:t>
      </w:r>
      <w:r>
        <w:rPr>
          <w:rFonts w:hint="eastAsia" w:asciiTheme="minorEastAsia" w:hAnsiTheme="minorEastAsia" w:eastAsiaTheme="minorEastAsia" w:cstheme="minorEastAsia"/>
          <w:color w:val="auto"/>
          <w:sz w:val="21"/>
          <w:szCs w:val="21"/>
          <w:lang w:val="en-US" w:eastAsia="zh-CN"/>
        </w:rPr>
        <w:t>的规划建设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受理相关投诉和建议</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五</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w:t>
      </w:r>
      <w:r>
        <w:rPr>
          <w:rFonts w:hint="eastAsia" w:asciiTheme="minorEastAsia" w:hAnsiTheme="minorEastAsia" w:eastAsiaTheme="minorEastAsia" w:cstheme="minorEastAsia"/>
          <w:color w:val="auto"/>
          <w:sz w:val="21"/>
          <w:szCs w:val="21"/>
        </w:rPr>
        <w:t>公安</w:t>
      </w:r>
      <w:r>
        <w:rPr>
          <w:rFonts w:hint="eastAsia" w:asciiTheme="minorEastAsia" w:hAnsiTheme="minorEastAsia" w:eastAsiaTheme="minorEastAsia" w:cstheme="minorEastAsia"/>
          <w:color w:val="auto"/>
          <w:sz w:val="21"/>
          <w:szCs w:val="21"/>
          <w:lang w:val="en-US" w:eastAsia="zh-CN"/>
        </w:rPr>
        <w:t>分</w:t>
      </w:r>
      <w:r>
        <w:rPr>
          <w:rFonts w:hint="eastAsia" w:asciiTheme="minorEastAsia" w:hAnsiTheme="minorEastAsia" w:eastAsiaTheme="minorEastAsia" w:cstheme="minorEastAsia"/>
          <w:color w:val="auto"/>
          <w:sz w:val="21"/>
          <w:szCs w:val="21"/>
        </w:rPr>
        <w:t>局负责</w:t>
      </w:r>
      <w:r>
        <w:rPr>
          <w:rFonts w:hint="eastAsia" w:asciiTheme="minorEastAsia" w:hAnsiTheme="minorEastAsia" w:eastAsiaTheme="minorEastAsia" w:cstheme="minorEastAsia"/>
          <w:color w:val="auto"/>
          <w:sz w:val="21"/>
          <w:szCs w:val="21"/>
          <w:lang w:val="en-US" w:eastAsia="zh-CN"/>
        </w:rPr>
        <w:t>治安监控和</w:t>
      </w:r>
      <w:r>
        <w:rPr>
          <w:rFonts w:hint="eastAsia" w:asciiTheme="minorEastAsia" w:hAnsiTheme="minorEastAsia" w:eastAsiaTheme="minorEastAsia" w:cstheme="minorEastAsia"/>
          <w:color w:val="auto"/>
          <w:sz w:val="21"/>
          <w:szCs w:val="21"/>
        </w:rPr>
        <w:t>对侵占、盗窃、破坏</w:t>
      </w:r>
      <w:r>
        <w:rPr>
          <w:rFonts w:hint="eastAsia" w:asciiTheme="minorEastAsia" w:hAnsiTheme="minorEastAsia" w:eastAsiaTheme="minorEastAsia" w:cstheme="minorEastAsia"/>
          <w:color w:val="auto"/>
          <w:sz w:val="21"/>
          <w:szCs w:val="21"/>
          <w:lang w:val="en-US" w:eastAsia="zh-CN"/>
        </w:rPr>
        <w:t>停车设施</w:t>
      </w:r>
      <w:r>
        <w:rPr>
          <w:rFonts w:hint="eastAsia" w:asciiTheme="minorEastAsia" w:hAnsiTheme="minorEastAsia" w:eastAsiaTheme="minorEastAsia" w:cstheme="minorEastAsia"/>
          <w:color w:val="auto"/>
          <w:sz w:val="21"/>
          <w:szCs w:val="21"/>
        </w:rPr>
        <w:t>等违法行为进行查处</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六</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交警海陵大队</w:t>
      </w:r>
      <w:r>
        <w:rPr>
          <w:rFonts w:hint="eastAsia" w:asciiTheme="minorEastAsia" w:hAnsiTheme="minorEastAsia" w:eastAsiaTheme="minorEastAsia" w:cstheme="minorEastAsia"/>
          <w:color w:val="auto"/>
          <w:sz w:val="21"/>
          <w:szCs w:val="21"/>
        </w:rPr>
        <w:t>负责</w:t>
      </w:r>
      <w:r>
        <w:rPr>
          <w:rFonts w:hint="eastAsia" w:asciiTheme="minorEastAsia" w:hAnsiTheme="minorEastAsia" w:eastAsiaTheme="minorEastAsia" w:cstheme="minorEastAsia"/>
          <w:color w:val="auto"/>
          <w:sz w:val="21"/>
          <w:szCs w:val="21"/>
          <w:lang w:val="en-US" w:eastAsia="zh-CN"/>
        </w:rPr>
        <w:t>交通管理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配合做好停车区域划定，指导完成相关标识标线设置</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（七）区旅游外侨局</w:t>
      </w:r>
      <w:r>
        <w:rPr>
          <w:rFonts w:hint="eastAsia" w:asciiTheme="minorEastAsia" w:hAnsiTheme="minorEastAsia" w:eastAsiaTheme="minorEastAsia" w:cstheme="minorEastAsia"/>
          <w:color w:val="auto"/>
          <w:sz w:val="21"/>
          <w:szCs w:val="21"/>
          <w:lang w:val="en-US" w:eastAsia="zh-CN"/>
        </w:rPr>
        <w:t>研究指导智慧旅游总体规划和布局。</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八</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区市场监管分局负责企业的登记注册，依法查处不按规定明码标价、乱收费等欺诈消费者违法行为。</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九</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区委宣传统战</w:t>
      </w:r>
      <w:r>
        <w:rPr>
          <w:rFonts w:hint="eastAsia" w:asciiTheme="minorEastAsia" w:hAnsiTheme="minorEastAsia" w:eastAsiaTheme="minorEastAsia" w:cstheme="minorEastAsia"/>
          <w:color w:val="auto"/>
          <w:sz w:val="21"/>
          <w:szCs w:val="21"/>
        </w:rPr>
        <w:t>部负责指导协调新闻单位积极配合相关职能部门做好</w:t>
      </w:r>
      <w:r>
        <w:rPr>
          <w:rFonts w:hint="eastAsia" w:asciiTheme="minorEastAsia" w:hAnsiTheme="minorEastAsia" w:eastAsiaTheme="minorEastAsia" w:cstheme="minorEastAsia"/>
          <w:color w:val="auto"/>
          <w:sz w:val="21"/>
          <w:szCs w:val="21"/>
          <w:lang w:val="en-US" w:eastAsia="zh-CN"/>
        </w:rPr>
        <w:t>停车规划、运营、管理等相关</w:t>
      </w:r>
      <w:r>
        <w:rPr>
          <w:rFonts w:hint="eastAsia" w:asciiTheme="minorEastAsia" w:hAnsiTheme="minorEastAsia" w:eastAsiaTheme="minorEastAsia" w:cstheme="minorEastAsia"/>
          <w:color w:val="auto"/>
          <w:sz w:val="21"/>
          <w:szCs w:val="21"/>
        </w:rPr>
        <w:t>工作的宣传报道，发挥舆论引导和监督作用，营造良好舆论氛围。</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color w:val="auto"/>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区信访局配合协调</w:t>
      </w:r>
      <w:r>
        <w:rPr>
          <w:rFonts w:hint="eastAsia" w:asciiTheme="minorEastAsia" w:hAnsiTheme="minorEastAsia" w:eastAsiaTheme="minorEastAsia" w:cstheme="minorEastAsia"/>
          <w:color w:val="auto"/>
          <w:sz w:val="21"/>
          <w:szCs w:val="21"/>
        </w:rPr>
        <w:t>相关投诉</w:t>
      </w:r>
      <w:r>
        <w:rPr>
          <w:rFonts w:hint="eastAsia" w:asciiTheme="minorEastAsia" w:hAnsiTheme="minorEastAsia" w:eastAsiaTheme="minorEastAsia" w:cstheme="minorEastAsia"/>
          <w:color w:val="auto"/>
          <w:sz w:val="21"/>
          <w:szCs w:val="21"/>
          <w:lang w:val="en-US" w:eastAsia="zh-CN"/>
        </w:rPr>
        <w:t>的处理，积极对有关政策以及信访投诉事项予以解释、调解。</w:t>
      </w:r>
    </w:p>
    <w:p>
      <w:pPr>
        <w:keepNext w:val="0"/>
        <w:keepLines w:val="0"/>
        <w:pageBreakBefore w:val="0"/>
        <w:numPr>
          <w:ilvl w:val="0"/>
          <w:numId w:val="0"/>
        </w:numPr>
        <w:kinsoku/>
        <w:wordWrap/>
        <w:topLinePunct w:val="0"/>
        <w:bidi w:val="0"/>
        <w:snapToGrid/>
        <w:spacing w:line="460" w:lineRule="exact"/>
        <w:jc w:val="center"/>
        <w:rPr>
          <w:rFonts w:ascii="宋体" w:hAnsi="宋体" w:eastAsia="宋体" w:cs="宋体"/>
          <w:b/>
          <w:bCs/>
          <w:color w:val="auto"/>
          <w:sz w:val="21"/>
          <w:szCs w:val="21"/>
          <w:lang w:eastAsia="zh-CN"/>
        </w:rPr>
      </w:pPr>
      <w:r>
        <w:rPr>
          <w:rFonts w:hint="eastAsia" w:ascii="宋体" w:hAnsi="宋体" w:cs="宋体"/>
          <w:b/>
          <w:bCs/>
          <w:color w:val="auto"/>
          <w:sz w:val="21"/>
          <w:szCs w:val="21"/>
          <w:lang w:val="en-US" w:eastAsia="zh-CN"/>
        </w:rPr>
        <w:t xml:space="preserve">第十章  </w:t>
      </w:r>
      <w:r>
        <w:rPr>
          <w:rFonts w:hint="eastAsia" w:ascii="宋体" w:hAnsi="宋体" w:eastAsia="宋体" w:cs="宋体"/>
          <w:b/>
          <w:bCs/>
          <w:color w:val="auto"/>
          <w:sz w:val="21"/>
          <w:szCs w:val="21"/>
          <w:lang w:eastAsia="zh-CN"/>
        </w:rPr>
        <w:t>履约保证金与保险</w:t>
      </w:r>
    </w:p>
    <w:p>
      <w:pPr>
        <w:keepNext w:val="0"/>
        <w:keepLines w:val="0"/>
        <w:pageBreakBefore w:val="0"/>
        <w:kinsoku/>
        <w:wordWrap/>
        <w:topLinePunct w:val="0"/>
        <w:bidi w:val="0"/>
        <w:snapToGrid/>
        <w:spacing w:line="460" w:lineRule="exact"/>
        <w:ind w:firstLine="422" w:firstLineChars="200"/>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第二十二条 履约保证金</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乙方须在正式签署特许经营协议之前，向甲方提交以甲方为受益人的履约保证金。当乙方未能完全履行本协议规定建设义务时（因乙方原因导致工程进度延误、完工日期延误、不能及时发放工人工资或项目技术标准不达标等），甲方可扣除履约保证金，乙方应在履约保证金被扣除后</w:t>
      </w:r>
      <w:r>
        <w:rPr>
          <w:rFonts w:hint="eastAsia" w:ascii="宋体" w:hAnsi="宋体" w:eastAsia="宋体" w:cs="宋体"/>
          <w:color w:val="auto"/>
          <w:sz w:val="21"/>
          <w:szCs w:val="21"/>
          <w:lang w:val="en-US" w:eastAsia="zh-CN"/>
        </w:rPr>
        <w:t>二十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0）日内补足。如乙方未能予以及时补足，且在经甲方两（2）次催告仍未能补足的，甲方有权提前终止本协议。</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 xml:space="preserve"> 金额与有效期</w:t>
      </w:r>
    </w:p>
    <w:p>
      <w:pPr>
        <w:keepNext w:val="0"/>
        <w:keepLines w:val="0"/>
        <w:pageBreakBefore w:val="0"/>
        <w:kinsoku/>
        <w:wordWrap/>
        <w:topLinePunct w:val="0"/>
        <w:bidi w:val="0"/>
        <w:snapToGrid/>
        <w:spacing w:line="460" w:lineRule="exact"/>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履约保证金金额应为</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eastAsia="zh-CN"/>
        </w:rPr>
        <w:t>，形式为</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lang w:eastAsia="zh-CN"/>
        </w:rPr>
        <w:t>签订合同前由中标人提交。有效期自甲方收到该份履约保证金之日起至项目竣工验收合格、工程接收证书颁发之日止。</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第二十三条 保险责任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乙方必须自费购买和维持相关的保险。未经甲方书面同意，乙方不得变更该等保险。</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乙方必须使甲方列为保险单上的共同被保险人（受益人）和使所有保险单均注明保险商在取消保险或对之进行重大改变之前至少</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lang w:eastAsia="zh-CN"/>
        </w:rPr>
        <w:t>日书面通知甲方。</w:t>
      </w:r>
      <w:r>
        <w:rPr>
          <w:rFonts w:hint="eastAsia" w:ascii="宋体" w:hAnsi="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乙方必须促使其保险公司或代理人向甲方提供保险证明，以证实按照上述要求获得的保险及相关文件。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如果乙方不购买或维持上述要求的保险，则甲方有权购买该保险，并且有权根据本协议从履约保函款项中提取需支付的保险费金额。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color w:val="auto"/>
          <w:sz w:val="21"/>
          <w:szCs w:val="21"/>
          <w:lang w:val="en-US" w:eastAsia="zh-CN"/>
        </w:rPr>
      </w:pPr>
      <w:r>
        <w:rPr>
          <w:rFonts w:hint="eastAsia" w:ascii="宋体" w:hAnsi="宋体" w:eastAsia="宋体" w:cs="宋体"/>
          <w:b/>
          <w:bCs/>
          <w:color w:val="auto"/>
          <w:sz w:val="21"/>
          <w:szCs w:val="21"/>
          <w:lang w:eastAsia="zh-CN"/>
        </w:rPr>
        <w:t>第十</w:t>
      </w:r>
      <w:r>
        <w:rPr>
          <w:rFonts w:hint="eastAsia" w:ascii="宋体" w:hAnsi="宋体" w:cs="宋体"/>
          <w:b/>
          <w:bCs/>
          <w:color w:val="auto"/>
          <w:sz w:val="21"/>
          <w:szCs w:val="21"/>
          <w:lang w:val="en-US" w:eastAsia="zh-CN"/>
        </w:rPr>
        <w:t>一</w:t>
      </w:r>
      <w:r>
        <w:rPr>
          <w:rFonts w:hint="eastAsia" w:ascii="宋体" w:hAnsi="宋体" w:eastAsia="宋体" w:cs="宋体"/>
          <w:b/>
          <w:bCs/>
          <w:color w:val="auto"/>
          <w:sz w:val="21"/>
          <w:szCs w:val="21"/>
          <w:lang w:eastAsia="zh-CN"/>
        </w:rPr>
        <w:t>章</w:t>
      </w:r>
      <w:r>
        <w:rPr>
          <w:rFonts w:hint="eastAsia" w:ascii="宋体" w:hAnsi="宋体" w:cs="宋体"/>
          <w:b/>
          <w:bCs/>
          <w:color w:val="auto"/>
          <w:sz w:val="21"/>
          <w:szCs w:val="21"/>
          <w:lang w:val="en-US" w:eastAsia="zh-CN"/>
        </w:rPr>
        <w:t xml:space="preserve">  临时接管</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color w:val="auto"/>
          <w:lang w:val="en-US" w:eastAsia="zh-CN"/>
        </w:rPr>
      </w:pPr>
      <w:r>
        <w:rPr>
          <w:rFonts w:hint="eastAsia" w:ascii="宋体" w:hAnsi="宋体" w:cs="宋体"/>
          <w:b/>
          <w:bCs/>
          <w:color w:val="auto"/>
          <w:sz w:val="21"/>
          <w:szCs w:val="21"/>
          <w:lang w:val="en-US" w:eastAsia="zh-CN"/>
        </w:rPr>
        <w:t>第二十四条 临时接管</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200"/>
        <w:textAlignment w:val="auto"/>
        <w:rPr>
          <w:rFonts w:hint="default"/>
          <w:color w:val="auto"/>
          <w:lang w:val="en-US" w:eastAsia="zh-CN"/>
        </w:rPr>
      </w:pPr>
      <w:r>
        <w:rPr>
          <w:rFonts w:hint="eastAsia"/>
          <w:color w:val="auto"/>
          <w:lang w:val="en-US" w:eastAsia="zh-CN"/>
        </w:rPr>
        <w:t>一、</w:t>
      </w:r>
      <w:r>
        <w:rPr>
          <w:rFonts w:hint="default"/>
          <w:color w:val="auto"/>
          <w:lang w:val="en-US" w:eastAsia="zh-CN"/>
        </w:rPr>
        <w:t>特许期内，如乙方出现以下违约行为，甲方有权决定实施临时接管：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一</w:t>
      </w:r>
      <w:r>
        <w:rPr>
          <w:rFonts w:hint="eastAsia" w:ascii="宋体" w:hAnsi="宋体" w:eastAsia="宋体" w:cs="宋体"/>
          <w:b w:val="0"/>
          <w:bCs w:val="0"/>
          <w:color w:val="auto"/>
          <w:sz w:val="21"/>
          <w:szCs w:val="21"/>
          <w:lang w:val="en-US" w:eastAsia="zh-CN"/>
        </w:rPr>
        <w:t>）擅自转让、出租特许经营权、委托经营的；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二</w:t>
      </w:r>
      <w:r>
        <w:rPr>
          <w:rFonts w:hint="eastAsia" w:ascii="宋体" w:hAnsi="宋体" w:eastAsia="宋体" w:cs="宋体"/>
          <w:b w:val="0"/>
          <w:bCs w:val="0"/>
          <w:color w:val="auto"/>
          <w:sz w:val="21"/>
          <w:szCs w:val="21"/>
          <w:lang w:val="en-US" w:eastAsia="zh-CN"/>
        </w:rPr>
        <w:t>）擅自将所经营的财产进行处置或抵押的；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三</w:t>
      </w:r>
      <w:r>
        <w:rPr>
          <w:rFonts w:hint="eastAsia" w:ascii="宋体" w:hAnsi="宋体" w:eastAsia="宋体" w:cs="宋体"/>
          <w:b w:val="0"/>
          <w:bCs w:val="0"/>
          <w:color w:val="auto"/>
          <w:sz w:val="21"/>
          <w:szCs w:val="21"/>
          <w:lang w:val="en-US" w:eastAsia="zh-CN"/>
        </w:rPr>
        <w:t>）因管理不善、发生重大质量、安全事故，及环保、卫生事件的；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四</w:t>
      </w:r>
      <w:r>
        <w:rPr>
          <w:rFonts w:hint="eastAsia" w:ascii="宋体" w:hAnsi="宋体" w:eastAsia="宋体" w:cs="宋体"/>
          <w:b w:val="0"/>
          <w:bCs w:val="0"/>
          <w:color w:val="auto"/>
          <w:sz w:val="21"/>
          <w:szCs w:val="21"/>
          <w:lang w:val="en-US" w:eastAsia="zh-CN"/>
        </w:rPr>
        <w:t>）擅自停业、歇业，严重影响到社会公共利益和安全的；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五</w:t>
      </w:r>
      <w:r>
        <w:rPr>
          <w:rFonts w:hint="eastAsia" w:ascii="宋体" w:hAnsi="宋体" w:eastAsia="宋体" w:cs="宋体"/>
          <w:b w:val="0"/>
          <w:bCs w:val="0"/>
          <w:color w:val="auto"/>
          <w:sz w:val="21"/>
          <w:szCs w:val="21"/>
          <w:lang w:val="en-US" w:eastAsia="zh-CN"/>
        </w:rPr>
        <w:t>）法律、法规禁止的其他行为。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二、</w:t>
      </w:r>
      <w:r>
        <w:rPr>
          <w:rFonts w:hint="eastAsia" w:ascii="宋体" w:hAnsi="宋体" w:eastAsia="宋体" w:cs="宋体"/>
          <w:b w:val="0"/>
          <w:bCs w:val="0"/>
          <w:color w:val="auto"/>
          <w:sz w:val="21"/>
          <w:szCs w:val="21"/>
          <w:lang w:val="en-US" w:eastAsia="zh-CN"/>
        </w:rPr>
        <w:t>甲方决定实施临时接管后，应书面通知乙方，并告知其有申请听证的权利。乙方应于接到书面通知之日起5日内申请听证，甲方应于20日内组织听证。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甲方应根据听证笔录，决定是否进行临时接管。 如乙方于接到书面通知后5日内，没有申请听证，则甲方可以自行决定临时接管。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三、</w:t>
      </w:r>
      <w:r>
        <w:rPr>
          <w:rFonts w:hint="eastAsia" w:ascii="宋体" w:hAnsi="宋体" w:eastAsia="宋体" w:cs="宋体"/>
          <w:b w:val="0"/>
          <w:bCs w:val="0"/>
          <w:color w:val="auto"/>
          <w:sz w:val="21"/>
          <w:szCs w:val="21"/>
          <w:lang w:val="en-US" w:eastAsia="zh-CN"/>
        </w:rPr>
        <w:t>甲方临时接管项目设施，须同时指定第三方临时提供本协议项下的生活垃圾处理服务，临时接管期间发生的生活垃圾处理成本、费用等均由乙方承担，乙方并应向甲方支付接管费用。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四、</w:t>
      </w:r>
      <w:r>
        <w:rPr>
          <w:rFonts w:hint="eastAsia" w:ascii="宋体" w:hAnsi="宋体" w:eastAsia="宋体" w:cs="宋体"/>
          <w:b w:val="0"/>
          <w:bCs w:val="0"/>
          <w:color w:val="auto"/>
          <w:sz w:val="21"/>
          <w:szCs w:val="21"/>
          <w:lang w:val="en-US" w:eastAsia="zh-CN"/>
        </w:rPr>
        <w:t>导致临时接管的违约行为后，经乙方纠正，并经乙方书面申请，甲方应当终止临时接管，恢复乙方的特许经营权。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五、</w:t>
      </w:r>
      <w:r>
        <w:rPr>
          <w:rFonts w:hint="eastAsia" w:ascii="宋体" w:hAnsi="宋体" w:eastAsia="宋体" w:cs="宋体"/>
          <w:b w:val="0"/>
          <w:bCs w:val="0"/>
          <w:color w:val="auto"/>
          <w:sz w:val="21"/>
          <w:szCs w:val="21"/>
          <w:lang w:val="en-US" w:eastAsia="zh-CN"/>
        </w:rPr>
        <w:t>如单次临时接管持续不间断超过60天，甲方有权提前终止本协议，收回乙方的特许经营权。</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s="宋体"/>
          <w:b/>
          <w:bCs/>
          <w:color w:val="auto"/>
          <w:sz w:val="21"/>
          <w:szCs w:val="21"/>
          <w:lang w:eastAsia="zh-CN"/>
        </w:rPr>
      </w:pPr>
      <w:r>
        <w:rPr>
          <w:rFonts w:hint="eastAsia" w:ascii="宋体" w:hAnsi="宋体" w:cs="宋体"/>
          <w:b/>
          <w:bCs/>
          <w:color w:val="auto"/>
          <w:sz w:val="21"/>
          <w:szCs w:val="21"/>
          <w:lang w:val="en-US" w:eastAsia="zh-CN"/>
        </w:rPr>
        <w:t xml:space="preserve">第十二章  </w:t>
      </w:r>
      <w:r>
        <w:rPr>
          <w:rFonts w:hint="eastAsia" w:ascii="宋体" w:hAnsi="宋体" w:eastAsia="宋体" w:cs="宋体"/>
          <w:b/>
          <w:bCs/>
          <w:color w:val="auto"/>
          <w:sz w:val="21"/>
          <w:szCs w:val="21"/>
          <w:lang w:eastAsia="zh-CN"/>
        </w:rPr>
        <w:t>违约责任</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第二十</w:t>
      </w:r>
      <w:r>
        <w:rPr>
          <w:rFonts w:hint="eastAsia" w:ascii="宋体" w:hAnsi="宋体" w:cs="宋体"/>
          <w:b/>
          <w:bCs/>
          <w:color w:val="auto"/>
          <w:sz w:val="21"/>
          <w:szCs w:val="21"/>
          <w:lang w:val="en-US" w:eastAsia="zh-CN"/>
        </w:rPr>
        <w:t>五</w:t>
      </w:r>
      <w:r>
        <w:rPr>
          <w:rFonts w:hint="eastAsia" w:ascii="宋体" w:hAnsi="宋体" w:eastAsia="宋体" w:cs="宋体"/>
          <w:b/>
          <w:bCs/>
          <w:color w:val="auto"/>
          <w:sz w:val="21"/>
          <w:szCs w:val="21"/>
          <w:lang w:eastAsia="zh-CN"/>
        </w:rPr>
        <w:t>条 违约责任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乙方应根据甲方提供的资料编制建设期施工进度计划并报甲方审批，在建设期内，乙方根据经甲方批准的施工进度计划组织施工，乙方在次月第一周周末前上报上月进度完成情况，甲方根据批准的进度计划及乙方的实际进度完成情况进行考核，未达到考核标准的，乙方应根据甲方要求整改，整改后仍不达不到考核标准的，甲方有权视情况扣除履约保证金，直至解除合同，给甲方造成损失的，乙方承担赔偿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在运营期限内，非甲方原因导致乙方经营无法持续的，甲方不承担乙方的损失，无需对乙方进行赔偿。甲方非因不可抗力提前收回部分停车位的，乙方有权要求甲方赔偿相应设备投入等费用，并根据提前收回的车位核减相应车位管理服务费；甲方非因不可抗力因素导致无法继续履行而解除合同的,甲方应承担乙方相应的损失赔偿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eastAsia="zh-CN"/>
        </w:rPr>
        <w:t>乙方应向甲方足额缴纳管理服务费。若乙方逾期10个工作日未按约定向甲方足额缴纳管理服务费的，从逾期之日起按照未缴金额每日万分之五计算逾期违约金，直至足额缴清为止；逾期3个月未缴纳的，甲方有权在催告后解除本合同，并依法追缴所欠费用（含违约金）。</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eastAsia="zh-CN"/>
        </w:rPr>
        <w:t>乙方在运营期限内出现下列情形之一的，甲方有权单方终止本合同，收回经营管理权。期间乙方产生的费用由乙方自行承担，给甲方造成损失的，乙方承担赔偿责任。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乙方未按规定向甲方足额缴纳管理服务费，逾期3个月的；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因乙方原因，乙方纳入管理的路内临时停车位不足总数的50%，且时间连续超过3个月的；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合同期限内，因乙方原因造成项目不能继续经营，停工超过30天的。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四</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非因甲方原因或不可抗力原因，项目到期后，乙方拒绝移交或延期移交的，每逾期一个月，由乙方承担双倍管理费的违约金，逾期超过三个月以上的，每逾期一个月，违约金依次递增一个月的管理费。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五</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由上级或同级领导发现重大问题，造成严重后果的，甲方有权对乙方进行处罚，直至解除合同。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六</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乙方未按时间要求及时发放员工工资，甲方有权单方解除合同。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w:t>
      </w:r>
      <w:r>
        <w:rPr>
          <w:rFonts w:hint="eastAsia" w:ascii="宋体" w:hAnsi="宋体" w:cs="宋体"/>
          <w:b/>
          <w:bCs/>
          <w:color w:val="auto"/>
          <w:sz w:val="21"/>
          <w:szCs w:val="21"/>
          <w:lang w:val="en-US" w:eastAsia="zh-CN"/>
        </w:rPr>
        <w:t>三</w:t>
      </w:r>
      <w:r>
        <w:rPr>
          <w:rFonts w:hint="eastAsia" w:ascii="宋体" w:hAnsi="宋体" w:eastAsia="宋体" w:cs="宋体"/>
          <w:b/>
          <w:bCs/>
          <w:color w:val="auto"/>
          <w:sz w:val="21"/>
          <w:szCs w:val="21"/>
          <w:lang w:eastAsia="zh-CN"/>
        </w:rPr>
        <w:t xml:space="preserve">章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争议解决</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第二十</w:t>
      </w:r>
      <w:r>
        <w:rPr>
          <w:rFonts w:hint="eastAsia" w:ascii="宋体" w:hAnsi="宋体" w:cs="宋体"/>
          <w:b/>
          <w:bCs/>
          <w:color w:val="auto"/>
          <w:sz w:val="21"/>
          <w:szCs w:val="21"/>
          <w:lang w:val="en-US" w:eastAsia="zh-CN"/>
        </w:rPr>
        <w:t>六</w:t>
      </w:r>
      <w:r>
        <w:rPr>
          <w:rFonts w:hint="eastAsia" w:ascii="宋体" w:hAnsi="宋体" w:eastAsia="宋体" w:cs="宋体"/>
          <w:b/>
          <w:bCs/>
          <w:color w:val="auto"/>
          <w:sz w:val="21"/>
          <w:szCs w:val="21"/>
          <w:lang w:eastAsia="zh-CN"/>
        </w:rPr>
        <w:t>条 争议解决</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因本合同发生的任何争议，双方应平等、友好协商解决，协商不成，可向阳江市海陵岛经济开发试验区人民法院提起诉讼。在争议解决期间，除争议项外，双方应继续履行本合同所规定的其它各项义务。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第十</w:t>
      </w:r>
      <w:r>
        <w:rPr>
          <w:rFonts w:hint="eastAsia" w:ascii="宋体" w:hAnsi="宋体" w:cs="宋体"/>
          <w:b/>
          <w:bCs/>
          <w:color w:val="auto"/>
          <w:sz w:val="21"/>
          <w:szCs w:val="21"/>
          <w:lang w:val="en-US" w:eastAsia="zh-CN"/>
        </w:rPr>
        <w:t>四</w:t>
      </w:r>
      <w:r>
        <w:rPr>
          <w:rFonts w:hint="eastAsia" w:ascii="宋体" w:hAnsi="宋体" w:eastAsia="宋体" w:cs="宋体"/>
          <w:b/>
          <w:bCs/>
          <w:color w:val="auto"/>
          <w:sz w:val="21"/>
          <w:szCs w:val="21"/>
          <w:lang w:eastAsia="zh-CN"/>
        </w:rPr>
        <w:t xml:space="preserve">章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lang w:eastAsia="zh-CN"/>
        </w:rPr>
        <w:t>其它约定</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第二十</w:t>
      </w:r>
      <w:r>
        <w:rPr>
          <w:rFonts w:hint="eastAsia" w:ascii="宋体" w:hAnsi="宋体" w:cs="宋体"/>
          <w:b/>
          <w:bCs/>
          <w:color w:val="auto"/>
          <w:sz w:val="21"/>
          <w:szCs w:val="21"/>
          <w:lang w:val="en-US" w:eastAsia="zh-CN"/>
        </w:rPr>
        <w:t>七</w:t>
      </w:r>
      <w:r>
        <w:rPr>
          <w:rFonts w:hint="eastAsia" w:ascii="宋体" w:hAnsi="宋体" w:eastAsia="宋体" w:cs="宋体"/>
          <w:b/>
          <w:bCs/>
          <w:color w:val="auto"/>
          <w:sz w:val="21"/>
          <w:szCs w:val="21"/>
          <w:lang w:eastAsia="zh-CN"/>
        </w:rPr>
        <w:t>条 主体变更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eastAsia="zh-CN"/>
        </w:rPr>
        <w:t>甲方变更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由于政府机构改革，则承继甲方权利的新的主体应：</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具有承担原甲方对项目的所有权利、义务和责任的能力，并重新得到政府的授权；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二</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接受并完全承担原甲方在本合同项下义务的履行；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eastAsia="zh-CN"/>
        </w:rPr>
        <w:t>乙方变更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乙方应接受并完全承担原乙方在本合同项下权利义务的履行。</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宋体" w:hAnsi="宋体" w:eastAsia="宋体" w:cs="宋体"/>
          <w:color w:val="auto"/>
          <w:sz w:val="21"/>
          <w:szCs w:val="21"/>
          <w:lang w:eastAsia="zh-CN"/>
        </w:rPr>
      </w:pPr>
      <w:r>
        <w:rPr>
          <w:rFonts w:hint="eastAsia" w:ascii="宋体" w:hAnsi="宋体" w:eastAsia="宋体" w:cs="宋体"/>
          <w:b/>
          <w:bCs/>
          <w:color w:val="auto"/>
          <w:sz w:val="21"/>
          <w:szCs w:val="21"/>
          <w:lang w:eastAsia="zh-CN"/>
        </w:rPr>
        <w:t>第二十</w:t>
      </w:r>
      <w:r>
        <w:rPr>
          <w:rFonts w:hint="eastAsia" w:ascii="宋体" w:hAnsi="宋体" w:cs="宋体"/>
          <w:b/>
          <w:bCs/>
          <w:color w:val="auto"/>
          <w:sz w:val="21"/>
          <w:szCs w:val="21"/>
          <w:lang w:val="en-US" w:eastAsia="zh-CN"/>
        </w:rPr>
        <w:t>八</w:t>
      </w:r>
      <w:r>
        <w:rPr>
          <w:rFonts w:hint="eastAsia" w:ascii="宋体" w:hAnsi="宋体" w:eastAsia="宋体" w:cs="宋体"/>
          <w:b/>
          <w:bCs/>
          <w:color w:val="auto"/>
          <w:sz w:val="21"/>
          <w:szCs w:val="21"/>
          <w:lang w:eastAsia="zh-CN"/>
        </w:rPr>
        <w:t>条</w:t>
      </w:r>
      <w:r>
        <w:rPr>
          <w:rFonts w:hint="eastAsia" w:ascii="宋体" w:hAnsi="宋体" w:eastAsia="宋体" w:cs="宋体"/>
          <w:color w:val="auto"/>
          <w:sz w:val="21"/>
          <w:szCs w:val="21"/>
          <w:lang w:eastAsia="zh-CN"/>
        </w:rPr>
        <w:t xml:space="preserve"> 招标文件及合同约定的经营范围以外的事项，由双方另行商议。</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第二十</w:t>
      </w:r>
      <w:r>
        <w:rPr>
          <w:rFonts w:hint="eastAsia" w:ascii="宋体" w:hAnsi="宋体" w:cs="宋体"/>
          <w:b/>
          <w:bCs/>
          <w:color w:val="auto"/>
          <w:sz w:val="21"/>
          <w:szCs w:val="21"/>
          <w:lang w:val="en-US" w:eastAsia="zh-CN"/>
        </w:rPr>
        <w:t>九</w:t>
      </w:r>
      <w:r>
        <w:rPr>
          <w:rFonts w:hint="eastAsia" w:ascii="宋体" w:hAnsi="宋体" w:eastAsia="宋体" w:cs="宋体"/>
          <w:b/>
          <w:bCs/>
          <w:color w:val="auto"/>
          <w:sz w:val="21"/>
          <w:szCs w:val="21"/>
          <w:lang w:eastAsia="zh-CN"/>
        </w:rPr>
        <w:t>条 合同生效</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本合同一式</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none"/>
          <w:lang w:eastAsia="zh-CN"/>
        </w:rPr>
        <w:t>份</w:t>
      </w:r>
      <w:r>
        <w:rPr>
          <w:rFonts w:hint="eastAsia" w:ascii="宋体" w:hAnsi="宋体" w:eastAsia="宋体" w:cs="宋体"/>
          <w:color w:val="auto"/>
          <w:sz w:val="21"/>
          <w:szCs w:val="21"/>
          <w:lang w:eastAsia="zh-CN"/>
        </w:rPr>
        <w:t>，具有同等法律效力，甲、乙两方各执</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none"/>
          <w:lang w:eastAsia="zh-CN"/>
        </w:rPr>
        <w:t>份，</w:t>
      </w:r>
      <w:r>
        <w:rPr>
          <w:rFonts w:hint="eastAsia" w:ascii="宋体" w:hAnsi="宋体" w:eastAsia="宋体" w:cs="宋体"/>
          <w:color w:val="auto"/>
          <w:sz w:val="21"/>
          <w:szCs w:val="21"/>
          <w:lang w:eastAsia="zh-CN"/>
        </w:rPr>
        <w:t>代理机构</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none"/>
          <w:lang w:eastAsia="zh-CN"/>
        </w:rPr>
        <w:t>份。</w:t>
      </w:r>
      <w:r>
        <w:rPr>
          <w:rFonts w:hint="eastAsia" w:ascii="宋体" w:hAnsi="宋体" w:eastAsia="宋体" w:cs="宋体"/>
          <w:color w:val="auto"/>
          <w:sz w:val="21"/>
          <w:szCs w:val="21"/>
          <w:lang w:eastAsia="zh-CN"/>
        </w:rPr>
        <w:t>本合同经双方法定代表人或授权委托代理人签字并加盖单位印章后生效。</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第</w:t>
      </w:r>
      <w:r>
        <w:rPr>
          <w:rFonts w:hint="eastAsia" w:ascii="宋体" w:hAnsi="宋体" w:cs="宋体"/>
          <w:b/>
          <w:bCs/>
          <w:color w:val="auto"/>
          <w:sz w:val="21"/>
          <w:szCs w:val="21"/>
          <w:lang w:val="en-US" w:eastAsia="zh-CN"/>
        </w:rPr>
        <w:t>三十</w:t>
      </w:r>
      <w:r>
        <w:rPr>
          <w:rFonts w:hint="eastAsia" w:ascii="宋体" w:hAnsi="宋体" w:eastAsia="宋体" w:cs="宋体"/>
          <w:b/>
          <w:bCs/>
          <w:color w:val="auto"/>
          <w:sz w:val="21"/>
          <w:szCs w:val="21"/>
          <w:lang w:eastAsia="zh-CN"/>
        </w:rPr>
        <w:t>条 合同附件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 w:val="21"/>
          <w:szCs w:val="21"/>
          <w:lang w:val="en-US" w:eastAsia="zh-CN"/>
        </w:rPr>
      </w:pPr>
      <w:r>
        <w:rPr>
          <w:rFonts w:hint="eastAsia" w:ascii="宋体" w:hAnsi="宋体" w:eastAsia="宋体" w:cs="宋体"/>
          <w:color w:val="auto"/>
          <w:sz w:val="21"/>
          <w:szCs w:val="21"/>
          <w:lang w:eastAsia="zh-CN"/>
        </w:rPr>
        <w:t>具体车位个数和停车收费时间及收费价格在补充合同中签署。本合同中如有未尽事宜，可由双方另行协商并签订补充合同。补充合同是本合同的组成部分，与本合同具有同等法律效力。</w:t>
      </w:r>
      <w:r>
        <w:rPr>
          <w:rFonts w:hint="eastAsia" w:ascii="宋体" w:hAnsi="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olor w:val="auto"/>
          <w:lang w:eastAsia="zh-CN"/>
        </w:rPr>
      </w:pPr>
      <w:r>
        <w:rPr>
          <w:rFonts w:hint="eastAsia" w:ascii="宋体" w:hAnsi="宋体" w:cs="宋体"/>
          <w:color w:val="auto"/>
          <w:sz w:val="21"/>
          <w:szCs w:val="21"/>
          <w:lang w:val="en-US" w:eastAsia="zh-CN"/>
        </w:rPr>
        <w:t xml:space="preserve">  </w:t>
      </w:r>
    </w:p>
    <w:tbl>
      <w:tblPr>
        <w:tblStyle w:val="20"/>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460" w:type="dxa"/>
            <w:tcBorders>
              <w:top w:val="nil"/>
              <w:left w:val="nil"/>
              <w:bottom w:val="nil"/>
              <w:right w:val="nil"/>
            </w:tcBorders>
            <w:vAlign w:val="center"/>
          </w:tcPr>
          <w:p>
            <w:pPr>
              <w:keepNext w:val="0"/>
              <w:keepLines w:val="0"/>
              <w:pageBreakBefore w:val="0"/>
              <w:kinsoku/>
              <w:wordWrap/>
              <w:topLinePunct w:val="0"/>
              <w:bidi w:val="0"/>
              <w:snapToGrid/>
              <w:spacing w:line="460" w:lineRule="exact"/>
              <w:jc w:val="both"/>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lang w:eastAsia="zh-CN"/>
              </w:rPr>
              <w:t>甲方（盖章）：</w:t>
            </w:r>
          </w:p>
        </w:tc>
        <w:tc>
          <w:tcPr>
            <w:tcW w:w="4460" w:type="dxa"/>
            <w:tcBorders>
              <w:top w:val="nil"/>
              <w:left w:val="nil"/>
              <w:bottom w:val="nil"/>
              <w:right w:val="nil"/>
            </w:tcBorders>
            <w:vAlign w:val="center"/>
          </w:tcPr>
          <w:p>
            <w:pPr>
              <w:keepNext w:val="0"/>
              <w:keepLines w:val="0"/>
              <w:pageBreakBefore w:val="0"/>
              <w:kinsoku/>
              <w:wordWrap/>
              <w:topLinePunct w:val="0"/>
              <w:bidi w:val="0"/>
              <w:snapToGrid/>
              <w:spacing w:line="460" w:lineRule="exact"/>
              <w:jc w:val="both"/>
              <w:rPr>
                <w:rFonts w:hint="eastAsia" w:ascii="宋体" w:hAnsi="宋体" w:eastAsia="宋体" w:cs="宋体"/>
                <w:color w:val="auto"/>
                <w:sz w:val="13"/>
                <w:szCs w:val="13"/>
                <w:vertAlign w:val="baseline"/>
                <w:lang w:eastAsia="zh-CN"/>
              </w:rPr>
            </w:pPr>
            <w:r>
              <w:rPr>
                <w:rFonts w:hint="eastAsia" w:ascii="宋体" w:hAnsi="宋体" w:eastAsia="宋体" w:cs="宋体"/>
                <w:color w:val="auto"/>
                <w:sz w:val="21"/>
                <w:szCs w:val="21"/>
                <w:lang w:eastAsia="zh-CN"/>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460" w:type="dxa"/>
            <w:tcBorders>
              <w:top w:val="nil"/>
              <w:left w:val="nil"/>
              <w:bottom w:val="nil"/>
              <w:right w:val="nil"/>
            </w:tcBorders>
            <w:vAlign w:val="center"/>
          </w:tcPr>
          <w:p>
            <w:pPr>
              <w:keepNext w:val="0"/>
              <w:keepLines w:val="0"/>
              <w:pageBreakBefore w:val="0"/>
              <w:kinsoku/>
              <w:wordWrap/>
              <w:topLinePunct w:val="0"/>
              <w:bidi w:val="0"/>
              <w:snapToGrid/>
              <w:spacing w:line="46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法定代表人</w:t>
            </w:r>
          </w:p>
          <w:p>
            <w:pPr>
              <w:keepNext w:val="0"/>
              <w:keepLines w:val="0"/>
              <w:pageBreakBefore w:val="0"/>
              <w:kinsoku/>
              <w:wordWrap/>
              <w:topLinePunct w:val="0"/>
              <w:bidi w:val="0"/>
              <w:snapToGrid/>
              <w:spacing w:line="460" w:lineRule="exact"/>
              <w:jc w:val="both"/>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lang w:eastAsia="zh-CN"/>
              </w:rPr>
              <w:t>或授权委托代理人（签字）：</w:t>
            </w:r>
          </w:p>
        </w:tc>
        <w:tc>
          <w:tcPr>
            <w:tcW w:w="4460" w:type="dxa"/>
            <w:tcBorders>
              <w:top w:val="nil"/>
              <w:left w:val="nil"/>
              <w:bottom w:val="nil"/>
              <w:right w:val="nil"/>
            </w:tcBorders>
            <w:vAlign w:val="center"/>
          </w:tcPr>
          <w:p>
            <w:pPr>
              <w:keepNext w:val="0"/>
              <w:keepLines w:val="0"/>
              <w:pageBreakBefore w:val="0"/>
              <w:kinsoku/>
              <w:wordWrap/>
              <w:topLinePunct w:val="0"/>
              <w:bidi w:val="0"/>
              <w:snapToGrid/>
              <w:spacing w:line="46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法定代表人</w:t>
            </w:r>
          </w:p>
          <w:p>
            <w:pPr>
              <w:keepNext w:val="0"/>
              <w:keepLines w:val="0"/>
              <w:pageBreakBefore w:val="0"/>
              <w:kinsoku/>
              <w:wordWrap/>
              <w:topLinePunct w:val="0"/>
              <w:bidi w:val="0"/>
              <w:snapToGrid/>
              <w:spacing w:line="460" w:lineRule="exact"/>
              <w:jc w:val="both"/>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lang w:eastAsia="zh-CN"/>
              </w:rPr>
              <w:t>或授权委托代理人（签字）：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60" w:type="dxa"/>
            <w:tcBorders>
              <w:top w:val="nil"/>
              <w:left w:val="nil"/>
              <w:bottom w:val="nil"/>
              <w:right w:val="nil"/>
            </w:tcBorders>
            <w:vAlign w:val="center"/>
          </w:tcPr>
          <w:p>
            <w:pPr>
              <w:keepNext w:val="0"/>
              <w:keepLines w:val="0"/>
              <w:pageBreakBefore w:val="0"/>
              <w:kinsoku/>
              <w:wordWrap/>
              <w:topLinePunct w:val="0"/>
              <w:bidi w:val="0"/>
              <w:snapToGrid/>
              <w:spacing w:line="460" w:lineRule="exact"/>
              <w:jc w:val="both"/>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lang w:eastAsia="zh-CN"/>
              </w:rPr>
              <w:t>联系电话：</w:t>
            </w:r>
          </w:p>
        </w:tc>
        <w:tc>
          <w:tcPr>
            <w:tcW w:w="4460" w:type="dxa"/>
            <w:tcBorders>
              <w:top w:val="nil"/>
              <w:left w:val="nil"/>
              <w:bottom w:val="nil"/>
              <w:right w:val="nil"/>
            </w:tcBorders>
            <w:vAlign w:val="center"/>
          </w:tcPr>
          <w:p>
            <w:pPr>
              <w:keepNext w:val="0"/>
              <w:keepLines w:val="0"/>
              <w:pageBreakBefore w:val="0"/>
              <w:kinsoku/>
              <w:wordWrap/>
              <w:topLinePunct w:val="0"/>
              <w:bidi w:val="0"/>
              <w:snapToGrid/>
              <w:spacing w:line="460" w:lineRule="exact"/>
              <w:jc w:val="both"/>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460" w:type="dxa"/>
            <w:tcBorders>
              <w:top w:val="nil"/>
              <w:left w:val="nil"/>
              <w:bottom w:val="nil"/>
              <w:right w:val="nil"/>
            </w:tcBorders>
            <w:vAlign w:val="center"/>
          </w:tcPr>
          <w:p>
            <w:pPr>
              <w:pStyle w:val="2"/>
              <w:keepNext w:val="0"/>
              <w:keepLines w:val="0"/>
              <w:pageBreakBefore w:val="0"/>
              <w:kinsoku/>
              <w:wordWrap/>
              <w:topLinePunct w:val="0"/>
              <w:bidi w:val="0"/>
              <w:snapToGrid/>
              <w:spacing w:line="460" w:lineRule="exact"/>
              <w:ind w:left="0" w:leftChars="0" w:firstLine="840" w:firstLineChars="400"/>
              <w:jc w:val="both"/>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lang w:eastAsia="zh-CN"/>
              </w:rPr>
              <w:t>年   月   日</w:t>
            </w:r>
          </w:p>
        </w:tc>
        <w:tc>
          <w:tcPr>
            <w:tcW w:w="4460" w:type="dxa"/>
            <w:tcBorders>
              <w:top w:val="nil"/>
              <w:left w:val="nil"/>
              <w:bottom w:val="nil"/>
              <w:right w:val="nil"/>
            </w:tcBorders>
            <w:vAlign w:val="center"/>
          </w:tcPr>
          <w:p>
            <w:pPr>
              <w:keepNext w:val="0"/>
              <w:keepLines w:val="0"/>
              <w:pageBreakBefore w:val="0"/>
              <w:kinsoku/>
              <w:wordWrap/>
              <w:topLinePunct w:val="0"/>
              <w:bidi w:val="0"/>
              <w:snapToGrid/>
              <w:spacing w:line="460" w:lineRule="exact"/>
              <w:jc w:val="both"/>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lang w:eastAsia="zh-CN"/>
              </w:rPr>
              <w:t>年   月   日</w:t>
            </w:r>
          </w:p>
        </w:tc>
      </w:tr>
    </w:tbl>
    <w:p>
      <w:pPr>
        <w:pStyle w:val="2"/>
        <w:keepNext w:val="0"/>
        <w:keepLines w:val="0"/>
        <w:pageBreakBefore w:val="0"/>
        <w:kinsoku/>
        <w:wordWrap/>
        <w:topLinePunct w:val="0"/>
        <w:bidi w:val="0"/>
        <w:snapToGrid/>
        <w:spacing w:line="460" w:lineRule="exact"/>
        <w:ind w:left="0" w:leftChars="0" w:firstLine="0" w:firstLineChars="0"/>
        <w:rPr>
          <w:rFonts w:hint="eastAsia"/>
          <w:color w:val="auto"/>
          <w:lang w:eastAsia="zh-CN"/>
        </w:rPr>
      </w:pPr>
    </w:p>
    <w:sectPr>
      <w:pgSz w:w="11906" w:h="16838"/>
      <w:pgMar w:top="1327"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微软雅黑"/>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DFKai-SB">
    <w:panose1 w:val="03000509000000000000"/>
    <w:charset w:val="88"/>
    <w:family w:val="script"/>
    <w:pitch w:val="default"/>
    <w:sig w:usb0="00000003" w:usb1="082E0000"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42</w:t>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6QKcsBAACc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W+kCnLAQAAnAMAAA4AAAAAAAAAAQAgAAAAHgEAAGRycy9lMm9E&#10;b2MueG1sUEsFBgAAAAAGAAYAWQEAAFsFA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42</w:t>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94CF1"/>
    <w:multiLevelType w:val="singleLevel"/>
    <w:tmpl w:val="81194CF1"/>
    <w:lvl w:ilvl="0" w:tentative="0">
      <w:start w:val="1"/>
      <w:numFmt w:val="chineseCounting"/>
      <w:suff w:val="nothing"/>
      <w:lvlText w:val="%1、"/>
      <w:lvlJc w:val="left"/>
      <w:pPr>
        <w:ind w:left="0" w:firstLine="420"/>
      </w:pPr>
      <w:rPr>
        <w:rFonts w:hint="eastAsia"/>
        <w:b/>
        <w:bCs/>
        <w:color w:val="auto"/>
      </w:rPr>
    </w:lvl>
  </w:abstractNum>
  <w:abstractNum w:abstractNumId="1">
    <w:nsid w:val="96CA0845"/>
    <w:multiLevelType w:val="singleLevel"/>
    <w:tmpl w:val="96CA0845"/>
    <w:lvl w:ilvl="0" w:tentative="0">
      <w:start w:val="1"/>
      <w:numFmt w:val="chineseCounting"/>
      <w:suff w:val="nothing"/>
      <w:lvlText w:val="（%1）"/>
      <w:lvlJc w:val="left"/>
      <w:pPr>
        <w:ind w:left="0" w:firstLine="420"/>
      </w:pPr>
      <w:rPr>
        <w:rFonts w:hint="eastAsia"/>
      </w:rPr>
    </w:lvl>
  </w:abstractNum>
  <w:abstractNum w:abstractNumId="2">
    <w:nsid w:val="A86F86CF"/>
    <w:multiLevelType w:val="singleLevel"/>
    <w:tmpl w:val="A86F86CF"/>
    <w:lvl w:ilvl="0" w:tentative="0">
      <w:start w:val="1"/>
      <w:numFmt w:val="chineseCounting"/>
      <w:suff w:val="nothing"/>
      <w:lvlText w:val="（%1）"/>
      <w:lvlJc w:val="left"/>
      <w:pPr>
        <w:ind w:left="0" w:firstLine="420"/>
      </w:pPr>
      <w:rPr>
        <w:rFonts w:hint="eastAsia"/>
      </w:rPr>
    </w:lvl>
  </w:abstractNum>
  <w:abstractNum w:abstractNumId="3">
    <w:nsid w:val="AE054214"/>
    <w:multiLevelType w:val="singleLevel"/>
    <w:tmpl w:val="AE054214"/>
    <w:lvl w:ilvl="0" w:tentative="0">
      <w:start w:val="1"/>
      <w:numFmt w:val="chineseCounting"/>
      <w:suff w:val="nothing"/>
      <w:lvlText w:val="（%1）"/>
      <w:lvlJc w:val="left"/>
      <w:pPr>
        <w:ind w:left="0" w:firstLine="420"/>
      </w:pPr>
      <w:rPr>
        <w:rFonts w:hint="eastAsia"/>
      </w:rPr>
    </w:lvl>
  </w:abstractNum>
  <w:abstractNum w:abstractNumId="4">
    <w:nsid w:val="E2788F7C"/>
    <w:multiLevelType w:val="singleLevel"/>
    <w:tmpl w:val="E2788F7C"/>
    <w:lvl w:ilvl="0" w:tentative="0">
      <w:start w:val="1"/>
      <w:numFmt w:val="chineseCounting"/>
      <w:suff w:val="nothing"/>
      <w:lvlText w:val="（%1）"/>
      <w:lvlJc w:val="left"/>
      <w:pPr>
        <w:ind w:left="0" w:firstLine="420"/>
      </w:pPr>
      <w:rPr>
        <w:rFonts w:hint="eastAsia"/>
      </w:rPr>
    </w:lvl>
  </w:abstractNum>
  <w:abstractNum w:abstractNumId="5">
    <w:nsid w:val="F9AF396B"/>
    <w:multiLevelType w:val="singleLevel"/>
    <w:tmpl w:val="F9AF396B"/>
    <w:lvl w:ilvl="0" w:tentative="0">
      <w:start w:val="1"/>
      <w:numFmt w:val="decimal"/>
      <w:lvlText w:val="%1."/>
      <w:lvlJc w:val="left"/>
      <w:pPr>
        <w:ind w:left="425" w:hanging="425"/>
      </w:pPr>
      <w:rPr>
        <w:rFonts w:hint="default"/>
      </w:rPr>
    </w:lvl>
  </w:abstractNum>
  <w:abstractNum w:abstractNumId="6">
    <w:nsid w:val="0E29713E"/>
    <w:multiLevelType w:val="multilevel"/>
    <w:tmpl w:val="0E29713E"/>
    <w:lvl w:ilvl="0" w:tentative="0">
      <w:start w:val="1"/>
      <w:numFmt w:val="decimal"/>
      <w:pStyle w:val="9"/>
      <w:suff w:val="space"/>
      <w:lvlText w:val="第%1章"/>
      <w:lvlJc w:val="left"/>
      <w:pPr>
        <w:ind w:left="1038" w:hanging="420"/>
      </w:pPr>
      <w:rPr>
        <w:rFonts w:hint="default"/>
      </w:rPr>
    </w:lvl>
    <w:lvl w:ilvl="1" w:tentative="0">
      <w:start w:val="1"/>
      <w:numFmt w:val="lowerLetter"/>
      <w:lvlText w:val="%2)"/>
      <w:lvlJc w:val="left"/>
      <w:pPr>
        <w:ind w:left="1458" w:hanging="420"/>
      </w:pPr>
      <w:rPr>
        <w:rFonts w:hint="eastAsia"/>
      </w:rPr>
    </w:lvl>
    <w:lvl w:ilvl="2" w:tentative="0">
      <w:start w:val="1"/>
      <w:numFmt w:val="lowerRoman"/>
      <w:lvlText w:val="%3."/>
      <w:lvlJc w:val="right"/>
      <w:pPr>
        <w:ind w:left="1878" w:hanging="420"/>
      </w:pPr>
      <w:rPr>
        <w:rFonts w:hint="eastAsia"/>
      </w:rPr>
    </w:lvl>
    <w:lvl w:ilvl="3" w:tentative="0">
      <w:start w:val="1"/>
      <w:numFmt w:val="decimal"/>
      <w:lvlText w:val="%4."/>
      <w:lvlJc w:val="left"/>
      <w:pPr>
        <w:ind w:left="2298" w:hanging="420"/>
      </w:pPr>
      <w:rPr>
        <w:rFonts w:hint="eastAsia"/>
      </w:rPr>
    </w:lvl>
    <w:lvl w:ilvl="4" w:tentative="0">
      <w:start w:val="1"/>
      <w:numFmt w:val="lowerLetter"/>
      <w:lvlText w:val="%5)"/>
      <w:lvlJc w:val="left"/>
      <w:pPr>
        <w:ind w:left="2718" w:hanging="420"/>
      </w:pPr>
      <w:rPr>
        <w:rFonts w:hint="eastAsia"/>
      </w:rPr>
    </w:lvl>
    <w:lvl w:ilvl="5" w:tentative="0">
      <w:start w:val="1"/>
      <w:numFmt w:val="lowerRoman"/>
      <w:lvlText w:val="%6."/>
      <w:lvlJc w:val="right"/>
      <w:pPr>
        <w:ind w:left="3138" w:hanging="420"/>
      </w:pPr>
      <w:rPr>
        <w:rFonts w:hint="eastAsia"/>
      </w:rPr>
    </w:lvl>
    <w:lvl w:ilvl="6" w:tentative="0">
      <w:start w:val="1"/>
      <w:numFmt w:val="decimal"/>
      <w:lvlText w:val="%7."/>
      <w:lvlJc w:val="left"/>
      <w:pPr>
        <w:ind w:left="3558" w:hanging="420"/>
      </w:pPr>
      <w:rPr>
        <w:rFonts w:hint="eastAsia"/>
      </w:rPr>
    </w:lvl>
    <w:lvl w:ilvl="7" w:tentative="0">
      <w:start w:val="1"/>
      <w:numFmt w:val="lowerLetter"/>
      <w:lvlText w:val="%8)"/>
      <w:lvlJc w:val="left"/>
      <w:pPr>
        <w:ind w:left="3978" w:hanging="420"/>
      </w:pPr>
      <w:rPr>
        <w:rFonts w:hint="eastAsia"/>
      </w:rPr>
    </w:lvl>
    <w:lvl w:ilvl="8" w:tentative="0">
      <w:start w:val="1"/>
      <w:numFmt w:val="lowerRoman"/>
      <w:lvlText w:val="%9."/>
      <w:lvlJc w:val="right"/>
      <w:pPr>
        <w:ind w:left="4398" w:hanging="420"/>
      </w:pPr>
      <w:rPr>
        <w:rFonts w:hint="eastAsia"/>
      </w:rPr>
    </w:lvl>
  </w:abstractNum>
  <w:abstractNum w:abstractNumId="7">
    <w:nsid w:val="12156C8C"/>
    <w:multiLevelType w:val="multilevel"/>
    <w:tmpl w:val="12156C8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1BBEDE9C"/>
    <w:multiLevelType w:val="singleLevel"/>
    <w:tmpl w:val="1BBEDE9C"/>
    <w:lvl w:ilvl="0" w:tentative="0">
      <w:start w:val="1"/>
      <w:numFmt w:val="decimal"/>
      <w:lvlText w:val="%1."/>
      <w:lvlJc w:val="left"/>
      <w:pPr>
        <w:ind w:left="425" w:hanging="425"/>
      </w:pPr>
      <w:rPr>
        <w:rFonts w:hint="default"/>
      </w:rPr>
    </w:lvl>
  </w:abstractNum>
  <w:abstractNum w:abstractNumId="9">
    <w:nsid w:val="3C7F1223"/>
    <w:multiLevelType w:val="multilevel"/>
    <w:tmpl w:val="3C7F1223"/>
    <w:lvl w:ilvl="0" w:tentative="0">
      <w:start w:val="1"/>
      <w:numFmt w:val="decimal"/>
      <w:lvlText w:val="%1"/>
      <w:lvlJc w:val="left"/>
      <w:pPr>
        <w:ind w:left="432" w:hanging="432"/>
      </w:pPr>
      <w:rPr>
        <w:rFonts w:hint="eastAsia" w:cs="Times New Roman"/>
      </w:rPr>
    </w:lvl>
    <w:lvl w:ilvl="1" w:tentative="0">
      <w:start w:val="1"/>
      <w:numFmt w:val="decimal"/>
      <w:pStyle w:val="10"/>
      <w:lvlText w:val="%1.%2"/>
      <w:lvlJc w:val="left"/>
      <w:pPr>
        <w:ind w:left="786" w:hanging="576"/>
      </w:pPr>
      <w:rPr>
        <w:rFonts w:hint="default" w:cs="Times New Roman"/>
        <w:i w:val="0"/>
        <w:iCs w:val="0"/>
        <w:caps w:val="0"/>
        <w:smallCaps w:val="0"/>
        <w:strike w:val="0"/>
        <w:dstrike w:val="0"/>
        <w:vanish w:val="0"/>
        <w:color w:val="000000"/>
        <w:spacing w:val="0"/>
        <w:kern w:val="0"/>
        <w:position w:val="0"/>
        <w:sz w:val="28"/>
        <w:szCs w:val="28"/>
        <w:u w:val="none"/>
        <w:vertAlign w:val="baseline"/>
      </w:rPr>
    </w:lvl>
    <w:lvl w:ilvl="2" w:tentative="0">
      <w:start w:val="1"/>
      <w:numFmt w:val="decimal"/>
      <w:lvlText w:val="%1.%2.%3"/>
      <w:lvlJc w:val="left"/>
      <w:pPr>
        <w:ind w:left="720" w:hanging="720"/>
      </w:pPr>
      <w:rPr>
        <w:rFonts w:hint="eastAsia" w:cs="Times New Roman"/>
      </w:rPr>
    </w:lvl>
    <w:lvl w:ilvl="3" w:tentative="0">
      <w:start w:val="1"/>
      <w:numFmt w:val="decimal"/>
      <w:lvlText w:val="%1.%2.%3.%4"/>
      <w:lvlJc w:val="left"/>
      <w:pPr>
        <w:ind w:left="864" w:hanging="864"/>
      </w:pPr>
      <w:rPr>
        <w:rFonts w:hint="eastAsia" w:cs="Times New Roman"/>
      </w:rPr>
    </w:lvl>
    <w:lvl w:ilvl="4" w:tentative="0">
      <w:start w:val="1"/>
      <w:numFmt w:val="decimal"/>
      <w:lvlText w:val="%1.%2.%3.%4.%5"/>
      <w:lvlJc w:val="left"/>
      <w:pPr>
        <w:ind w:left="1008" w:hanging="1008"/>
      </w:pPr>
      <w:rPr>
        <w:rFonts w:hint="eastAsia" w:cs="Times New Roman"/>
      </w:rPr>
    </w:lvl>
    <w:lvl w:ilvl="5" w:tentative="0">
      <w:start w:val="1"/>
      <w:numFmt w:val="decimal"/>
      <w:lvlText w:val="%1.%2.%3.%4.%5.%6"/>
      <w:lvlJc w:val="left"/>
      <w:pPr>
        <w:ind w:left="1152" w:hanging="1152"/>
      </w:pPr>
      <w:rPr>
        <w:rFonts w:hint="eastAsia" w:cs="Times New Roman"/>
      </w:rPr>
    </w:lvl>
    <w:lvl w:ilvl="6" w:tentative="0">
      <w:start w:val="1"/>
      <w:numFmt w:val="decimal"/>
      <w:lvlText w:val="%1.%2.%3.%4.%5.%6.%7"/>
      <w:lvlJc w:val="left"/>
      <w:pPr>
        <w:ind w:left="1296" w:hanging="1296"/>
      </w:pPr>
      <w:rPr>
        <w:rFonts w:hint="eastAsia" w:cs="Times New Roman"/>
      </w:rPr>
    </w:lvl>
    <w:lvl w:ilvl="7" w:tentative="0">
      <w:start w:val="1"/>
      <w:numFmt w:val="decimal"/>
      <w:lvlText w:val="%1.%2.%3.%4.%5.%6.%7.%8"/>
      <w:lvlJc w:val="left"/>
      <w:pPr>
        <w:ind w:left="1440" w:hanging="1440"/>
      </w:pPr>
      <w:rPr>
        <w:rFonts w:hint="eastAsia" w:cs="Times New Roman"/>
      </w:rPr>
    </w:lvl>
    <w:lvl w:ilvl="8" w:tentative="0">
      <w:start w:val="1"/>
      <w:numFmt w:val="decimal"/>
      <w:lvlText w:val="%1.%2.%3.%4.%5.%6.%7.%8.%9"/>
      <w:lvlJc w:val="left"/>
      <w:pPr>
        <w:ind w:left="1584" w:hanging="1584"/>
      </w:pPr>
      <w:rPr>
        <w:rFonts w:hint="eastAsia" w:cs="Times New Roman"/>
      </w:rPr>
    </w:lvl>
  </w:abstractNum>
  <w:abstractNum w:abstractNumId="10">
    <w:nsid w:val="4861073A"/>
    <w:multiLevelType w:val="multilevel"/>
    <w:tmpl w:val="4861073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51A27690"/>
    <w:multiLevelType w:val="multilevel"/>
    <w:tmpl w:val="51A27690"/>
    <w:lvl w:ilvl="0" w:tentative="0">
      <w:start w:val="1"/>
      <w:numFmt w:val="chineseCountingThousand"/>
      <w:pStyle w:val="12"/>
      <w:lvlText w:val="(%1)"/>
      <w:lvlJc w:val="left"/>
      <w:pPr>
        <w:ind w:left="420" w:hanging="420"/>
      </w:pPr>
      <w:rPr>
        <w:rFonts w:hint="default"/>
      </w:rPr>
    </w:lvl>
    <w:lvl w:ilvl="1" w:tentative="0">
      <w:start w:val="1"/>
      <w:numFmt w:val="decimal"/>
      <w:suff w:val="space"/>
      <w:lvlText w:val="%2、"/>
      <w:lvlJc w:val="left"/>
      <w:pPr>
        <w:ind w:left="1340" w:hanging="720"/>
      </w:pPr>
      <w:rPr>
        <w:rFonts w:hint="default" w:ascii="TimesNewRomanPSMT" w:eastAsia="TimesNewRomanPSMT"/>
      </w:rPr>
    </w:lvl>
    <w:lvl w:ilvl="2" w:tentative="0">
      <w:start w:val="1"/>
      <w:numFmt w:val="decimal"/>
      <w:lvlText w:val="（%3）"/>
      <w:lvlJc w:val="left"/>
      <w:pPr>
        <w:ind w:left="1760" w:hanging="720"/>
      </w:pPr>
      <w:rPr>
        <w:rFonts w:hint="default"/>
      </w:r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2">
    <w:nsid w:val="792BD2F3"/>
    <w:multiLevelType w:val="singleLevel"/>
    <w:tmpl w:val="792BD2F3"/>
    <w:lvl w:ilvl="0" w:tentative="0">
      <w:start w:val="1"/>
      <w:numFmt w:val="decimal"/>
      <w:lvlText w:val="%1."/>
      <w:lvlJc w:val="left"/>
      <w:pPr>
        <w:tabs>
          <w:tab w:val="left" w:pos="312"/>
        </w:tabs>
      </w:pPr>
    </w:lvl>
  </w:abstractNum>
  <w:num w:numId="1">
    <w:abstractNumId w:val="6"/>
  </w:num>
  <w:num w:numId="2">
    <w:abstractNumId w:val="9"/>
  </w:num>
  <w:num w:numId="3">
    <w:abstractNumId w:val="11"/>
  </w:num>
  <w:num w:numId="4">
    <w:abstractNumId w:val="0"/>
  </w:num>
  <w:num w:numId="5">
    <w:abstractNumId w:val="1"/>
  </w:num>
  <w:num w:numId="6">
    <w:abstractNumId w:val="2"/>
  </w:num>
  <w:num w:numId="7">
    <w:abstractNumId w:val="12"/>
  </w:num>
  <w:num w:numId="8">
    <w:abstractNumId w:val="10"/>
  </w:num>
  <w:num w:numId="9">
    <w:abstractNumId w:val="3"/>
  </w:num>
  <w:num w:numId="10">
    <w:abstractNumId w:val="8"/>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02680"/>
    <w:rsid w:val="009D2CCB"/>
    <w:rsid w:val="00CC7987"/>
    <w:rsid w:val="00EE3559"/>
    <w:rsid w:val="00F0655D"/>
    <w:rsid w:val="057C7ACF"/>
    <w:rsid w:val="085F102E"/>
    <w:rsid w:val="09A700A1"/>
    <w:rsid w:val="0A5439FC"/>
    <w:rsid w:val="0FBC6489"/>
    <w:rsid w:val="107D1325"/>
    <w:rsid w:val="19127C85"/>
    <w:rsid w:val="1CEA0DB6"/>
    <w:rsid w:val="1EC7290D"/>
    <w:rsid w:val="217264D7"/>
    <w:rsid w:val="22D80A58"/>
    <w:rsid w:val="24A53510"/>
    <w:rsid w:val="252D7E52"/>
    <w:rsid w:val="292B13CA"/>
    <w:rsid w:val="2CD078E4"/>
    <w:rsid w:val="2CFB73DD"/>
    <w:rsid w:val="31A94753"/>
    <w:rsid w:val="31E93121"/>
    <w:rsid w:val="3810372D"/>
    <w:rsid w:val="3C2948A4"/>
    <w:rsid w:val="3CDC7C6A"/>
    <w:rsid w:val="3E757708"/>
    <w:rsid w:val="40204729"/>
    <w:rsid w:val="40C10720"/>
    <w:rsid w:val="422634F4"/>
    <w:rsid w:val="439212D8"/>
    <w:rsid w:val="44402271"/>
    <w:rsid w:val="45C804F9"/>
    <w:rsid w:val="475F32FE"/>
    <w:rsid w:val="47C92EAA"/>
    <w:rsid w:val="498F2797"/>
    <w:rsid w:val="49C73DCB"/>
    <w:rsid w:val="4DBA0DA7"/>
    <w:rsid w:val="536563A3"/>
    <w:rsid w:val="543A1E06"/>
    <w:rsid w:val="54F47E52"/>
    <w:rsid w:val="555F6A57"/>
    <w:rsid w:val="55E93AE3"/>
    <w:rsid w:val="598B1994"/>
    <w:rsid w:val="5A932ADD"/>
    <w:rsid w:val="5B9E57CE"/>
    <w:rsid w:val="5D0E3908"/>
    <w:rsid w:val="5E3D49CC"/>
    <w:rsid w:val="61B15905"/>
    <w:rsid w:val="61E069D3"/>
    <w:rsid w:val="62B62533"/>
    <w:rsid w:val="630D58A2"/>
    <w:rsid w:val="63507813"/>
    <w:rsid w:val="63892FA5"/>
    <w:rsid w:val="64602680"/>
    <w:rsid w:val="667F00AB"/>
    <w:rsid w:val="6BAB0270"/>
    <w:rsid w:val="6BD673A5"/>
    <w:rsid w:val="7A4570AE"/>
    <w:rsid w:val="7A630041"/>
    <w:rsid w:val="7CEF1130"/>
    <w:rsid w:val="7E916F0B"/>
    <w:rsid w:val="7FD7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9">
    <w:name w:val="heading 1"/>
    <w:basedOn w:val="1"/>
    <w:next w:val="1"/>
    <w:qFormat/>
    <w:uiPriority w:val="0"/>
    <w:pPr>
      <w:keepNext/>
      <w:keepLines/>
      <w:numPr>
        <w:ilvl w:val="0"/>
        <w:numId w:val="1"/>
      </w:numPr>
      <w:spacing w:before="120" w:after="120" w:line="578" w:lineRule="auto"/>
      <w:jc w:val="center"/>
      <w:outlineLvl w:val="0"/>
    </w:pPr>
    <w:rPr>
      <w:rFonts w:eastAsia="黑体"/>
      <w:b/>
      <w:bCs/>
      <w:kern w:val="44"/>
      <w:sz w:val="44"/>
      <w:szCs w:val="44"/>
    </w:rPr>
  </w:style>
  <w:style w:type="paragraph" w:styleId="10">
    <w:name w:val="heading 2"/>
    <w:basedOn w:val="1"/>
    <w:next w:val="1"/>
    <w:qFormat/>
    <w:uiPriority w:val="0"/>
    <w:pPr>
      <w:keepNext/>
      <w:keepLines/>
      <w:numPr>
        <w:ilvl w:val="1"/>
        <w:numId w:val="2"/>
      </w:numPr>
      <w:adjustRightInd w:val="0"/>
      <w:spacing w:before="260" w:after="260" w:line="416" w:lineRule="atLeast"/>
      <w:textAlignment w:val="baseline"/>
      <w:outlineLvl w:val="1"/>
    </w:pPr>
    <w:rPr>
      <w:rFonts w:ascii="Arial" w:hAnsi="Arial" w:eastAsia="黑体" w:cs="Arial"/>
      <w:b/>
      <w:bCs/>
      <w:kern w:val="0"/>
      <w:sz w:val="32"/>
      <w:szCs w:val="32"/>
    </w:rPr>
  </w:style>
  <w:style w:type="paragraph" w:styleId="11">
    <w:name w:val="heading 3"/>
    <w:basedOn w:val="1"/>
    <w:next w:val="1"/>
    <w:qFormat/>
    <w:uiPriority w:val="0"/>
    <w:pPr>
      <w:keepNext/>
      <w:keepLines/>
      <w:pBdr>
        <w:top w:val="none" w:color="000000" w:sz="0" w:space="3"/>
        <w:left w:val="none" w:color="000000" w:sz="0" w:space="3"/>
        <w:bottom w:val="none" w:color="000000" w:sz="0" w:space="3"/>
        <w:right w:val="none" w:color="000000" w:sz="0" w:space="3"/>
      </w:pBdr>
      <w:spacing w:before="260" w:after="260" w:line="360" w:lineRule="auto"/>
      <w:ind w:firstLine="602"/>
      <w:outlineLvl w:val="2"/>
    </w:pPr>
    <w:rPr>
      <w:rFonts w:ascii="仿宋_GB2312" w:hAnsi="仿宋_GB2312" w:eastAsia="仿宋_GB2312"/>
      <w:b/>
      <w:bCs/>
      <w:sz w:val="30"/>
    </w:rPr>
  </w:style>
  <w:style w:type="paragraph" w:styleId="12">
    <w:name w:val="heading 4"/>
    <w:basedOn w:val="1"/>
    <w:next w:val="1"/>
    <w:unhideWhenUsed/>
    <w:qFormat/>
    <w:uiPriority w:val="0"/>
    <w:pPr>
      <w:keepNext/>
      <w:keepLines/>
      <w:numPr>
        <w:ilvl w:val="0"/>
        <w:numId w:val="3"/>
      </w:numPr>
      <w:spacing w:before="120" w:after="120" w:line="377" w:lineRule="auto"/>
      <w:jc w:val="left"/>
      <w:outlineLvl w:val="3"/>
    </w:pPr>
    <w:rPr>
      <w:rFonts w:eastAsia="黑体" w:asciiTheme="majorHAnsi" w:hAnsiTheme="majorHAnsi"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rPr>
      <w:szCs w:val="24"/>
    </w:rPr>
  </w:style>
  <w:style w:type="paragraph" w:styleId="3">
    <w:name w:val="Body Text Indent"/>
    <w:basedOn w:val="1"/>
    <w:next w:val="4"/>
    <w:qFormat/>
    <w:uiPriority w:val="0"/>
    <w:pPr>
      <w:spacing w:after="120"/>
      <w:ind w:left="420" w:leftChars="200"/>
    </w:pPr>
  </w:style>
  <w:style w:type="paragraph" w:styleId="4">
    <w:name w:val="envelope return"/>
    <w:basedOn w:val="1"/>
    <w:semiHidden/>
    <w:qFormat/>
    <w:uiPriority w:val="0"/>
    <w:pPr>
      <w:snapToGrid w:val="0"/>
      <w:jc w:val="left"/>
    </w:pPr>
    <w:rPr>
      <w:rFonts w:ascii="Arial" w:hAnsi="Arial" w:eastAsia="DFKai-SB" w:cs="Arial"/>
      <w:sz w:val="28"/>
      <w:lang w:eastAsia="zh-TW"/>
    </w:rPr>
  </w:style>
  <w:style w:type="paragraph" w:styleId="5">
    <w:name w:val="Body Text First Indent"/>
    <w:basedOn w:val="6"/>
    <w:next w:val="8"/>
    <w:qFormat/>
    <w:uiPriority w:val="0"/>
    <w:pPr>
      <w:ind w:firstLine="420" w:firstLineChars="100"/>
    </w:pPr>
  </w:style>
  <w:style w:type="paragraph" w:styleId="6">
    <w:name w:val="Body Text"/>
    <w:basedOn w:val="1"/>
    <w:next w:val="7"/>
    <w:unhideWhenUsed/>
    <w:qFormat/>
    <w:uiPriority w:val="0"/>
    <w:pPr>
      <w:spacing w:after="120"/>
    </w:pPr>
  </w:style>
  <w:style w:type="paragraph" w:customStyle="1" w:styleId="7">
    <w:name w:val="Default"/>
    <w:next w:val="1"/>
    <w:qFormat/>
    <w:uiPriority w:val="0"/>
    <w:pPr>
      <w:widowControl w:val="0"/>
      <w:autoSpaceDE w:val="0"/>
      <w:autoSpaceDN w:val="0"/>
      <w:adjustRightInd w:val="0"/>
    </w:pPr>
    <w:rPr>
      <w:rFonts w:ascii="Arial" w:hAnsi="Arial" w:eastAsia="宋体" w:cs="Times New Roman"/>
      <w:color w:val="000000"/>
      <w:sz w:val="24"/>
      <w:lang w:val="en-US" w:eastAsia="zh-CN" w:bidi="ar-SA"/>
    </w:rPr>
  </w:style>
  <w:style w:type="paragraph" w:styleId="8">
    <w:name w:val="toc 6"/>
    <w:basedOn w:val="1"/>
    <w:next w:val="1"/>
    <w:qFormat/>
    <w:uiPriority w:val="0"/>
    <w:pPr>
      <w:ind w:left="1400"/>
      <w:jc w:val="left"/>
    </w:pPr>
    <w:rPr>
      <w:rFonts w:ascii="Calibri" w:hAnsi="Calibri"/>
      <w:sz w:val="18"/>
    </w:rPr>
  </w:style>
  <w:style w:type="paragraph" w:styleId="13">
    <w:name w:val="Normal Indent"/>
    <w:basedOn w:val="1"/>
    <w:qFormat/>
    <w:uiPriority w:val="99"/>
    <w:pPr>
      <w:ind w:firstLine="420"/>
    </w:pPr>
    <w:rPr>
      <w:szCs w:val="20"/>
    </w:rPr>
  </w:style>
  <w:style w:type="paragraph" w:styleId="14">
    <w:name w:val="annotation text"/>
    <w:basedOn w:val="1"/>
    <w:qFormat/>
    <w:uiPriority w:val="0"/>
    <w:pPr>
      <w:jc w:val="left"/>
    </w:pPr>
  </w:style>
  <w:style w:type="paragraph" w:styleId="15">
    <w:name w:val="Plain Text"/>
    <w:basedOn w:val="1"/>
    <w:next w:val="1"/>
    <w:qFormat/>
    <w:uiPriority w:val="99"/>
    <w:rPr>
      <w:rFonts w:ascii="宋体" w:hAnsi="Courier New"/>
      <w:szCs w:val="20"/>
    </w:rPr>
  </w:style>
  <w:style w:type="paragraph" w:styleId="16">
    <w:name w:val="Balloon Text"/>
    <w:basedOn w:val="1"/>
    <w:link w:val="34"/>
    <w:qFormat/>
    <w:uiPriority w:val="0"/>
    <w:rPr>
      <w:sz w:val="18"/>
      <w:szCs w:val="18"/>
    </w:rPr>
  </w:style>
  <w:style w:type="paragraph" w:styleId="17">
    <w:name w:val="footer"/>
    <w:basedOn w:val="1"/>
    <w:link w:val="33"/>
    <w:qFormat/>
    <w:uiPriority w:val="0"/>
    <w:pPr>
      <w:tabs>
        <w:tab w:val="center" w:pos="4153"/>
        <w:tab w:val="right" w:pos="8306"/>
      </w:tabs>
      <w:snapToGrid w:val="0"/>
      <w:jc w:val="left"/>
    </w:pPr>
    <w:rPr>
      <w:sz w:val="18"/>
      <w:szCs w:val="18"/>
    </w:rPr>
  </w:style>
  <w:style w:type="paragraph" w:styleId="18">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annotation reference"/>
    <w:basedOn w:val="21"/>
    <w:qFormat/>
    <w:uiPriority w:val="0"/>
    <w:rPr>
      <w:sz w:val="21"/>
      <w:szCs w:val="21"/>
    </w:rPr>
  </w:style>
  <w:style w:type="paragraph" w:customStyle="1" w:styleId="23">
    <w:name w:val="Fließtext"/>
    <w:basedOn w:val="1"/>
    <w:qFormat/>
    <w:uiPriority w:val="99"/>
    <w:pPr>
      <w:overflowPunct w:val="0"/>
      <w:autoSpaceDE w:val="0"/>
      <w:autoSpaceDN w:val="0"/>
      <w:adjustRightInd w:val="0"/>
      <w:textAlignment w:val="baseline"/>
    </w:pPr>
    <w:rPr>
      <w:kern w:val="28"/>
      <w:szCs w:val="20"/>
    </w:rPr>
  </w:style>
  <w:style w:type="paragraph" w:customStyle="1" w:styleId="24">
    <w:name w:val="列出段落1"/>
    <w:basedOn w:val="1"/>
    <w:qFormat/>
    <w:uiPriority w:val="99"/>
    <w:pPr>
      <w:ind w:firstLine="420" w:firstLineChars="200"/>
    </w:pPr>
  </w:style>
  <w:style w:type="paragraph" w:styleId="25">
    <w:name w:val="List Paragraph"/>
    <w:basedOn w:val="1"/>
    <w:unhideWhenUsed/>
    <w:qFormat/>
    <w:uiPriority w:val="34"/>
    <w:pPr>
      <w:ind w:firstLine="420" w:firstLineChars="200"/>
    </w:pPr>
  </w:style>
  <w:style w:type="character" w:customStyle="1" w:styleId="26">
    <w:name w:val="font01"/>
    <w:basedOn w:val="21"/>
    <w:qFormat/>
    <w:uiPriority w:val="0"/>
    <w:rPr>
      <w:rFonts w:hint="eastAsia" w:ascii="宋体" w:hAnsi="宋体" w:eastAsia="宋体" w:cs="宋体"/>
      <w:color w:val="000000"/>
      <w:sz w:val="24"/>
      <w:szCs w:val="24"/>
      <w:u w:val="none"/>
    </w:rPr>
  </w:style>
  <w:style w:type="character" w:customStyle="1" w:styleId="27">
    <w:name w:val="font51"/>
    <w:basedOn w:val="21"/>
    <w:qFormat/>
    <w:uiPriority w:val="0"/>
    <w:rPr>
      <w:rFonts w:hint="eastAsia" w:ascii="宋体" w:hAnsi="宋体" w:eastAsia="宋体" w:cs="宋体"/>
      <w:color w:val="000000"/>
      <w:sz w:val="22"/>
      <w:szCs w:val="22"/>
      <w:u w:val="none"/>
    </w:rPr>
  </w:style>
  <w:style w:type="character" w:customStyle="1" w:styleId="28">
    <w:name w:val="font31"/>
    <w:basedOn w:val="21"/>
    <w:qFormat/>
    <w:uiPriority w:val="0"/>
    <w:rPr>
      <w:rFonts w:hint="eastAsia" w:ascii="宋体" w:hAnsi="宋体" w:eastAsia="宋体" w:cs="宋体"/>
      <w:color w:val="000000"/>
      <w:sz w:val="22"/>
      <w:szCs w:val="22"/>
      <w:u w:val="none"/>
    </w:rPr>
  </w:style>
  <w:style w:type="paragraph" w:customStyle="1" w:styleId="29">
    <w:name w:val="正文首行缩进 21"/>
    <w:basedOn w:val="30"/>
    <w:qFormat/>
    <w:uiPriority w:val="0"/>
    <w:pPr>
      <w:ind w:firstLine="420"/>
    </w:pPr>
  </w:style>
  <w:style w:type="paragraph" w:customStyle="1" w:styleId="30">
    <w:name w:val="正文文本缩进1"/>
    <w:basedOn w:val="1"/>
    <w:qFormat/>
    <w:uiPriority w:val="0"/>
    <w:pPr>
      <w:spacing w:after="120"/>
      <w:ind w:left="420" w:leftChars="200"/>
    </w:pPr>
  </w:style>
  <w:style w:type="paragraph" w:customStyle="1" w:styleId="31">
    <w:name w:val="Table Paragraph"/>
    <w:basedOn w:val="1"/>
    <w:qFormat/>
    <w:uiPriority w:val="1"/>
    <w:rPr>
      <w:rFonts w:ascii="宋体" w:hAnsi="宋体" w:cs="宋体"/>
      <w:lang w:val="zh-CN" w:bidi="zh-CN"/>
    </w:rPr>
  </w:style>
  <w:style w:type="character" w:customStyle="1" w:styleId="32">
    <w:name w:val="页眉 Char"/>
    <w:basedOn w:val="21"/>
    <w:link w:val="18"/>
    <w:qFormat/>
    <w:uiPriority w:val="0"/>
    <w:rPr>
      <w:kern w:val="2"/>
      <w:sz w:val="18"/>
      <w:szCs w:val="18"/>
    </w:rPr>
  </w:style>
  <w:style w:type="character" w:customStyle="1" w:styleId="33">
    <w:name w:val="页脚 Char"/>
    <w:basedOn w:val="21"/>
    <w:link w:val="17"/>
    <w:qFormat/>
    <w:uiPriority w:val="0"/>
    <w:rPr>
      <w:kern w:val="2"/>
      <w:sz w:val="18"/>
      <w:szCs w:val="18"/>
    </w:rPr>
  </w:style>
  <w:style w:type="character" w:customStyle="1" w:styleId="34">
    <w:name w:val="批注框文本 Char"/>
    <w:basedOn w:val="21"/>
    <w:link w:val="16"/>
    <w:qFormat/>
    <w:uiPriority w:val="0"/>
    <w:rPr>
      <w:kern w:val="2"/>
      <w:sz w:val="18"/>
      <w:szCs w:val="18"/>
    </w:rPr>
  </w:style>
  <w:style w:type="paragraph" w:customStyle="1" w:styleId="35">
    <w:name w:val="*我是正文的格式"/>
    <w:basedOn w:val="1"/>
    <w:next w:val="6"/>
    <w:qFormat/>
    <w:uiPriority w:val="0"/>
    <w:pPr>
      <w:snapToGrid/>
      <w:ind w:firstLine="560"/>
    </w:pPr>
    <w:rPr>
      <w:rFonts w:ascii="Arial" w:hAnsi="Arial" w:cs="宋体"/>
      <w:szCs w:val="20"/>
      <w:lang w:val="zh-CN"/>
    </w:rPr>
  </w:style>
  <w:style w:type="paragraph" w:customStyle="1" w:styleId="36">
    <w:name w:val="*正文"/>
    <w:basedOn w:val="1"/>
    <w:qFormat/>
    <w:uiPriority w:val="0"/>
    <w:pPr>
      <w:snapToGrid/>
      <w:spacing w:beforeLines="50" w:afterLines="50"/>
    </w:pPr>
    <w:rPr>
      <w:rFonts w:ascii="宋体" w:hAnsi="宋体" w:cs="Times New Roman"/>
      <w:kern w:val="0"/>
      <w:szCs w:val="24"/>
    </w:rPr>
  </w:style>
</w:styles>
</file>

<file path=word/_rels/document.xml.rels><?xml version="1.0" encoding="UTF-8" standalone="yes"?>
<Relationships xmlns="http://schemas.openxmlformats.org/package/2006/relationships"><Relationship Id="rId9" Type="http://schemas.microsoft.com/office/2007/relationships/diagramDrawing" Target="diagrams/drawing1.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2746811-0941-459A-8D51-335D09076DA7}" type="doc">
      <dgm:prSet loTypeId="urn:microsoft.com/office/officeart/2009/3/layout/HorizontalOrganizationChart#1" loCatId="hierarchy" qsTypeId="urn:microsoft.com/office/officeart/2005/8/quickstyle/simple1#5" qsCatId="simple" csTypeId="urn:microsoft.com/office/officeart/2005/8/colors/accent1_2#3" csCatId="accent1" phldr="1"/>
      <dgm:spPr/>
      <dgm:t>
        <a:bodyPr/>
        <a:p>
          <a:endParaRPr lang="zh-CN" altLang="en-US"/>
        </a:p>
      </dgm:t>
    </dgm:pt>
    <dgm:pt modelId="{0FAE8198-7C8D-4D1E-8C03-D74960B4B0D8}">
      <dgm:prSet phldrT="[文本]" custT="1"/>
      <dgm:spPr/>
      <dgm:t>
        <a:bodyPr/>
        <a:p>
          <a:r>
            <a:rPr lang="zh-CN" altLang="en-US" sz="1200">
              <a:latin typeface="宋体" panose="02010600030101010101" charset="-122"/>
              <a:ea typeface="宋体" panose="02010600030101010101" charset="-122"/>
            </a:rPr>
            <a:t>项目总投资</a:t>
          </a:r>
        </a:p>
      </dgm:t>
    </dgm:pt>
    <dgm:pt modelId="{45FF1F23-E0AA-4931-80DF-4327BB31629F}" cxnId="{729BCC14-8A4E-4CB3-840B-A23AEC3EE56C}" type="parTrans">
      <dgm:prSet/>
      <dgm:spPr/>
      <dgm:t>
        <a:bodyPr/>
        <a:p>
          <a:endParaRPr lang="zh-CN" altLang="en-US" sz="1200">
            <a:latin typeface="宋体" panose="02010600030101010101" charset="-122"/>
            <a:ea typeface="宋体" panose="02010600030101010101" charset="-122"/>
          </a:endParaRPr>
        </a:p>
      </dgm:t>
    </dgm:pt>
    <dgm:pt modelId="{054A0F32-F08D-47FF-87BB-91E79DD5BECB}" cxnId="{729BCC14-8A4E-4CB3-840B-A23AEC3EE56C}" type="sibTrans">
      <dgm:prSet/>
      <dgm:spPr/>
      <dgm:t>
        <a:bodyPr/>
        <a:p>
          <a:endParaRPr lang="zh-CN" altLang="en-US" sz="1200">
            <a:latin typeface="宋体" panose="02010600030101010101" charset="-122"/>
            <a:ea typeface="宋体" panose="02010600030101010101" charset="-122"/>
          </a:endParaRPr>
        </a:p>
      </dgm:t>
    </dgm:pt>
    <dgm:pt modelId="{D3E74B2A-C454-4C90-BE46-3F283060FD5D}">
      <dgm:prSet phldrT="[文本]" custT="1"/>
      <dgm:spPr/>
      <dgm:t>
        <a:bodyPr/>
        <a:p>
          <a:r>
            <a:rPr lang="zh-CN" altLang="en-US" sz="1200">
              <a:latin typeface="宋体" panose="02010600030101010101" charset="-122"/>
              <a:ea typeface="宋体" panose="02010600030101010101" charset="-122"/>
            </a:rPr>
            <a:t>建设投资</a:t>
          </a:r>
        </a:p>
      </dgm:t>
    </dgm:pt>
    <dgm:pt modelId="{81C0AF61-B4DE-4E0D-91A9-8635B8DF7577}" cxnId="{6018655B-6F9E-42D0-B393-9FC4EDD49F42}" type="parTrans">
      <dgm:prSet/>
      <dgm:spPr/>
      <dgm:t>
        <a:bodyPr/>
        <a:p>
          <a:endParaRPr lang="zh-CN" altLang="en-US" sz="1200">
            <a:latin typeface="宋体" panose="02010600030101010101" charset="-122"/>
            <a:ea typeface="宋体" panose="02010600030101010101" charset="-122"/>
          </a:endParaRPr>
        </a:p>
      </dgm:t>
    </dgm:pt>
    <dgm:pt modelId="{A23770F4-1C43-4E80-90C6-56E9E8B220CE}" cxnId="{6018655B-6F9E-42D0-B393-9FC4EDD49F42}" type="sibTrans">
      <dgm:prSet/>
      <dgm:spPr/>
      <dgm:t>
        <a:bodyPr/>
        <a:p>
          <a:endParaRPr lang="zh-CN" altLang="en-US" sz="1200">
            <a:latin typeface="宋体" panose="02010600030101010101" charset="-122"/>
            <a:ea typeface="宋体" panose="02010600030101010101" charset="-122"/>
          </a:endParaRPr>
        </a:p>
      </dgm:t>
    </dgm:pt>
    <dgm:pt modelId="{C95ABA55-C21B-4068-A82F-E7922A148083}">
      <dgm:prSet phldrT="[文本]" custT="1"/>
      <dgm:spPr/>
      <dgm:t>
        <a:bodyPr/>
        <a:p>
          <a:r>
            <a:rPr lang="zh-CN" altLang="en-US" sz="1200">
              <a:latin typeface="宋体" panose="02010600030101010101" charset="-122"/>
              <a:ea typeface="宋体" panose="02010600030101010101" charset="-122"/>
            </a:rPr>
            <a:t>运营费</a:t>
          </a:r>
        </a:p>
      </dgm:t>
    </dgm:pt>
    <dgm:pt modelId="{8E83553B-85D2-4D00-A8DF-660114B8DE13}" cxnId="{73DA9640-99E9-4A6B-BF09-4B70F0BC4AE3}" type="parTrans">
      <dgm:prSet/>
      <dgm:spPr/>
      <dgm:t>
        <a:bodyPr/>
        <a:p>
          <a:endParaRPr lang="zh-CN" altLang="en-US" sz="1200">
            <a:latin typeface="宋体" panose="02010600030101010101" charset="-122"/>
            <a:ea typeface="宋体" panose="02010600030101010101" charset="-122"/>
          </a:endParaRPr>
        </a:p>
      </dgm:t>
    </dgm:pt>
    <dgm:pt modelId="{A660069D-43A7-4E5B-8A83-B8A87B53902F}" cxnId="{73DA9640-99E9-4A6B-BF09-4B70F0BC4AE3}" type="sibTrans">
      <dgm:prSet/>
      <dgm:spPr/>
      <dgm:t>
        <a:bodyPr/>
        <a:p>
          <a:endParaRPr lang="zh-CN" altLang="en-US" sz="1200">
            <a:latin typeface="宋体" panose="02010600030101010101" charset="-122"/>
            <a:ea typeface="宋体" panose="02010600030101010101" charset="-122"/>
          </a:endParaRPr>
        </a:p>
      </dgm:t>
    </dgm:pt>
    <dgm:pt modelId="{887767C3-23B2-4AF2-A7B0-8439F27AE007}">
      <dgm:prSet phldrT="[文本]" custT="1"/>
      <dgm:spPr/>
      <dgm:t>
        <a:bodyPr/>
        <a:p>
          <a:r>
            <a:rPr lang="zh-CN" altLang="en-US" sz="1200">
              <a:latin typeface="宋体" panose="02010600030101010101" charset="-122"/>
              <a:ea typeface="宋体" panose="02010600030101010101" charset="-122"/>
            </a:rPr>
            <a:t>控制中心建设费</a:t>
          </a:r>
        </a:p>
      </dgm:t>
    </dgm:pt>
    <dgm:pt modelId="{2524A80D-F7D6-4EEA-904A-A3A209A0A52C}" cxnId="{7B503C6A-4AED-4805-BAD7-DC634EBF1676}" type="parTrans">
      <dgm:prSet/>
      <dgm:spPr/>
      <dgm:t>
        <a:bodyPr/>
        <a:p>
          <a:endParaRPr lang="zh-CN" altLang="en-US" sz="1200">
            <a:latin typeface="宋体" panose="02010600030101010101" charset="-122"/>
            <a:ea typeface="宋体" panose="02010600030101010101" charset="-122"/>
          </a:endParaRPr>
        </a:p>
      </dgm:t>
    </dgm:pt>
    <dgm:pt modelId="{B204DB4E-ADDD-4E23-80D8-6A562AF787D5}" cxnId="{7B503C6A-4AED-4805-BAD7-DC634EBF1676}" type="sibTrans">
      <dgm:prSet/>
      <dgm:spPr/>
      <dgm:t>
        <a:bodyPr/>
        <a:p>
          <a:endParaRPr lang="zh-CN" altLang="en-US" sz="1200">
            <a:latin typeface="宋体" panose="02010600030101010101" charset="-122"/>
            <a:ea typeface="宋体" panose="02010600030101010101" charset="-122"/>
          </a:endParaRPr>
        </a:p>
      </dgm:t>
    </dgm:pt>
    <dgm:pt modelId="{9B4B693A-743F-46A0-B3DA-83CDF2EA358E}">
      <dgm:prSet phldrT="[文本]" custT="1"/>
      <dgm:spPr/>
      <dgm:t>
        <a:bodyPr/>
        <a:p>
          <a:r>
            <a:rPr lang="zh-CN" altLang="en-US" sz="1200">
              <a:latin typeface="宋体" panose="02010600030101010101" charset="-122"/>
              <a:ea typeface="宋体" panose="02010600030101010101" charset="-122"/>
            </a:rPr>
            <a:t>工程建设费</a:t>
          </a:r>
          <a:endParaRPr lang="en-US" altLang="zh-CN" sz="1200">
            <a:latin typeface="宋体" panose="02010600030101010101" charset="-122"/>
            <a:ea typeface="宋体" panose="02010600030101010101" charset="-122"/>
          </a:endParaRPr>
        </a:p>
      </dgm:t>
    </dgm:pt>
    <dgm:pt modelId="{0052C8D8-3EC4-47FB-92F4-85E58C2BC824}" cxnId="{8741305A-003B-4943-97A9-D48808332565}" type="parTrans">
      <dgm:prSet/>
      <dgm:spPr/>
      <dgm:t>
        <a:bodyPr/>
        <a:p>
          <a:endParaRPr lang="zh-CN" altLang="en-US" sz="1200">
            <a:latin typeface="宋体" panose="02010600030101010101" charset="-122"/>
            <a:ea typeface="宋体" panose="02010600030101010101" charset="-122"/>
          </a:endParaRPr>
        </a:p>
      </dgm:t>
    </dgm:pt>
    <dgm:pt modelId="{4292D5A6-ECEF-49F1-80F3-682A6AE0BBF6}" cxnId="{8741305A-003B-4943-97A9-D48808332565}" type="sibTrans">
      <dgm:prSet/>
      <dgm:spPr/>
      <dgm:t>
        <a:bodyPr/>
        <a:p>
          <a:endParaRPr lang="zh-CN" altLang="en-US" sz="1200">
            <a:latin typeface="宋体" panose="02010600030101010101" charset="-122"/>
            <a:ea typeface="宋体" panose="02010600030101010101" charset="-122"/>
          </a:endParaRPr>
        </a:p>
      </dgm:t>
    </dgm:pt>
    <dgm:pt modelId="{8226074C-914B-41C3-80DA-D5DE60F2CF13}">
      <dgm:prSet phldrT="[文本]" custT="1"/>
      <dgm:spPr/>
      <dgm:t>
        <a:bodyPr/>
        <a:p>
          <a:r>
            <a:rPr lang="zh-CN" altLang="en-US" sz="1200">
              <a:latin typeface="宋体" panose="02010600030101010101" charset="-122"/>
              <a:ea typeface="宋体" panose="02010600030101010101" charset="-122"/>
            </a:rPr>
            <a:t>工程建设其它费用</a:t>
          </a:r>
          <a:endParaRPr lang="en-US" altLang="zh-CN" sz="1200">
            <a:latin typeface="宋体" panose="02010600030101010101" charset="-122"/>
            <a:ea typeface="宋体" panose="02010600030101010101" charset="-122"/>
          </a:endParaRPr>
        </a:p>
      </dgm:t>
    </dgm:pt>
    <dgm:pt modelId="{9BE07F14-F757-4655-958D-4FA4C78934FA}" cxnId="{A11A6504-3F01-4532-9ED1-BB9B2359E67F}" type="parTrans">
      <dgm:prSet/>
      <dgm:spPr/>
      <dgm:t>
        <a:bodyPr/>
        <a:p>
          <a:endParaRPr lang="zh-CN" altLang="en-US" sz="1200">
            <a:latin typeface="宋体" panose="02010600030101010101" charset="-122"/>
            <a:ea typeface="宋体" panose="02010600030101010101" charset="-122"/>
          </a:endParaRPr>
        </a:p>
      </dgm:t>
    </dgm:pt>
    <dgm:pt modelId="{0B5CED87-406C-45DD-9540-C062986B78EB}" cxnId="{A11A6504-3F01-4532-9ED1-BB9B2359E67F}" type="sibTrans">
      <dgm:prSet/>
      <dgm:spPr/>
      <dgm:t>
        <a:bodyPr/>
        <a:p>
          <a:endParaRPr lang="zh-CN" altLang="en-US" sz="1200">
            <a:latin typeface="宋体" panose="02010600030101010101" charset="-122"/>
            <a:ea typeface="宋体" panose="02010600030101010101" charset="-122"/>
          </a:endParaRPr>
        </a:p>
      </dgm:t>
    </dgm:pt>
    <dgm:pt modelId="{7D0EA0BC-0A92-4396-BC32-ABCD951D2CF8}">
      <dgm:prSet phldrT="[文本]" custT="1"/>
      <dgm:spPr/>
      <dgm:t>
        <a:bodyPr/>
        <a:p>
          <a:r>
            <a:rPr lang="zh-CN" altLang="en-US" sz="1200">
              <a:latin typeface="宋体" panose="02010600030101010101" charset="-122"/>
              <a:ea typeface="宋体" panose="02010600030101010101" charset="-122"/>
            </a:rPr>
            <a:t>预备费用</a:t>
          </a:r>
          <a:endParaRPr lang="en-US" altLang="zh-CN" sz="1200">
            <a:latin typeface="宋体" panose="02010600030101010101" charset="-122"/>
            <a:ea typeface="宋体" panose="02010600030101010101" charset="-122"/>
          </a:endParaRPr>
        </a:p>
      </dgm:t>
    </dgm:pt>
    <dgm:pt modelId="{2C86C43F-C200-438E-AB66-C92A09BD4890}" cxnId="{912F9D61-1ABB-4BEA-8480-0AB4C788D89F}" type="parTrans">
      <dgm:prSet/>
      <dgm:spPr/>
      <dgm:t>
        <a:bodyPr/>
        <a:p>
          <a:endParaRPr lang="zh-CN" altLang="en-US" sz="1200">
            <a:latin typeface="宋体" panose="02010600030101010101" charset="-122"/>
            <a:ea typeface="宋体" panose="02010600030101010101" charset="-122"/>
          </a:endParaRPr>
        </a:p>
      </dgm:t>
    </dgm:pt>
    <dgm:pt modelId="{83A46633-2027-4EEA-9BF3-91D50178C251}" cxnId="{912F9D61-1ABB-4BEA-8480-0AB4C788D89F}" type="sibTrans">
      <dgm:prSet/>
      <dgm:spPr/>
      <dgm:t>
        <a:bodyPr/>
        <a:p>
          <a:endParaRPr lang="zh-CN" altLang="en-US" sz="1200">
            <a:latin typeface="宋体" panose="02010600030101010101" charset="-122"/>
            <a:ea typeface="宋体" panose="02010600030101010101" charset="-122"/>
          </a:endParaRPr>
        </a:p>
      </dgm:t>
    </dgm:pt>
    <dgm:pt modelId="{E7FAF97B-5AEC-435D-9A59-1326E48800F8}" type="pres">
      <dgm:prSet presAssocID="{82746811-0941-459A-8D51-335D09076DA7}" presName="hierChild1" presStyleCnt="0">
        <dgm:presLayoutVars>
          <dgm:orgChart val="1"/>
          <dgm:chPref val="1"/>
          <dgm:dir/>
          <dgm:animOne val="branch"/>
          <dgm:animLvl val="lvl"/>
          <dgm:resizeHandles/>
        </dgm:presLayoutVars>
      </dgm:prSet>
      <dgm:spPr/>
    </dgm:pt>
    <dgm:pt modelId="{A7EF2BDF-583B-479F-ACD8-ACD8F33AE170}" type="pres">
      <dgm:prSet presAssocID="{0FAE8198-7C8D-4D1E-8C03-D74960B4B0D8}" presName="hierRoot1" presStyleCnt="0">
        <dgm:presLayoutVars>
          <dgm:hierBranch val="init"/>
        </dgm:presLayoutVars>
      </dgm:prSet>
      <dgm:spPr/>
    </dgm:pt>
    <dgm:pt modelId="{31E24262-0C98-4626-8346-C0C40EFEE843}" type="pres">
      <dgm:prSet presAssocID="{0FAE8198-7C8D-4D1E-8C03-D74960B4B0D8}" presName="rootComposite1" presStyleCnt="0"/>
      <dgm:spPr/>
    </dgm:pt>
    <dgm:pt modelId="{D95B8104-72B0-4F24-BCB1-3EB50F79AAA2}" type="pres">
      <dgm:prSet presAssocID="{0FAE8198-7C8D-4D1E-8C03-D74960B4B0D8}" presName="rootText1" presStyleLbl="node0" presStyleIdx="0" presStyleCnt="1">
        <dgm:presLayoutVars>
          <dgm:chPref val="3"/>
        </dgm:presLayoutVars>
      </dgm:prSet>
      <dgm:spPr/>
    </dgm:pt>
    <dgm:pt modelId="{075EE492-AEF3-4C27-AB3B-090DB0854BDB}" type="pres">
      <dgm:prSet presAssocID="{0FAE8198-7C8D-4D1E-8C03-D74960B4B0D8}" presName="rootConnector1" presStyleLbl="node1" presStyleIdx="0" presStyleCnt="0"/>
      <dgm:spPr/>
    </dgm:pt>
    <dgm:pt modelId="{29EA57E6-108A-42D4-A13D-322070D58BBA}" type="pres">
      <dgm:prSet presAssocID="{0FAE8198-7C8D-4D1E-8C03-D74960B4B0D8}" presName="hierChild2" presStyleCnt="0"/>
      <dgm:spPr/>
    </dgm:pt>
    <dgm:pt modelId="{666863C3-48F3-43DA-91EC-FC9BC3F51DBF}" type="pres">
      <dgm:prSet presAssocID="{81C0AF61-B4DE-4E0D-91A9-8635B8DF7577}" presName="Name64" presStyleLbl="parChTrans1D2" presStyleIdx="0" presStyleCnt="2"/>
      <dgm:spPr/>
    </dgm:pt>
    <dgm:pt modelId="{A09FB50D-46B5-4201-8A4C-B0B7D805DCF2}" type="pres">
      <dgm:prSet presAssocID="{D3E74B2A-C454-4C90-BE46-3F283060FD5D}" presName="hierRoot2" presStyleCnt="0">
        <dgm:presLayoutVars>
          <dgm:hierBranch val="init"/>
        </dgm:presLayoutVars>
      </dgm:prSet>
      <dgm:spPr/>
    </dgm:pt>
    <dgm:pt modelId="{A1E81660-FF6D-4F59-B6CF-47CA937699F8}" type="pres">
      <dgm:prSet presAssocID="{D3E74B2A-C454-4C90-BE46-3F283060FD5D}" presName="rootComposite" presStyleCnt="0"/>
      <dgm:spPr/>
    </dgm:pt>
    <dgm:pt modelId="{5EF51FDA-D37B-4092-B1B9-987A89754ED3}" type="pres">
      <dgm:prSet presAssocID="{D3E74B2A-C454-4C90-BE46-3F283060FD5D}" presName="rootText" presStyleLbl="node2" presStyleIdx="0" presStyleCnt="2">
        <dgm:presLayoutVars>
          <dgm:chPref val="3"/>
        </dgm:presLayoutVars>
      </dgm:prSet>
      <dgm:spPr/>
    </dgm:pt>
    <dgm:pt modelId="{06977B8D-754D-4272-B18A-3DE5B6036651}" type="pres">
      <dgm:prSet presAssocID="{D3E74B2A-C454-4C90-BE46-3F283060FD5D}" presName="rootConnector" presStyleLbl="node2" presStyleIdx="0" presStyleCnt="2"/>
      <dgm:spPr/>
    </dgm:pt>
    <dgm:pt modelId="{3AC71921-7D21-45D1-BB3A-6B9E6EC1575A}" type="pres">
      <dgm:prSet presAssocID="{D3E74B2A-C454-4C90-BE46-3F283060FD5D}" presName="hierChild4" presStyleCnt="0"/>
      <dgm:spPr/>
    </dgm:pt>
    <dgm:pt modelId="{C4F17FA9-9501-4322-8CE3-8BF6E6DBE01F}" type="pres">
      <dgm:prSet presAssocID="{2524A80D-F7D6-4EEA-904A-A3A209A0A52C}" presName="Name64" presStyleLbl="parChTrans1D3" presStyleIdx="0" presStyleCnt="4"/>
      <dgm:spPr/>
    </dgm:pt>
    <dgm:pt modelId="{E9895847-444B-4725-BF9F-0B938AD6E339}" type="pres">
      <dgm:prSet presAssocID="{887767C3-23B2-4AF2-A7B0-8439F27AE007}" presName="hierRoot2" presStyleCnt="0">
        <dgm:presLayoutVars>
          <dgm:hierBranch val="init"/>
        </dgm:presLayoutVars>
      </dgm:prSet>
      <dgm:spPr/>
    </dgm:pt>
    <dgm:pt modelId="{B7091BB4-31F9-46CD-BC10-D5797DE98C74}" type="pres">
      <dgm:prSet presAssocID="{887767C3-23B2-4AF2-A7B0-8439F27AE007}" presName="rootComposite" presStyleCnt="0"/>
      <dgm:spPr/>
    </dgm:pt>
    <dgm:pt modelId="{69235A9E-0639-4A5B-AEE3-64A0F54FE535}" type="pres">
      <dgm:prSet presAssocID="{887767C3-23B2-4AF2-A7B0-8439F27AE007}" presName="rootText" presStyleLbl="node3" presStyleIdx="0" presStyleCnt="4">
        <dgm:presLayoutVars>
          <dgm:chPref val="3"/>
        </dgm:presLayoutVars>
      </dgm:prSet>
      <dgm:spPr/>
    </dgm:pt>
    <dgm:pt modelId="{B0E7110E-CA94-4C14-9E40-216CDF76A27B}" type="pres">
      <dgm:prSet presAssocID="{887767C3-23B2-4AF2-A7B0-8439F27AE007}" presName="rootConnector" presStyleLbl="node3" presStyleIdx="0" presStyleCnt="4"/>
      <dgm:spPr/>
    </dgm:pt>
    <dgm:pt modelId="{BE103DBA-CCA1-49EF-A65D-486B70B93C9C}" type="pres">
      <dgm:prSet presAssocID="{887767C3-23B2-4AF2-A7B0-8439F27AE007}" presName="hierChild4" presStyleCnt="0"/>
      <dgm:spPr/>
    </dgm:pt>
    <dgm:pt modelId="{B83B40D7-71BB-4870-A823-3858DA8F9032}" type="pres">
      <dgm:prSet presAssocID="{887767C3-23B2-4AF2-A7B0-8439F27AE007}" presName="hierChild5" presStyleCnt="0"/>
      <dgm:spPr/>
    </dgm:pt>
    <dgm:pt modelId="{7E4EEF8A-1868-4A8A-A840-CF946EED41A1}" type="pres">
      <dgm:prSet presAssocID="{0052C8D8-3EC4-47FB-92F4-85E58C2BC824}" presName="Name64" presStyleLbl="parChTrans1D3" presStyleIdx="1" presStyleCnt="4"/>
      <dgm:spPr/>
    </dgm:pt>
    <dgm:pt modelId="{2DD9A8F5-D2E0-46B6-9855-64F5DE57428E}" type="pres">
      <dgm:prSet presAssocID="{9B4B693A-743F-46A0-B3DA-83CDF2EA358E}" presName="hierRoot2" presStyleCnt="0">
        <dgm:presLayoutVars>
          <dgm:hierBranch val="init"/>
        </dgm:presLayoutVars>
      </dgm:prSet>
      <dgm:spPr/>
    </dgm:pt>
    <dgm:pt modelId="{CCD0EF84-071D-4374-925A-12719066A3A7}" type="pres">
      <dgm:prSet presAssocID="{9B4B693A-743F-46A0-B3DA-83CDF2EA358E}" presName="rootComposite" presStyleCnt="0"/>
      <dgm:spPr/>
    </dgm:pt>
    <dgm:pt modelId="{CB2FA626-D178-4297-886D-ED6AFE4F0350}" type="pres">
      <dgm:prSet presAssocID="{9B4B693A-743F-46A0-B3DA-83CDF2EA358E}" presName="rootText" presStyleLbl="node3" presStyleIdx="1" presStyleCnt="4">
        <dgm:presLayoutVars>
          <dgm:chPref val="3"/>
        </dgm:presLayoutVars>
      </dgm:prSet>
      <dgm:spPr/>
    </dgm:pt>
    <dgm:pt modelId="{B73F166A-883F-407F-82B5-2E8669543F1D}" type="pres">
      <dgm:prSet presAssocID="{9B4B693A-743F-46A0-B3DA-83CDF2EA358E}" presName="rootConnector" presStyleLbl="node3" presStyleIdx="1" presStyleCnt="4"/>
      <dgm:spPr/>
    </dgm:pt>
    <dgm:pt modelId="{61D11874-FDAF-42CE-91CC-F71A88594A7D}" type="pres">
      <dgm:prSet presAssocID="{9B4B693A-743F-46A0-B3DA-83CDF2EA358E}" presName="hierChild4" presStyleCnt="0"/>
      <dgm:spPr/>
    </dgm:pt>
    <dgm:pt modelId="{62533A0D-6B9D-48B5-B75A-9ABB95E62158}" type="pres">
      <dgm:prSet presAssocID="{9B4B693A-743F-46A0-B3DA-83CDF2EA358E}" presName="hierChild5" presStyleCnt="0"/>
      <dgm:spPr/>
    </dgm:pt>
    <dgm:pt modelId="{761F9231-9078-4BFF-ADBE-D116A19E3F88}" type="pres">
      <dgm:prSet presAssocID="{9BE07F14-F757-4655-958D-4FA4C78934FA}" presName="Name64" presStyleLbl="parChTrans1D3" presStyleIdx="2" presStyleCnt="4"/>
      <dgm:spPr/>
    </dgm:pt>
    <dgm:pt modelId="{09F2C3F0-05F3-4F19-B6E8-C1D879A0BCC7}" type="pres">
      <dgm:prSet presAssocID="{8226074C-914B-41C3-80DA-D5DE60F2CF13}" presName="hierRoot2" presStyleCnt="0">
        <dgm:presLayoutVars>
          <dgm:hierBranch val="init"/>
        </dgm:presLayoutVars>
      </dgm:prSet>
      <dgm:spPr/>
    </dgm:pt>
    <dgm:pt modelId="{412E7D5D-1966-454F-8A65-4F4E043DA877}" type="pres">
      <dgm:prSet presAssocID="{8226074C-914B-41C3-80DA-D5DE60F2CF13}" presName="rootComposite" presStyleCnt="0"/>
      <dgm:spPr/>
    </dgm:pt>
    <dgm:pt modelId="{C1D81B95-7D4B-463E-9AC1-8DCDF70B1170}" type="pres">
      <dgm:prSet presAssocID="{8226074C-914B-41C3-80DA-D5DE60F2CF13}" presName="rootText" presStyleLbl="node3" presStyleIdx="2" presStyleCnt="4">
        <dgm:presLayoutVars>
          <dgm:chPref val="3"/>
        </dgm:presLayoutVars>
      </dgm:prSet>
      <dgm:spPr/>
    </dgm:pt>
    <dgm:pt modelId="{75EA3333-16B0-44F5-B4B5-AEBCE253D4D4}" type="pres">
      <dgm:prSet presAssocID="{8226074C-914B-41C3-80DA-D5DE60F2CF13}" presName="rootConnector" presStyleLbl="node3" presStyleIdx="2" presStyleCnt="4"/>
      <dgm:spPr/>
    </dgm:pt>
    <dgm:pt modelId="{29DC9795-A7D5-472B-9A09-F38AA2C81B88}" type="pres">
      <dgm:prSet presAssocID="{8226074C-914B-41C3-80DA-D5DE60F2CF13}" presName="hierChild4" presStyleCnt="0"/>
      <dgm:spPr/>
    </dgm:pt>
    <dgm:pt modelId="{4D45F3AE-BC7E-45A3-8E31-41E46B66C821}" type="pres">
      <dgm:prSet presAssocID="{8226074C-914B-41C3-80DA-D5DE60F2CF13}" presName="hierChild5" presStyleCnt="0"/>
      <dgm:spPr/>
    </dgm:pt>
    <dgm:pt modelId="{1E871256-EB9E-4EFE-98BC-805A680FE894}" type="pres">
      <dgm:prSet presAssocID="{2C86C43F-C200-438E-AB66-C92A09BD4890}" presName="Name64" presStyleLbl="parChTrans1D3" presStyleIdx="3" presStyleCnt="4"/>
      <dgm:spPr/>
    </dgm:pt>
    <dgm:pt modelId="{76F834FB-5462-4631-B5F0-034E14671E3D}" type="pres">
      <dgm:prSet presAssocID="{7D0EA0BC-0A92-4396-BC32-ABCD951D2CF8}" presName="hierRoot2" presStyleCnt="0">
        <dgm:presLayoutVars>
          <dgm:hierBranch val="init"/>
        </dgm:presLayoutVars>
      </dgm:prSet>
      <dgm:spPr/>
    </dgm:pt>
    <dgm:pt modelId="{CA88F2C0-C3A5-40E8-BFC9-E09E8314518D}" type="pres">
      <dgm:prSet presAssocID="{7D0EA0BC-0A92-4396-BC32-ABCD951D2CF8}" presName="rootComposite" presStyleCnt="0"/>
      <dgm:spPr/>
    </dgm:pt>
    <dgm:pt modelId="{DC4A4602-5F41-4F53-8D18-14B5125F5745}" type="pres">
      <dgm:prSet presAssocID="{7D0EA0BC-0A92-4396-BC32-ABCD951D2CF8}" presName="rootText" presStyleLbl="node3" presStyleIdx="3" presStyleCnt="4">
        <dgm:presLayoutVars>
          <dgm:chPref val="3"/>
        </dgm:presLayoutVars>
      </dgm:prSet>
      <dgm:spPr/>
    </dgm:pt>
    <dgm:pt modelId="{39856935-23BC-4967-818C-239D76DCB74A}" type="pres">
      <dgm:prSet presAssocID="{7D0EA0BC-0A92-4396-BC32-ABCD951D2CF8}" presName="rootConnector" presStyleLbl="node3" presStyleIdx="3" presStyleCnt="4"/>
      <dgm:spPr/>
    </dgm:pt>
    <dgm:pt modelId="{559CDD22-8CA0-4BF7-BC3C-6BDF838A1786}" type="pres">
      <dgm:prSet presAssocID="{7D0EA0BC-0A92-4396-BC32-ABCD951D2CF8}" presName="hierChild4" presStyleCnt="0"/>
      <dgm:spPr/>
    </dgm:pt>
    <dgm:pt modelId="{9D145859-1204-47CA-B91D-293C24BD159C}" type="pres">
      <dgm:prSet presAssocID="{7D0EA0BC-0A92-4396-BC32-ABCD951D2CF8}" presName="hierChild5" presStyleCnt="0"/>
      <dgm:spPr/>
    </dgm:pt>
    <dgm:pt modelId="{FEE118BF-8844-49F4-898D-913B44408CAE}" type="pres">
      <dgm:prSet presAssocID="{D3E74B2A-C454-4C90-BE46-3F283060FD5D}" presName="hierChild5" presStyleCnt="0"/>
      <dgm:spPr/>
    </dgm:pt>
    <dgm:pt modelId="{2AADFBD6-EC27-42CE-AA7E-C86CDCE2E83F}" type="pres">
      <dgm:prSet presAssocID="{8E83553B-85D2-4D00-A8DF-660114B8DE13}" presName="Name64" presStyleLbl="parChTrans1D2" presStyleIdx="1" presStyleCnt="2"/>
      <dgm:spPr/>
    </dgm:pt>
    <dgm:pt modelId="{B768CFD8-3718-4DA4-8C95-10D2B3BDBD53}" type="pres">
      <dgm:prSet presAssocID="{C95ABA55-C21B-4068-A82F-E7922A148083}" presName="hierRoot2" presStyleCnt="0">
        <dgm:presLayoutVars>
          <dgm:hierBranch val="init"/>
        </dgm:presLayoutVars>
      </dgm:prSet>
      <dgm:spPr/>
    </dgm:pt>
    <dgm:pt modelId="{0973F3D2-9669-43ED-AE31-2D0E4456ACF1}" type="pres">
      <dgm:prSet presAssocID="{C95ABA55-C21B-4068-A82F-E7922A148083}" presName="rootComposite" presStyleCnt="0"/>
      <dgm:spPr/>
    </dgm:pt>
    <dgm:pt modelId="{6A32262C-6B44-4D78-A3BC-85AF6D1E6417}" type="pres">
      <dgm:prSet presAssocID="{C95ABA55-C21B-4068-A82F-E7922A148083}" presName="rootText" presStyleLbl="node2" presStyleIdx="1" presStyleCnt="2">
        <dgm:presLayoutVars>
          <dgm:chPref val="3"/>
        </dgm:presLayoutVars>
      </dgm:prSet>
      <dgm:spPr/>
    </dgm:pt>
    <dgm:pt modelId="{894D9896-0975-4B08-BB6A-551BC672A2CE}" type="pres">
      <dgm:prSet presAssocID="{C95ABA55-C21B-4068-A82F-E7922A148083}" presName="rootConnector" presStyleLbl="node2" presStyleIdx="1" presStyleCnt="2"/>
      <dgm:spPr/>
    </dgm:pt>
    <dgm:pt modelId="{362ADA8B-AD95-4FF5-B6AB-1F5B2EACE410}" type="pres">
      <dgm:prSet presAssocID="{C95ABA55-C21B-4068-A82F-E7922A148083}" presName="hierChild4" presStyleCnt="0"/>
      <dgm:spPr/>
    </dgm:pt>
    <dgm:pt modelId="{D8ABC972-0C6F-4609-B730-AC9F5A28C2B5}" type="pres">
      <dgm:prSet presAssocID="{C95ABA55-C21B-4068-A82F-E7922A148083}" presName="hierChild5" presStyleCnt="0"/>
      <dgm:spPr/>
    </dgm:pt>
    <dgm:pt modelId="{2C0975DD-8FE2-447D-BE66-BD44C322E2D0}" type="pres">
      <dgm:prSet presAssocID="{0FAE8198-7C8D-4D1E-8C03-D74960B4B0D8}" presName="hierChild3" presStyleCnt="0"/>
      <dgm:spPr/>
    </dgm:pt>
  </dgm:ptLst>
  <dgm:cxnLst>
    <dgm:cxn modelId="{A11A6504-3F01-4532-9ED1-BB9B2359E67F}" srcId="{D3E74B2A-C454-4C90-BE46-3F283060FD5D}" destId="{8226074C-914B-41C3-80DA-D5DE60F2CF13}" srcOrd="2" destOrd="0" parTransId="{9BE07F14-F757-4655-958D-4FA4C78934FA}" sibTransId="{0B5CED87-406C-45DD-9540-C062986B78EB}"/>
    <dgm:cxn modelId="{0996EA04-38FF-4494-BEEB-D7F796C13554}" type="presOf" srcId="{81C0AF61-B4DE-4E0D-91A9-8635B8DF7577}" destId="{666863C3-48F3-43DA-91EC-FC9BC3F51DBF}" srcOrd="0" destOrd="0" presId="urn:microsoft.com/office/officeart/2009/3/layout/HorizontalOrganizationChart#1"/>
    <dgm:cxn modelId="{729BCC14-8A4E-4CB3-840B-A23AEC3EE56C}" srcId="{82746811-0941-459A-8D51-335D09076DA7}" destId="{0FAE8198-7C8D-4D1E-8C03-D74960B4B0D8}" srcOrd="0" destOrd="0" parTransId="{45FF1F23-E0AA-4931-80DF-4327BB31629F}" sibTransId="{054A0F32-F08D-47FF-87BB-91E79DD5BECB}"/>
    <dgm:cxn modelId="{4914D51A-6DD6-4495-8B85-A7644000FB9A}" type="presOf" srcId="{9BE07F14-F757-4655-958D-4FA4C78934FA}" destId="{761F9231-9078-4BFF-ADBE-D116A19E3F88}" srcOrd="0" destOrd="0" presId="urn:microsoft.com/office/officeart/2009/3/layout/HorizontalOrganizationChart#1"/>
    <dgm:cxn modelId="{090CC926-DB8A-462E-B47C-EFB819F0F254}" type="presOf" srcId="{2524A80D-F7D6-4EEA-904A-A3A209A0A52C}" destId="{C4F17FA9-9501-4322-8CE3-8BF6E6DBE01F}" srcOrd="0" destOrd="0" presId="urn:microsoft.com/office/officeart/2009/3/layout/HorizontalOrganizationChart#1"/>
    <dgm:cxn modelId="{598CF626-C5FB-4F0E-A07B-D015C9C4DE9C}" type="presOf" srcId="{8226074C-914B-41C3-80DA-D5DE60F2CF13}" destId="{C1D81B95-7D4B-463E-9AC1-8DCDF70B1170}" srcOrd="0" destOrd="0" presId="urn:microsoft.com/office/officeart/2009/3/layout/HorizontalOrganizationChart#1"/>
    <dgm:cxn modelId="{7695503C-24BE-4EC1-BC6F-88C751CAA4F2}" type="presOf" srcId="{D3E74B2A-C454-4C90-BE46-3F283060FD5D}" destId="{06977B8D-754D-4272-B18A-3DE5B6036651}" srcOrd="1" destOrd="0" presId="urn:microsoft.com/office/officeart/2009/3/layout/HorizontalOrganizationChart#1"/>
    <dgm:cxn modelId="{23381140-0ED7-4944-A258-1647D10BA149}" type="presOf" srcId="{2C86C43F-C200-438E-AB66-C92A09BD4890}" destId="{1E871256-EB9E-4EFE-98BC-805A680FE894}" srcOrd="0" destOrd="0" presId="urn:microsoft.com/office/officeart/2009/3/layout/HorizontalOrganizationChart#1"/>
    <dgm:cxn modelId="{73DA9640-99E9-4A6B-BF09-4B70F0BC4AE3}" srcId="{0FAE8198-7C8D-4D1E-8C03-D74960B4B0D8}" destId="{C95ABA55-C21B-4068-A82F-E7922A148083}" srcOrd="1" destOrd="0" parTransId="{8E83553B-85D2-4D00-A8DF-660114B8DE13}" sibTransId="{A660069D-43A7-4E5B-8A83-B8A87B53902F}"/>
    <dgm:cxn modelId="{6018655B-6F9E-42D0-B393-9FC4EDD49F42}" srcId="{0FAE8198-7C8D-4D1E-8C03-D74960B4B0D8}" destId="{D3E74B2A-C454-4C90-BE46-3F283060FD5D}" srcOrd="0" destOrd="0" parTransId="{81C0AF61-B4DE-4E0D-91A9-8635B8DF7577}" sibTransId="{A23770F4-1C43-4E80-90C6-56E9E8B220CE}"/>
    <dgm:cxn modelId="{912F9D61-1ABB-4BEA-8480-0AB4C788D89F}" srcId="{D3E74B2A-C454-4C90-BE46-3F283060FD5D}" destId="{7D0EA0BC-0A92-4396-BC32-ABCD951D2CF8}" srcOrd="3" destOrd="0" parTransId="{2C86C43F-C200-438E-AB66-C92A09BD4890}" sibTransId="{83A46633-2027-4EEA-9BF3-91D50178C251}"/>
    <dgm:cxn modelId="{46541667-029C-4141-9637-BEA5F49E9797}" type="presOf" srcId="{9B4B693A-743F-46A0-B3DA-83CDF2EA358E}" destId="{CB2FA626-D178-4297-886D-ED6AFE4F0350}" srcOrd="0" destOrd="0" presId="urn:microsoft.com/office/officeart/2009/3/layout/HorizontalOrganizationChart#1"/>
    <dgm:cxn modelId="{7B503C6A-4AED-4805-BAD7-DC634EBF1676}" srcId="{D3E74B2A-C454-4C90-BE46-3F283060FD5D}" destId="{887767C3-23B2-4AF2-A7B0-8439F27AE007}" srcOrd="0" destOrd="0" parTransId="{2524A80D-F7D6-4EEA-904A-A3A209A0A52C}" sibTransId="{B204DB4E-ADDD-4E23-80D8-6A562AF787D5}"/>
    <dgm:cxn modelId="{8741305A-003B-4943-97A9-D48808332565}" srcId="{D3E74B2A-C454-4C90-BE46-3F283060FD5D}" destId="{9B4B693A-743F-46A0-B3DA-83CDF2EA358E}" srcOrd="1" destOrd="0" parTransId="{0052C8D8-3EC4-47FB-92F4-85E58C2BC824}" sibTransId="{4292D5A6-ECEF-49F1-80F3-682A6AE0BBF6}"/>
    <dgm:cxn modelId="{0DC8AF7D-838E-4EFE-9D02-FB6515E93094}" type="presOf" srcId="{887767C3-23B2-4AF2-A7B0-8439F27AE007}" destId="{B0E7110E-CA94-4C14-9E40-216CDF76A27B}" srcOrd="1" destOrd="0" presId="urn:microsoft.com/office/officeart/2009/3/layout/HorizontalOrganizationChart#1"/>
    <dgm:cxn modelId="{6991558C-CC75-4F7D-B0AF-925CF7CA6714}" type="presOf" srcId="{C95ABA55-C21B-4068-A82F-E7922A148083}" destId="{6A32262C-6B44-4D78-A3BC-85AF6D1E6417}" srcOrd="0" destOrd="0" presId="urn:microsoft.com/office/officeart/2009/3/layout/HorizontalOrganizationChart#1"/>
    <dgm:cxn modelId="{BA11248D-A658-4F55-A36A-A82AF0BAEE7F}" type="presOf" srcId="{0FAE8198-7C8D-4D1E-8C03-D74960B4B0D8}" destId="{D95B8104-72B0-4F24-BCB1-3EB50F79AAA2}" srcOrd="0" destOrd="0" presId="urn:microsoft.com/office/officeart/2009/3/layout/HorizontalOrganizationChart#1"/>
    <dgm:cxn modelId="{44C88697-7C4A-495F-BFB8-D1EA37A5DA57}" type="presOf" srcId="{0FAE8198-7C8D-4D1E-8C03-D74960B4B0D8}" destId="{075EE492-AEF3-4C27-AB3B-090DB0854BDB}" srcOrd="1" destOrd="0" presId="urn:microsoft.com/office/officeart/2009/3/layout/HorizontalOrganizationChart#1"/>
    <dgm:cxn modelId="{E0D61C99-F8CF-46AF-9D81-C3597789CF29}" type="presOf" srcId="{7D0EA0BC-0A92-4396-BC32-ABCD951D2CF8}" destId="{39856935-23BC-4967-818C-239D76DCB74A}" srcOrd="1" destOrd="0" presId="urn:microsoft.com/office/officeart/2009/3/layout/HorizontalOrganizationChart#1"/>
    <dgm:cxn modelId="{6430E2A3-A11E-4F99-8B48-9F2E836EEF19}" type="presOf" srcId="{9B4B693A-743F-46A0-B3DA-83CDF2EA358E}" destId="{B73F166A-883F-407F-82B5-2E8669543F1D}" srcOrd="1" destOrd="0" presId="urn:microsoft.com/office/officeart/2009/3/layout/HorizontalOrganizationChart#1"/>
    <dgm:cxn modelId="{44470BA4-24FB-44BF-B867-250461FCF581}" type="presOf" srcId="{8E83553B-85D2-4D00-A8DF-660114B8DE13}" destId="{2AADFBD6-EC27-42CE-AA7E-C86CDCE2E83F}" srcOrd="0" destOrd="0" presId="urn:microsoft.com/office/officeart/2009/3/layout/HorizontalOrganizationChart#1"/>
    <dgm:cxn modelId="{CCA694AD-FD32-4C79-8C9A-ACA5662CECB2}" type="presOf" srcId="{7D0EA0BC-0A92-4396-BC32-ABCD951D2CF8}" destId="{DC4A4602-5F41-4F53-8D18-14B5125F5745}" srcOrd="0" destOrd="0" presId="urn:microsoft.com/office/officeart/2009/3/layout/HorizontalOrganizationChart#1"/>
    <dgm:cxn modelId="{AC3F56AE-FA31-4886-9BBF-31B417BDAD36}" type="presOf" srcId="{82746811-0941-459A-8D51-335D09076DA7}" destId="{E7FAF97B-5AEC-435D-9A59-1326E48800F8}" srcOrd="0" destOrd="0" presId="urn:microsoft.com/office/officeart/2009/3/layout/HorizontalOrganizationChart#1"/>
    <dgm:cxn modelId="{E77848B6-3DC1-4E62-98F5-762BF6AD7E57}" type="presOf" srcId="{0052C8D8-3EC4-47FB-92F4-85E58C2BC824}" destId="{7E4EEF8A-1868-4A8A-A840-CF946EED41A1}" srcOrd="0" destOrd="0" presId="urn:microsoft.com/office/officeart/2009/3/layout/HorizontalOrganizationChart#1"/>
    <dgm:cxn modelId="{217346CA-7D0F-412E-8FD6-CFF960DE071E}" type="presOf" srcId="{8226074C-914B-41C3-80DA-D5DE60F2CF13}" destId="{75EA3333-16B0-44F5-B4B5-AEBCE253D4D4}" srcOrd="1" destOrd="0" presId="urn:microsoft.com/office/officeart/2009/3/layout/HorizontalOrganizationChart#1"/>
    <dgm:cxn modelId="{BD5FA5CF-CA77-4708-B9A4-F215BCD899A1}" type="presOf" srcId="{887767C3-23B2-4AF2-A7B0-8439F27AE007}" destId="{69235A9E-0639-4A5B-AEE3-64A0F54FE535}" srcOrd="0" destOrd="0" presId="urn:microsoft.com/office/officeart/2009/3/layout/HorizontalOrganizationChart#1"/>
    <dgm:cxn modelId="{982151DB-6C18-4170-8863-4B1E6AFE6547}" type="presOf" srcId="{C95ABA55-C21B-4068-A82F-E7922A148083}" destId="{894D9896-0975-4B08-BB6A-551BC672A2CE}" srcOrd="1" destOrd="0" presId="urn:microsoft.com/office/officeart/2009/3/layout/HorizontalOrganizationChart#1"/>
    <dgm:cxn modelId="{F5406BF1-52B8-4619-AADB-B3FFF3BC88F6}" type="presOf" srcId="{D3E74B2A-C454-4C90-BE46-3F283060FD5D}" destId="{5EF51FDA-D37B-4092-B1B9-987A89754ED3}" srcOrd="0" destOrd="0" presId="urn:microsoft.com/office/officeart/2009/3/layout/HorizontalOrganizationChart#1"/>
    <dgm:cxn modelId="{8653CB9D-B0CA-4977-B2C7-AFDF74E000B3}" type="presParOf" srcId="{E7FAF97B-5AEC-435D-9A59-1326E48800F8}" destId="{A7EF2BDF-583B-479F-ACD8-ACD8F33AE170}" srcOrd="0" destOrd="0" presId="urn:microsoft.com/office/officeart/2009/3/layout/HorizontalOrganizationChart#1"/>
    <dgm:cxn modelId="{B574EB80-9FB8-481B-962E-E9B893F21C5C}" type="presParOf" srcId="{A7EF2BDF-583B-479F-ACD8-ACD8F33AE170}" destId="{31E24262-0C98-4626-8346-C0C40EFEE843}" srcOrd="0" destOrd="0" presId="urn:microsoft.com/office/officeart/2009/3/layout/HorizontalOrganizationChart#1"/>
    <dgm:cxn modelId="{39DB61F0-9701-4AB6-9283-5BF7F239EBC1}" type="presParOf" srcId="{31E24262-0C98-4626-8346-C0C40EFEE843}" destId="{D95B8104-72B0-4F24-BCB1-3EB50F79AAA2}" srcOrd="0" destOrd="0" presId="urn:microsoft.com/office/officeart/2009/3/layout/HorizontalOrganizationChart#1"/>
    <dgm:cxn modelId="{F79ABE47-2D48-444C-A89A-1C288584869E}" type="presParOf" srcId="{31E24262-0C98-4626-8346-C0C40EFEE843}" destId="{075EE492-AEF3-4C27-AB3B-090DB0854BDB}" srcOrd="1" destOrd="0" presId="urn:microsoft.com/office/officeart/2009/3/layout/HorizontalOrganizationChart#1"/>
    <dgm:cxn modelId="{3511D14F-007A-46E2-8AFE-2B8C08DBD324}" type="presParOf" srcId="{A7EF2BDF-583B-479F-ACD8-ACD8F33AE170}" destId="{29EA57E6-108A-42D4-A13D-322070D58BBA}" srcOrd="1" destOrd="0" presId="urn:microsoft.com/office/officeart/2009/3/layout/HorizontalOrganizationChart#1"/>
    <dgm:cxn modelId="{555B26BF-69B2-4CDD-850F-0618D229AA88}" type="presParOf" srcId="{29EA57E6-108A-42D4-A13D-322070D58BBA}" destId="{666863C3-48F3-43DA-91EC-FC9BC3F51DBF}" srcOrd="0" destOrd="0" presId="urn:microsoft.com/office/officeart/2009/3/layout/HorizontalOrganizationChart#1"/>
    <dgm:cxn modelId="{9AC906D3-0137-4AF5-84BC-8AAF02AE0647}" type="presParOf" srcId="{29EA57E6-108A-42D4-A13D-322070D58BBA}" destId="{A09FB50D-46B5-4201-8A4C-B0B7D805DCF2}" srcOrd="1" destOrd="0" presId="urn:microsoft.com/office/officeart/2009/3/layout/HorizontalOrganizationChart#1"/>
    <dgm:cxn modelId="{0AA71DA4-C5DC-4296-BB0B-4DD2F3570E39}" type="presParOf" srcId="{A09FB50D-46B5-4201-8A4C-B0B7D805DCF2}" destId="{A1E81660-FF6D-4F59-B6CF-47CA937699F8}" srcOrd="0" destOrd="0" presId="urn:microsoft.com/office/officeart/2009/3/layout/HorizontalOrganizationChart#1"/>
    <dgm:cxn modelId="{9F15102F-C26E-4A56-AABF-2E9CB69C7896}" type="presParOf" srcId="{A1E81660-FF6D-4F59-B6CF-47CA937699F8}" destId="{5EF51FDA-D37B-4092-B1B9-987A89754ED3}" srcOrd="0" destOrd="0" presId="urn:microsoft.com/office/officeart/2009/3/layout/HorizontalOrganizationChart#1"/>
    <dgm:cxn modelId="{3E37384C-18A2-4DD3-BBCE-BF1173EF8516}" type="presParOf" srcId="{A1E81660-FF6D-4F59-B6CF-47CA937699F8}" destId="{06977B8D-754D-4272-B18A-3DE5B6036651}" srcOrd="1" destOrd="0" presId="urn:microsoft.com/office/officeart/2009/3/layout/HorizontalOrganizationChart#1"/>
    <dgm:cxn modelId="{6CDCFA41-17CB-4A9F-BCE2-8E2FB62E440A}" type="presParOf" srcId="{A09FB50D-46B5-4201-8A4C-B0B7D805DCF2}" destId="{3AC71921-7D21-45D1-BB3A-6B9E6EC1575A}" srcOrd="1" destOrd="0" presId="urn:microsoft.com/office/officeart/2009/3/layout/HorizontalOrganizationChart#1"/>
    <dgm:cxn modelId="{6735979D-CE5D-46DB-9B7D-764627EAFB72}" type="presParOf" srcId="{3AC71921-7D21-45D1-BB3A-6B9E6EC1575A}" destId="{C4F17FA9-9501-4322-8CE3-8BF6E6DBE01F}" srcOrd="0" destOrd="0" presId="urn:microsoft.com/office/officeart/2009/3/layout/HorizontalOrganizationChart#1"/>
    <dgm:cxn modelId="{CA49768F-EC68-4A4F-9A73-3C27F5BDEA6E}" type="presParOf" srcId="{3AC71921-7D21-45D1-BB3A-6B9E6EC1575A}" destId="{E9895847-444B-4725-BF9F-0B938AD6E339}" srcOrd="1" destOrd="0" presId="urn:microsoft.com/office/officeart/2009/3/layout/HorizontalOrganizationChart#1"/>
    <dgm:cxn modelId="{48CBA6E2-DE9D-4CE1-A259-E94B4C028169}" type="presParOf" srcId="{E9895847-444B-4725-BF9F-0B938AD6E339}" destId="{B7091BB4-31F9-46CD-BC10-D5797DE98C74}" srcOrd="0" destOrd="0" presId="urn:microsoft.com/office/officeart/2009/3/layout/HorizontalOrganizationChart#1"/>
    <dgm:cxn modelId="{67A99FC5-AB36-4FDE-B21E-29A0B3FEDBC9}" type="presParOf" srcId="{B7091BB4-31F9-46CD-BC10-D5797DE98C74}" destId="{69235A9E-0639-4A5B-AEE3-64A0F54FE535}" srcOrd="0" destOrd="0" presId="urn:microsoft.com/office/officeart/2009/3/layout/HorizontalOrganizationChart#1"/>
    <dgm:cxn modelId="{6E93E40B-6BC0-4F1C-8EF5-278780F9D2CE}" type="presParOf" srcId="{B7091BB4-31F9-46CD-BC10-D5797DE98C74}" destId="{B0E7110E-CA94-4C14-9E40-216CDF76A27B}" srcOrd="1" destOrd="0" presId="urn:microsoft.com/office/officeart/2009/3/layout/HorizontalOrganizationChart#1"/>
    <dgm:cxn modelId="{1A0142D2-4125-487E-B6BF-B9EF0FC7F016}" type="presParOf" srcId="{E9895847-444B-4725-BF9F-0B938AD6E339}" destId="{BE103DBA-CCA1-49EF-A65D-486B70B93C9C}" srcOrd="1" destOrd="0" presId="urn:microsoft.com/office/officeart/2009/3/layout/HorizontalOrganizationChart#1"/>
    <dgm:cxn modelId="{1391728F-5861-44D8-9E60-46183F41A0E5}" type="presParOf" srcId="{E9895847-444B-4725-BF9F-0B938AD6E339}" destId="{B83B40D7-71BB-4870-A823-3858DA8F9032}" srcOrd="2" destOrd="0" presId="urn:microsoft.com/office/officeart/2009/3/layout/HorizontalOrganizationChart#1"/>
    <dgm:cxn modelId="{05069067-4034-4562-9E66-D88F20D9D4D1}" type="presParOf" srcId="{3AC71921-7D21-45D1-BB3A-6B9E6EC1575A}" destId="{7E4EEF8A-1868-4A8A-A840-CF946EED41A1}" srcOrd="2" destOrd="0" presId="urn:microsoft.com/office/officeart/2009/3/layout/HorizontalOrganizationChart#1"/>
    <dgm:cxn modelId="{F236E28C-ACCB-462B-9612-B08D4EE562E4}" type="presParOf" srcId="{3AC71921-7D21-45D1-BB3A-6B9E6EC1575A}" destId="{2DD9A8F5-D2E0-46B6-9855-64F5DE57428E}" srcOrd="3" destOrd="0" presId="urn:microsoft.com/office/officeart/2009/3/layout/HorizontalOrganizationChart#1"/>
    <dgm:cxn modelId="{5E739B7C-14AF-45EC-9A2F-359640E61A6F}" type="presParOf" srcId="{2DD9A8F5-D2E0-46B6-9855-64F5DE57428E}" destId="{CCD0EF84-071D-4374-925A-12719066A3A7}" srcOrd="0" destOrd="0" presId="urn:microsoft.com/office/officeart/2009/3/layout/HorizontalOrganizationChart#1"/>
    <dgm:cxn modelId="{A1AF6257-6378-4CC0-8A73-87B09EA000D8}" type="presParOf" srcId="{CCD0EF84-071D-4374-925A-12719066A3A7}" destId="{CB2FA626-D178-4297-886D-ED6AFE4F0350}" srcOrd="0" destOrd="0" presId="urn:microsoft.com/office/officeart/2009/3/layout/HorizontalOrganizationChart#1"/>
    <dgm:cxn modelId="{907CF6A6-FEA0-4EFE-8F57-401D5C615676}" type="presParOf" srcId="{CCD0EF84-071D-4374-925A-12719066A3A7}" destId="{B73F166A-883F-407F-82B5-2E8669543F1D}" srcOrd="1" destOrd="0" presId="urn:microsoft.com/office/officeart/2009/3/layout/HorizontalOrganizationChart#1"/>
    <dgm:cxn modelId="{B209FB08-F1DF-4F7C-9C8B-D36B8308BD2E}" type="presParOf" srcId="{2DD9A8F5-D2E0-46B6-9855-64F5DE57428E}" destId="{61D11874-FDAF-42CE-91CC-F71A88594A7D}" srcOrd="1" destOrd="0" presId="urn:microsoft.com/office/officeart/2009/3/layout/HorizontalOrganizationChart#1"/>
    <dgm:cxn modelId="{700BAE4D-4647-4C9E-8D72-078DF9426199}" type="presParOf" srcId="{2DD9A8F5-D2E0-46B6-9855-64F5DE57428E}" destId="{62533A0D-6B9D-48B5-B75A-9ABB95E62158}" srcOrd="2" destOrd="0" presId="urn:microsoft.com/office/officeart/2009/3/layout/HorizontalOrganizationChart#1"/>
    <dgm:cxn modelId="{D6B7B9E0-CC8A-49CA-BB9D-445A17D2849D}" type="presParOf" srcId="{3AC71921-7D21-45D1-BB3A-6B9E6EC1575A}" destId="{761F9231-9078-4BFF-ADBE-D116A19E3F88}" srcOrd="4" destOrd="0" presId="urn:microsoft.com/office/officeart/2009/3/layout/HorizontalOrganizationChart#1"/>
    <dgm:cxn modelId="{9D154ADE-35B1-488D-A255-910EAF5C7FD8}" type="presParOf" srcId="{3AC71921-7D21-45D1-BB3A-6B9E6EC1575A}" destId="{09F2C3F0-05F3-4F19-B6E8-C1D879A0BCC7}" srcOrd="5" destOrd="0" presId="urn:microsoft.com/office/officeart/2009/3/layout/HorizontalOrganizationChart#1"/>
    <dgm:cxn modelId="{51638359-5864-4DA9-8C51-2311562CB3D8}" type="presParOf" srcId="{09F2C3F0-05F3-4F19-B6E8-C1D879A0BCC7}" destId="{412E7D5D-1966-454F-8A65-4F4E043DA877}" srcOrd="0" destOrd="0" presId="urn:microsoft.com/office/officeart/2009/3/layout/HorizontalOrganizationChart#1"/>
    <dgm:cxn modelId="{9967CC9F-8604-4088-BA94-C3F1B41EB309}" type="presParOf" srcId="{412E7D5D-1966-454F-8A65-4F4E043DA877}" destId="{C1D81B95-7D4B-463E-9AC1-8DCDF70B1170}" srcOrd="0" destOrd="0" presId="urn:microsoft.com/office/officeart/2009/3/layout/HorizontalOrganizationChart#1"/>
    <dgm:cxn modelId="{EB4C58B7-1940-4771-87FF-1E99C794110C}" type="presParOf" srcId="{412E7D5D-1966-454F-8A65-4F4E043DA877}" destId="{75EA3333-16B0-44F5-B4B5-AEBCE253D4D4}" srcOrd="1" destOrd="0" presId="urn:microsoft.com/office/officeart/2009/3/layout/HorizontalOrganizationChart#1"/>
    <dgm:cxn modelId="{C04B07EA-5678-4D02-B857-893BB4D5251D}" type="presParOf" srcId="{09F2C3F0-05F3-4F19-B6E8-C1D879A0BCC7}" destId="{29DC9795-A7D5-472B-9A09-F38AA2C81B88}" srcOrd="1" destOrd="0" presId="urn:microsoft.com/office/officeart/2009/3/layout/HorizontalOrganizationChart#1"/>
    <dgm:cxn modelId="{27BB67B3-0EBC-4CD3-9FF9-22252A0C09D3}" type="presParOf" srcId="{09F2C3F0-05F3-4F19-B6E8-C1D879A0BCC7}" destId="{4D45F3AE-BC7E-45A3-8E31-41E46B66C821}" srcOrd="2" destOrd="0" presId="urn:microsoft.com/office/officeart/2009/3/layout/HorizontalOrganizationChart#1"/>
    <dgm:cxn modelId="{DED784C8-5767-47DD-BABC-B5F6192539E9}" type="presParOf" srcId="{3AC71921-7D21-45D1-BB3A-6B9E6EC1575A}" destId="{1E871256-EB9E-4EFE-98BC-805A680FE894}" srcOrd="6" destOrd="0" presId="urn:microsoft.com/office/officeart/2009/3/layout/HorizontalOrganizationChart#1"/>
    <dgm:cxn modelId="{A0B46BAE-5AE8-42A0-A64F-C44389DF28DC}" type="presParOf" srcId="{3AC71921-7D21-45D1-BB3A-6B9E6EC1575A}" destId="{76F834FB-5462-4631-B5F0-034E14671E3D}" srcOrd="7" destOrd="0" presId="urn:microsoft.com/office/officeart/2009/3/layout/HorizontalOrganizationChart#1"/>
    <dgm:cxn modelId="{88FB850B-9D2F-4884-AACE-8D27052A3B8C}" type="presParOf" srcId="{76F834FB-5462-4631-B5F0-034E14671E3D}" destId="{CA88F2C0-C3A5-40E8-BFC9-E09E8314518D}" srcOrd="0" destOrd="0" presId="urn:microsoft.com/office/officeart/2009/3/layout/HorizontalOrganizationChart#1"/>
    <dgm:cxn modelId="{AC67FE02-7D2A-480B-B73D-8DA9E03B282A}" type="presParOf" srcId="{CA88F2C0-C3A5-40E8-BFC9-E09E8314518D}" destId="{DC4A4602-5F41-4F53-8D18-14B5125F5745}" srcOrd="0" destOrd="0" presId="urn:microsoft.com/office/officeart/2009/3/layout/HorizontalOrganizationChart#1"/>
    <dgm:cxn modelId="{F729A86E-CB2F-4DAF-A68F-13E2F75086E2}" type="presParOf" srcId="{CA88F2C0-C3A5-40E8-BFC9-E09E8314518D}" destId="{39856935-23BC-4967-818C-239D76DCB74A}" srcOrd="1" destOrd="0" presId="urn:microsoft.com/office/officeart/2009/3/layout/HorizontalOrganizationChart#1"/>
    <dgm:cxn modelId="{FF4C8B45-EC53-4D47-A224-7C2A15CF45FC}" type="presParOf" srcId="{76F834FB-5462-4631-B5F0-034E14671E3D}" destId="{559CDD22-8CA0-4BF7-BC3C-6BDF838A1786}" srcOrd="1" destOrd="0" presId="urn:microsoft.com/office/officeart/2009/3/layout/HorizontalOrganizationChart#1"/>
    <dgm:cxn modelId="{B5F2C778-3F98-4F16-A6C2-0FA036B7D52A}" type="presParOf" srcId="{76F834FB-5462-4631-B5F0-034E14671E3D}" destId="{9D145859-1204-47CA-B91D-293C24BD159C}" srcOrd="2" destOrd="0" presId="urn:microsoft.com/office/officeart/2009/3/layout/HorizontalOrganizationChart#1"/>
    <dgm:cxn modelId="{2585FC32-9883-4712-A1AB-D2775208CB80}" type="presParOf" srcId="{A09FB50D-46B5-4201-8A4C-B0B7D805DCF2}" destId="{FEE118BF-8844-49F4-898D-913B44408CAE}" srcOrd="2" destOrd="0" presId="urn:microsoft.com/office/officeart/2009/3/layout/HorizontalOrganizationChart#1"/>
    <dgm:cxn modelId="{331BCF65-E9D2-4CFE-AC66-EBEC17CABBED}" type="presParOf" srcId="{29EA57E6-108A-42D4-A13D-322070D58BBA}" destId="{2AADFBD6-EC27-42CE-AA7E-C86CDCE2E83F}" srcOrd="2" destOrd="0" presId="urn:microsoft.com/office/officeart/2009/3/layout/HorizontalOrganizationChart#1"/>
    <dgm:cxn modelId="{9C9CCF63-5F08-4926-9A95-76A1981B14D5}" type="presParOf" srcId="{29EA57E6-108A-42D4-A13D-322070D58BBA}" destId="{B768CFD8-3718-4DA4-8C95-10D2B3BDBD53}" srcOrd="3" destOrd="0" presId="urn:microsoft.com/office/officeart/2009/3/layout/HorizontalOrganizationChart#1"/>
    <dgm:cxn modelId="{29BB6090-9177-475A-B3D9-EB223783F097}" type="presParOf" srcId="{B768CFD8-3718-4DA4-8C95-10D2B3BDBD53}" destId="{0973F3D2-9669-43ED-AE31-2D0E4456ACF1}" srcOrd="0" destOrd="0" presId="urn:microsoft.com/office/officeart/2009/3/layout/HorizontalOrganizationChart#1"/>
    <dgm:cxn modelId="{5D4AC349-D376-4CA7-9A07-60223A087E40}" type="presParOf" srcId="{0973F3D2-9669-43ED-AE31-2D0E4456ACF1}" destId="{6A32262C-6B44-4D78-A3BC-85AF6D1E6417}" srcOrd="0" destOrd="0" presId="urn:microsoft.com/office/officeart/2009/3/layout/HorizontalOrganizationChart#1"/>
    <dgm:cxn modelId="{AD0F3CD2-4F29-4BB7-8117-33FA44DD2638}" type="presParOf" srcId="{0973F3D2-9669-43ED-AE31-2D0E4456ACF1}" destId="{894D9896-0975-4B08-BB6A-551BC672A2CE}" srcOrd="1" destOrd="0" presId="urn:microsoft.com/office/officeart/2009/3/layout/HorizontalOrganizationChart#1"/>
    <dgm:cxn modelId="{619A4DA8-51ED-407C-A5DD-0185739BB302}" type="presParOf" srcId="{B768CFD8-3718-4DA4-8C95-10D2B3BDBD53}" destId="{362ADA8B-AD95-4FF5-B6AB-1F5B2EACE410}" srcOrd="1" destOrd="0" presId="urn:microsoft.com/office/officeart/2009/3/layout/HorizontalOrganizationChart#1"/>
    <dgm:cxn modelId="{E0844EAE-7E9B-437D-B493-C1E3EBE373FB}" type="presParOf" srcId="{B768CFD8-3718-4DA4-8C95-10D2B3BDBD53}" destId="{D8ABC972-0C6F-4609-B730-AC9F5A28C2B5}" srcOrd="2" destOrd="0" presId="urn:microsoft.com/office/officeart/2009/3/layout/HorizontalOrganizationChart#1"/>
    <dgm:cxn modelId="{0161EE93-5997-4ECC-A959-8DA57584A823}" type="presParOf" srcId="{A7EF2BDF-583B-479F-ACD8-ACD8F33AE170}" destId="{2C0975DD-8FE2-447D-BE66-BD44C322E2D0}" srcOrd="2" destOrd="0" presId="urn:microsoft.com/office/officeart/2009/3/layout/HorizontalOrganization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024755" cy="1800225"/>
        <a:chOff x="0" y="0"/>
        <a:chExt cx="5024755" cy="1800225"/>
      </a:xfrm>
    </dsp:grpSpPr>
    <dsp:sp modelId="{666863C3-48F3-43DA-91EC-FC9BC3F51DBF}">
      <dsp:nvSpPr>
        <dsp:cNvPr id="5" name="任意多边形 4"/>
        <dsp:cNvSpPr/>
      </dsp:nvSpPr>
      <dsp:spPr bwMode="white">
        <a:xfrm>
          <a:off x="1722310" y="900113"/>
          <a:ext cx="225734" cy="242664"/>
        </a:xfrm>
        <a:custGeom>
          <a:avLst/>
          <a:gdLst/>
          <a:ahLst/>
          <a:cxnLst/>
          <a:pathLst>
            <a:path w="355" h="382">
              <a:moveTo>
                <a:pt x="0" y="382"/>
              </a:moveTo>
              <a:lnTo>
                <a:pt x="244" y="382"/>
              </a:lnTo>
              <a:lnTo>
                <a:pt x="244" y="0"/>
              </a:lnTo>
              <a:lnTo>
                <a:pt x="355" y="0"/>
              </a:lnTo>
            </a:path>
          </a:pathLst>
        </a:custGeom>
      </dsp:spPr>
      <dsp:style>
        <a:lnRef idx="2">
          <a:schemeClr val="accent1">
            <a:shade val="60000"/>
          </a:schemeClr>
        </a:lnRef>
        <a:fillRef idx="0">
          <a:schemeClr val="accent1"/>
        </a:fillRef>
        <a:effectRef idx="0">
          <a:scrgbClr r="0" g="0" b="0"/>
        </a:effectRef>
        <a:fontRef idx="minor"/>
      </dsp:style>
      <dsp:txXfrm>
        <a:off x="1722310" y="900113"/>
        <a:ext cx="225734" cy="242664"/>
      </dsp:txXfrm>
    </dsp:sp>
    <dsp:sp modelId="{C4F17FA9-9501-4322-8CE3-8BF6E6DBE01F}">
      <dsp:nvSpPr>
        <dsp:cNvPr id="8" name="任意多边形 7"/>
        <dsp:cNvSpPr/>
      </dsp:nvSpPr>
      <dsp:spPr bwMode="white">
        <a:xfrm>
          <a:off x="3076711" y="172122"/>
          <a:ext cx="225734" cy="727991"/>
        </a:xfrm>
        <a:custGeom>
          <a:avLst/>
          <a:gdLst/>
          <a:ahLst/>
          <a:cxnLst/>
          <a:pathLst>
            <a:path w="355" h="1146">
              <a:moveTo>
                <a:pt x="0" y="1146"/>
              </a:moveTo>
              <a:lnTo>
                <a:pt x="244" y="1146"/>
              </a:lnTo>
              <a:lnTo>
                <a:pt x="244" y="0"/>
              </a:lnTo>
              <a:lnTo>
                <a:pt x="355" y="0"/>
              </a:lnTo>
            </a:path>
          </a:pathLst>
        </a:custGeom>
      </dsp:spPr>
      <dsp:style>
        <a:lnRef idx="2">
          <a:schemeClr val="accent1">
            <a:shade val="80000"/>
          </a:schemeClr>
        </a:lnRef>
        <a:fillRef idx="0">
          <a:schemeClr val="accent1"/>
        </a:fillRef>
        <a:effectRef idx="0">
          <a:scrgbClr r="0" g="0" b="0"/>
        </a:effectRef>
        <a:fontRef idx="minor"/>
      </dsp:style>
      <dsp:txXfrm>
        <a:off x="3076711" y="172122"/>
        <a:ext cx="225734" cy="727991"/>
      </dsp:txXfrm>
    </dsp:sp>
    <dsp:sp modelId="{7E4EEF8A-1868-4A8A-A840-CF946EED41A1}">
      <dsp:nvSpPr>
        <dsp:cNvPr id="11" name="任意多边形 10"/>
        <dsp:cNvSpPr/>
      </dsp:nvSpPr>
      <dsp:spPr bwMode="white">
        <a:xfrm>
          <a:off x="3076711" y="657449"/>
          <a:ext cx="225734" cy="242664"/>
        </a:xfrm>
        <a:custGeom>
          <a:avLst/>
          <a:gdLst/>
          <a:ahLst/>
          <a:cxnLst/>
          <a:pathLst>
            <a:path w="355" h="382">
              <a:moveTo>
                <a:pt x="0" y="382"/>
              </a:moveTo>
              <a:lnTo>
                <a:pt x="244" y="382"/>
              </a:lnTo>
              <a:lnTo>
                <a:pt x="244" y="0"/>
              </a:lnTo>
              <a:lnTo>
                <a:pt x="355" y="0"/>
              </a:lnTo>
            </a:path>
          </a:pathLst>
        </a:custGeom>
      </dsp:spPr>
      <dsp:style>
        <a:lnRef idx="2">
          <a:schemeClr val="accent1">
            <a:shade val="80000"/>
          </a:schemeClr>
        </a:lnRef>
        <a:fillRef idx="0">
          <a:schemeClr val="accent1"/>
        </a:fillRef>
        <a:effectRef idx="0">
          <a:scrgbClr r="0" g="0" b="0"/>
        </a:effectRef>
        <a:fontRef idx="minor"/>
      </dsp:style>
      <dsp:txXfrm>
        <a:off x="3076711" y="657449"/>
        <a:ext cx="225734" cy="242664"/>
      </dsp:txXfrm>
    </dsp:sp>
    <dsp:sp modelId="{761F9231-9078-4BFF-ADBE-D116A19E3F88}">
      <dsp:nvSpPr>
        <dsp:cNvPr id="14" name="任意多边形 13"/>
        <dsp:cNvSpPr/>
      </dsp:nvSpPr>
      <dsp:spPr bwMode="white">
        <a:xfrm>
          <a:off x="3076711" y="900113"/>
          <a:ext cx="225734" cy="242664"/>
        </a:xfrm>
        <a:custGeom>
          <a:avLst/>
          <a:gdLst/>
          <a:ahLst/>
          <a:cxnLst/>
          <a:pathLst>
            <a:path w="355" h="382">
              <a:moveTo>
                <a:pt x="0" y="0"/>
              </a:moveTo>
              <a:lnTo>
                <a:pt x="244" y="0"/>
              </a:lnTo>
              <a:lnTo>
                <a:pt x="244" y="382"/>
              </a:lnTo>
              <a:lnTo>
                <a:pt x="355" y="382"/>
              </a:lnTo>
            </a:path>
          </a:pathLst>
        </a:custGeom>
      </dsp:spPr>
      <dsp:style>
        <a:lnRef idx="2">
          <a:schemeClr val="accent1">
            <a:shade val="80000"/>
          </a:schemeClr>
        </a:lnRef>
        <a:fillRef idx="0">
          <a:schemeClr val="accent1"/>
        </a:fillRef>
        <a:effectRef idx="0">
          <a:scrgbClr r="0" g="0" b="0"/>
        </a:effectRef>
        <a:fontRef idx="minor"/>
      </dsp:style>
      <dsp:txXfrm>
        <a:off x="3076711" y="900113"/>
        <a:ext cx="225734" cy="242664"/>
      </dsp:txXfrm>
    </dsp:sp>
    <dsp:sp modelId="{1E871256-EB9E-4EFE-98BC-805A680FE894}">
      <dsp:nvSpPr>
        <dsp:cNvPr id="17" name="任意多边形 16"/>
        <dsp:cNvSpPr/>
      </dsp:nvSpPr>
      <dsp:spPr bwMode="white">
        <a:xfrm>
          <a:off x="3076711" y="900113"/>
          <a:ext cx="225734" cy="727991"/>
        </a:xfrm>
        <a:custGeom>
          <a:avLst/>
          <a:gdLst/>
          <a:ahLst/>
          <a:cxnLst/>
          <a:pathLst>
            <a:path w="355" h="1146">
              <a:moveTo>
                <a:pt x="0" y="0"/>
              </a:moveTo>
              <a:lnTo>
                <a:pt x="244" y="0"/>
              </a:lnTo>
              <a:lnTo>
                <a:pt x="244" y="1146"/>
              </a:lnTo>
              <a:lnTo>
                <a:pt x="355" y="1146"/>
              </a:lnTo>
            </a:path>
          </a:pathLst>
        </a:custGeom>
      </dsp:spPr>
      <dsp:style>
        <a:lnRef idx="2">
          <a:schemeClr val="accent1">
            <a:shade val="80000"/>
          </a:schemeClr>
        </a:lnRef>
        <a:fillRef idx="0">
          <a:schemeClr val="accent1"/>
        </a:fillRef>
        <a:effectRef idx="0">
          <a:scrgbClr r="0" g="0" b="0"/>
        </a:effectRef>
        <a:fontRef idx="minor"/>
      </dsp:style>
      <dsp:txXfrm>
        <a:off x="3076711" y="900113"/>
        <a:ext cx="225734" cy="727991"/>
      </dsp:txXfrm>
    </dsp:sp>
    <dsp:sp modelId="{2AADFBD6-EC27-42CE-AA7E-C86CDCE2E83F}">
      <dsp:nvSpPr>
        <dsp:cNvPr id="20" name="任意多边形 19"/>
        <dsp:cNvSpPr/>
      </dsp:nvSpPr>
      <dsp:spPr bwMode="white">
        <a:xfrm>
          <a:off x="1722310" y="1142776"/>
          <a:ext cx="225734" cy="242664"/>
        </a:xfrm>
        <a:custGeom>
          <a:avLst/>
          <a:gdLst/>
          <a:ahLst/>
          <a:cxnLst/>
          <a:pathLst>
            <a:path w="355" h="382">
              <a:moveTo>
                <a:pt x="0" y="0"/>
              </a:moveTo>
              <a:lnTo>
                <a:pt x="244" y="0"/>
              </a:lnTo>
              <a:lnTo>
                <a:pt x="244" y="382"/>
              </a:lnTo>
              <a:lnTo>
                <a:pt x="355" y="382"/>
              </a:lnTo>
            </a:path>
          </a:pathLst>
        </a:custGeom>
      </dsp:spPr>
      <dsp:style>
        <a:lnRef idx="2">
          <a:schemeClr val="accent1">
            <a:shade val="60000"/>
          </a:schemeClr>
        </a:lnRef>
        <a:fillRef idx="0">
          <a:schemeClr val="accent1"/>
        </a:fillRef>
        <a:effectRef idx="0">
          <a:scrgbClr r="0" g="0" b="0"/>
        </a:effectRef>
        <a:fontRef idx="minor"/>
      </dsp:style>
      <dsp:txXfrm>
        <a:off x="1722310" y="1142776"/>
        <a:ext cx="225734" cy="242664"/>
      </dsp:txXfrm>
    </dsp:sp>
    <dsp:sp modelId="{D95B8104-72B0-4F24-BCB1-3EB50F79AAA2}">
      <dsp:nvSpPr>
        <dsp:cNvPr id="3" name="矩形 2"/>
        <dsp:cNvSpPr/>
      </dsp:nvSpPr>
      <dsp:spPr bwMode="white">
        <a:xfrm>
          <a:off x="593642" y="970654"/>
          <a:ext cx="1128668" cy="344244"/>
        </a:xfrm>
        <a:prstGeom prst="rect">
          <a:avLst/>
        </a:prstGeom>
      </dsp:spPr>
      <dsp:style>
        <a:lnRef idx="2">
          <a:schemeClr val="lt1"/>
        </a:lnRef>
        <a:fillRef idx="1">
          <a:schemeClr val="accen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latin typeface="宋体" panose="02010600030101010101" charset="-122"/>
              <a:ea typeface="宋体" panose="02010600030101010101" charset="-122"/>
            </a:rPr>
            <a:t>项目总投资</a:t>
          </a:r>
        </a:p>
      </dsp:txBody>
      <dsp:txXfrm>
        <a:off x="593642" y="970654"/>
        <a:ext cx="1128668" cy="344244"/>
      </dsp:txXfrm>
    </dsp:sp>
    <dsp:sp modelId="{5EF51FDA-D37B-4092-B1B9-987A89754ED3}">
      <dsp:nvSpPr>
        <dsp:cNvPr id="6" name="矩形 5"/>
        <dsp:cNvSpPr/>
      </dsp:nvSpPr>
      <dsp:spPr bwMode="white">
        <a:xfrm>
          <a:off x="1948044" y="727991"/>
          <a:ext cx="1128668" cy="344244"/>
        </a:xfrm>
        <a:prstGeom prst="rect">
          <a:avLst/>
        </a:prstGeom>
      </dsp:spPr>
      <dsp:style>
        <a:lnRef idx="2">
          <a:schemeClr val="lt1"/>
        </a:lnRef>
        <a:fillRef idx="1">
          <a:schemeClr val="accen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latin typeface="宋体" panose="02010600030101010101" charset="-122"/>
              <a:ea typeface="宋体" panose="02010600030101010101" charset="-122"/>
            </a:rPr>
            <a:t>建设投资</a:t>
          </a:r>
        </a:p>
      </dsp:txBody>
      <dsp:txXfrm>
        <a:off x="1948044" y="727991"/>
        <a:ext cx="1128668" cy="344244"/>
      </dsp:txXfrm>
    </dsp:sp>
    <dsp:sp modelId="{69235A9E-0639-4A5B-AEE3-64A0F54FE535}">
      <dsp:nvSpPr>
        <dsp:cNvPr id="9" name="矩形 8"/>
        <dsp:cNvSpPr/>
      </dsp:nvSpPr>
      <dsp:spPr bwMode="white">
        <a:xfrm>
          <a:off x="3302445" y="0"/>
          <a:ext cx="1128668" cy="344244"/>
        </a:xfrm>
        <a:prstGeom prst="rect">
          <a:avLst/>
        </a:prstGeom>
      </dsp:spPr>
      <dsp:style>
        <a:lnRef idx="2">
          <a:schemeClr val="lt1"/>
        </a:lnRef>
        <a:fillRef idx="1">
          <a:schemeClr val="accen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latin typeface="宋体" panose="02010600030101010101" charset="-122"/>
              <a:ea typeface="宋体" panose="02010600030101010101" charset="-122"/>
            </a:rPr>
            <a:t>控制中心建设费</a:t>
          </a:r>
        </a:p>
      </dsp:txBody>
      <dsp:txXfrm>
        <a:off x="3302445" y="0"/>
        <a:ext cx="1128668" cy="344244"/>
      </dsp:txXfrm>
    </dsp:sp>
    <dsp:sp modelId="{CB2FA626-D178-4297-886D-ED6AFE4F0350}">
      <dsp:nvSpPr>
        <dsp:cNvPr id="12" name="矩形 11"/>
        <dsp:cNvSpPr/>
      </dsp:nvSpPr>
      <dsp:spPr bwMode="white">
        <a:xfrm>
          <a:off x="3302445" y="485327"/>
          <a:ext cx="1128668" cy="344244"/>
        </a:xfrm>
        <a:prstGeom prst="rect">
          <a:avLst/>
        </a:prstGeom>
      </dsp:spPr>
      <dsp:style>
        <a:lnRef idx="2">
          <a:schemeClr val="lt1"/>
        </a:lnRef>
        <a:fillRef idx="1">
          <a:schemeClr val="accen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latin typeface="宋体" panose="02010600030101010101" charset="-122"/>
              <a:ea typeface="宋体" panose="02010600030101010101" charset="-122"/>
            </a:rPr>
            <a:t>工程建设费</a:t>
          </a:r>
          <a:endParaRPr lang="en-US" altLang="zh-CN" sz="1200">
            <a:latin typeface="宋体" panose="02010600030101010101" charset="-122"/>
            <a:ea typeface="宋体" panose="02010600030101010101" charset="-122"/>
          </a:endParaRPr>
        </a:p>
      </dsp:txBody>
      <dsp:txXfrm>
        <a:off x="3302445" y="485327"/>
        <a:ext cx="1128668" cy="344244"/>
      </dsp:txXfrm>
    </dsp:sp>
    <dsp:sp modelId="{C1D81B95-7D4B-463E-9AC1-8DCDF70B1170}">
      <dsp:nvSpPr>
        <dsp:cNvPr id="15" name="矩形 14"/>
        <dsp:cNvSpPr/>
      </dsp:nvSpPr>
      <dsp:spPr bwMode="white">
        <a:xfrm>
          <a:off x="3302445" y="970654"/>
          <a:ext cx="1128668" cy="344244"/>
        </a:xfrm>
        <a:prstGeom prst="rect">
          <a:avLst/>
        </a:prstGeom>
      </dsp:spPr>
      <dsp:style>
        <a:lnRef idx="2">
          <a:schemeClr val="lt1"/>
        </a:lnRef>
        <a:fillRef idx="1">
          <a:schemeClr val="accen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latin typeface="宋体" panose="02010600030101010101" charset="-122"/>
              <a:ea typeface="宋体" panose="02010600030101010101" charset="-122"/>
            </a:rPr>
            <a:t>工程建设其它费用</a:t>
          </a:r>
          <a:endParaRPr lang="en-US" altLang="zh-CN" sz="1200">
            <a:latin typeface="宋体" panose="02010600030101010101" charset="-122"/>
            <a:ea typeface="宋体" panose="02010600030101010101" charset="-122"/>
          </a:endParaRPr>
        </a:p>
      </dsp:txBody>
      <dsp:txXfrm>
        <a:off x="3302445" y="970654"/>
        <a:ext cx="1128668" cy="344244"/>
      </dsp:txXfrm>
    </dsp:sp>
    <dsp:sp modelId="{DC4A4602-5F41-4F53-8D18-14B5125F5745}">
      <dsp:nvSpPr>
        <dsp:cNvPr id="18" name="矩形 17"/>
        <dsp:cNvSpPr/>
      </dsp:nvSpPr>
      <dsp:spPr bwMode="white">
        <a:xfrm>
          <a:off x="3302445" y="1455981"/>
          <a:ext cx="1128668" cy="344244"/>
        </a:xfrm>
        <a:prstGeom prst="rect">
          <a:avLst/>
        </a:prstGeom>
      </dsp:spPr>
      <dsp:style>
        <a:lnRef idx="2">
          <a:schemeClr val="lt1"/>
        </a:lnRef>
        <a:fillRef idx="1">
          <a:schemeClr val="accen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latin typeface="宋体" panose="02010600030101010101" charset="-122"/>
              <a:ea typeface="宋体" panose="02010600030101010101" charset="-122"/>
            </a:rPr>
            <a:t>预备费用</a:t>
          </a:r>
          <a:endParaRPr lang="en-US" altLang="zh-CN" sz="1200">
            <a:latin typeface="宋体" panose="02010600030101010101" charset="-122"/>
            <a:ea typeface="宋体" panose="02010600030101010101" charset="-122"/>
          </a:endParaRPr>
        </a:p>
      </dsp:txBody>
      <dsp:txXfrm>
        <a:off x="3302445" y="1455981"/>
        <a:ext cx="1128668" cy="344244"/>
      </dsp:txXfrm>
    </dsp:sp>
    <dsp:sp modelId="{6A32262C-6B44-4D78-A3BC-85AF6D1E6417}">
      <dsp:nvSpPr>
        <dsp:cNvPr id="21" name="矩形 20"/>
        <dsp:cNvSpPr/>
      </dsp:nvSpPr>
      <dsp:spPr bwMode="white">
        <a:xfrm>
          <a:off x="1948044" y="1213318"/>
          <a:ext cx="1128668" cy="344244"/>
        </a:xfrm>
        <a:prstGeom prst="rect">
          <a:avLst/>
        </a:prstGeom>
      </dsp:spPr>
      <dsp:style>
        <a:lnRef idx="2">
          <a:schemeClr val="lt1"/>
        </a:lnRef>
        <a:fillRef idx="1">
          <a:schemeClr val="accen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latin typeface="宋体" panose="02010600030101010101" charset="-122"/>
              <a:ea typeface="宋体" panose="02010600030101010101" charset="-122"/>
            </a:rPr>
            <a:t>运营费</a:t>
          </a:r>
        </a:p>
      </dsp:txBody>
      <dsp:txXfrm>
        <a:off x="1948044" y="1213318"/>
        <a:ext cx="1128668" cy="344244"/>
      </dsp:txXfrm>
    </dsp:sp>
    <dsp:sp modelId="{075EE492-AEF3-4C27-AB3B-090DB0854BDB}">
      <dsp:nvSpPr>
        <dsp:cNvPr id="4" name="矩形 3" hidden="1"/>
        <dsp:cNvSpPr/>
      </dsp:nvSpPr>
      <dsp:spPr bwMode="white">
        <a:xfrm>
          <a:off x="593642" y="970654"/>
          <a:ext cx="225734" cy="344244"/>
        </a:xfrm>
        <a:prstGeom prst="rect">
          <a:avLst/>
        </a:prstGeom>
      </dsp:spPr>
      <dsp:style>
        <a:lnRef idx="2">
          <a:schemeClr val="lt1"/>
        </a:lnRef>
        <a:fillRef idx="1">
          <a:schemeClr val="accent1"/>
        </a:fillRef>
        <a:effectRef idx="0">
          <a:scrgbClr r="0" g="0" b="0"/>
        </a:effectRef>
        <a:fontRef idx="minor">
          <a:schemeClr val="lt1"/>
        </a:fontRef>
      </dsp:style>
      <dsp:txXfrm>
        <a:off x="593642" y="970654"/>
        <a:ext cx="225734" cy="344244"/>
      </dsp:txXfrm>
    </dsp:sp>
    <dsp:sp modelId="{06977B8D-754D-4272-B18A-3DE5B6036651}">
      <dsp:nvSpPr>
        <dsp:cNvPr id="7" name="矩形 6" hidden="1"/>
        <dsp:cNvSpPr/>
      </dsp:nvSpPr>
      <dsp:spPr bwMode="white">
        <a:xfrm>
          <a:off x="1948044" y="727991"/>
          <a:ext cx="225734" cy="344244"/>
        </a:xfrm>
        <a:prstGeom prst="rect">
          <a:avLst/>
        </a:prstGeom>
      </dsp:spPr>
      <dsp:style>
        <a:lnRef idx="2">
          <a:schemeClr val="lt1"/>
        </a:lnRef>
        <a:fillRef idx="1">
          <a:schemeClr val="accent1"/>
        </a:fillRef>
        <a:effectRef idx="0">
          <a:scrgbClr r="0" g="0" b="0"/>
        </a:effectRef>
        <a:fontRef idx="minor">
          <a:schemeClr val="lt1"/>
        </a:fontRef>
      </dsp:style>
      <dsp:txXfrm>
        <a:off x="1948044" y="727991"/>
        <a:ext cx="225734" cy="344244"/>
      </dsp:txXfrm>
    </dsp:sp>
    <dsp:sp modelId="{B0E7110E-CA94-4C14-9E40-216CDF76A27B}">
      <dsp:nvSpPr>
        <dsp:cNvPr id="10" name="矩形 9" hidden="1"/>
        <dsp:cNvSpPr/>
      </dsp:nvSpPr>
      <dsp:spPr bwMode="white">
        <a:xfrm>
          <a:off x="3302445" y="0"/>
          <a:ext cx="225734" cy="344244"/>
        </a:xfrm>
        <a:prstGeom prst="rect">
          <a:avLst/>
        </a:prstGeom>
      </dsp:spPr>
      <dsp:style>
        <a:lnRef idx="2">
          <a:schemeClr val="lt1"/>
        </a:lnRef>
        <a:fillRef idx="1">
          <a:schemeClr val="accent1"/>
        </a:fillRef>
        <a:effectRef idx="0">
          <a:scrgbClr r="0" g="0" b="0"/>
        </a:effectRef>
        <a:fontRef idx="minor">
          <a:schemeClr val="lt1"/>
        </a:fontRef>
      </dsp:style>
      <dsp:txXfrm>
        <a:off x="3302445" y="0"/>
        <a:ext cx="225734" cy="344244"/>
      </dsp:txXfrm>
    </dsp:sp>
    <dsp:sp modelId="{B73F166A-883F-407F-82B5-2E8669543F1D}">
      <dsp:nvSpPr>
        <dsp:cNvPr id="13" name="矩形 12" hidden="1"/>
        <dsp:cNvSpPr/>
      </dsp:nvSpPr>
      <dsp:spPr bwMode="white">
        <a:xfrm>
          <a:off x="3302445" y="485327"/>
          <a:ext cx="225734" cy="344244"/>
        </a:xfrm>
        <a:prstGeom prst="rect">
          <a:avLst/>
        </a:prstGeom>
      </dsp:spPr>
      <dsp:style>
        <a:lnRef idx="2">
          <a:schemeClr val="lt1"/>
        </a:lnRef>
        <a:fillRef idx="1">
          <a:schemeClr val="accent1"/>
        </a:fillRef>
        <a:effectRef idx="0">
          <a:scrgbClr r="0" g="0" b="0"/>
        </a:effectRef>
        <a:fontRef idx="minor">
          <a:schemeClr val="lt1"/>
        </a:fontRef>
      </dsp:style>
      <dsp:txXfrm>
        <a:off x="3302445" y="485327"/>
        <a:ext cx="225734" cy="344244"/>
      </dsp:txXfrm>
    </dsp:sp>
    <dsp:sp modelId="{75EA3333-16B0-44F5-B4B5-AEBCE253D4D4}">
      <dsp:nvSpPr>
        <dsp:cNvPr id="16" name="矩形 15" hidden="1"/>
        <dsp:cNvSpPr/>
      </dsp:nvSpPr>
      <dsp:spPr bwMode="white">
        <a:xfrm>
          <a:off x="3302445" y="970654"/>
          <a:ext cx="225734" cy="344244"/>
        </a:xfrm>
        <a:prstGeom prst="rect">
          <a:avLst/>
        </a:prstGeom>
      </dsp:spPr>
      <dsp:style>
        <a:lnRef idx="2">
          <a:schemeClr val="lt1"/>
        </a:lnRef>
        <a:fillRef idx="1">
          <a:schemeClr val="accent1"/>
        </a:fillRef>
        <a:effectRef idx="0">
          <a:scrgbClr r="0" g="0" b="0"/>
        </a:effectRef>
        <a:fontRef idx="minor">
          <a:schemeClr val="lt1"/>
        </a:fontRef>
      </dsp:style>
      <dsp:txXfrm>
        <a:off x="3302445" y="970654"/>
        <a:ext cx="225734" cy="344244"/>
      </dsp:txXfrm>
    </dsp:sp>
    <dsp:sp modelId="{39856935-23BC-4967-818C-239D76DCB74A}">
      <dsp:nvSpPr>
        <dsp:cNvPr id="19" name="矩形 18" hidden="1"/>
        <dsp:cNvSpPr/>
      </dsp:nvSpPr>
      <dsp:spPr bwMode="white">
        <a:xfrm>
          <a:off x="3302445" y="1455981"/>
          <a:ext cx="225734" cy="344244"/>
        </a:xfrm>
        <a:prstGeom prst="rect">
          <a:avLst/>
        </a:prstGeom>
      </dsp:spPr>
      <dsp:style>
        <a:lnRef idx="2">
          <a:schemeClr val="lt1"/>
        </a:lnRef>
        <a:fillRef idx="1">
          <a:schemeClr val="accent1"/>
        </a:fillRef>
        <a:effectRef idx="0">
          <a:scrgbClr r="0" g="0" b="0"/>
        </a:effectRef>
        <a:fontRef idx="minor">
          <a:schemeClr val="lt1"/>
        </a:fontRef>
      </dsp:style>
      <dsp:txXfrm>
        <a:off x="3302445" y="1455981"/>
        <a:ext cx="225734" cy="344244"/>
      </dsp:txXfrm>
    </dsp:sp>
    <dsp:sp modelId="{894D9896-0975-4B08-BB6A-551BC672A2CE}">
      <dsp:nvSpPr>
        <dsp:cNvPr id="22" name="矩形 21" hidden="1"/>
        <dsp:cNvSpPr/>
      </dsp:nvSpPr>
      <dsp:spPr bwMode="white">
        <a:xfrm>
          <a:off x="1948044" y="1213318"/>
          <a:ext cx="225734" cy="344244"/>
        </a:xfrm>
        <a:prstGeom prst="rect">
          <a:avLst/>
        </a:prstGeom>
      </dsp:spPr>
      <dsp:style>
        <a:lnRef idx="2">
          <a:schemeClr val="lt1"/>
        </a:lnRef>
        <a:fillRef idx="1">
          <a:schemeClr val="accent1"/>
        </a:fillRef>
        <a:effectRef idx="0">
          <a:scrgbClr r="0" g="0" b="0"/>
        </a:effectRef>
        <a:fontRef idx="minor">
          <a:schemeClr val="lt1"/>
        </a:fontRef>
      </dsp:style>
      <dsp:txXfrm>
        <a:off x="1948044" y="1213318"/>
        <a:ext cx="225734" cy="34424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1">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linDir" val="fromL"/>
                      <dgm:param type="chAlign" val="t"/>
                    </dgm:alg>
                  </dgm:if>
                  <dgm:else name="Name31">
                    <dgm:alg type="hierChild">
                      <dgm:param type="linDir" val="fromR"/>
                      <dgm:param type="chAlign" val="t"/>
                    </dgm:alg>
                  </dgm:else>
                </dgm:choose>
              </dgm:if>
              <dgm:if name="Name32" func="var" arg="hierBranch" op="equ" val="r">
                <dgm:choose name="Name33">
                  <dgm:if name="Name34" func="var" arg="dir" op="equ" val="norm">
                    <dgm:alg type="hierChild">
                      <dgm:param type="linDir" val="fromL"/>
                      <dgm:param type="chAlign" val="b"/>
                    </dgm:alg>
                  </dgm:if>
                  <dgm:else name="Name35">
                    <dgm:alg type="hierChild">
                      <dgm:param type="linDir" val="fromR"/>
                      <dgm:param type="chAlign" val="b"/>
                    </dgm:alg>
                  </dgm:else>
                </dgm:choose>
              </dgm:if>
              <dgm:if name="Name36" func="var" arg="hierBranch" op="equ" val="hang">
                <dgm:choose name="Name37">
                  <dgm:if name="Name38" func="var" arg="dir" op="equ" val="norm">
                    <dgm:alg type="hierChild">
                      <dgm:param type="linDir" val="fromT"/>
                      <dgm:param type="chAlign" val="l"/>
                      <dgm:param type="secLinDir" val="fromL"/>
                      <dgm:param type="secChAlign" val="t"/>
                    </dgm:alg>
                  </dgm:if>
                  <dgm:else name="Name39">
                    <dgm:alg type="hierChild">
                      <dgm:param type="linDir" val="fromT"/>
                      <dgm:param type="chAlign" val="r"/>
                      <dgm:param type="secLinDir" val="fromR"/>
                      <dgm:param type="secChAlign" val="t"/>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dim" val="1D"/>
                            <dgm:param type="endSty" val="noArr"/>
                            <dgm:param type="connRout" val="bend"/>
                            <dgm:param type="begPts" val="midR"/>
                            <dgm:param type="endPts" val="bCtr tCtr"/>
                          </dgm:alg>
                        </dgm:if>
                        <dgm:else name="Name50">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dim" val="1D"/>
                            <dgm:param type="endSty" val="noArr"/>
                            <dgm:param type="connRout" val="bend"/>
                            <dgm:param type="begPts" val="midR"/>
                            <dgm:param type="endPts" val="tCtr"/>
                          </dgm:alg>
                        </dgm:if>
                        <dgm:else name="Name55">
                          <dgm:alg type="conn">
                            <dgm:param type="dim" val="1D"/>
                            <dgm:param type="endSty" val="noArr"/>
                            <dgm:param type="connRout" val="bend"/>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dim" val="1D"/>
                            <dgm:param type="endSty" val="noArr"/>
                            <dgm:param type="connRout" val="bend"/>
                            <dgm:param type="begPts" val="midR"/>
                            <dgm:param type="endPts" val="bCtr"/>
                          </dgm:alg>
                        </dgm:if>
                        <dgm:else name="Name60">
                          <dgm:alg type="conn">
                            <dgm:param type="dim" val="1D"/>
                            <dgm:param type="endSty" val="noArr"/>
                            <dgm:param type="connRout" val="bend"/>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dim" val="1D"/>
                            <dgm:param type="endSty" val="noArr"/>
                            <dgm:param type="connRout" val="bend"/>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dim" val="1D"/>
                            <dgm:param type="endSty" val="noArr"/>
                            <dgm:param type="connRout" val="bend"/>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linDir" val="fromL"/>
                            <dgm:param type="chAlign" val="t"/>
                          </dgm:alg>
                        </dgm:if>
                        <dgm:else name="Name93">
                          <dgm:alg type="hierChild">
                            <dgm:param type="linDir" val="fromR"/>
                            <dgm:param type="chAlign" val="t"/>
                          </dgm:alg>
                        </dgm:else>
                      </dgm:choose>
                    </dgm:if>
                    <dgm:if name="Name94" func="var" arg="hierBranch" op="equ" val="r">
                      <dgm:choose name="Name95">
                        <dgm:if name="Name96" func="var" arg="dir" op="equ" val="norm">
                          <dgm:alg type="hierChild">
                            <dgm:param type="linDir" val="fromL"/>
                            <dgm:param type="chAlign" val="b"/>
                          </dgm:alg>
                        </dgm:if>
                        <dgm:else name="Name97">
                          <dgm:alg type="hierChild">
                            <dgm:param type="linDir" val="fromR"/>
                            <dgm:param type="chAlign" val="b"/>
                          </dgm:alg>
                        </dgm:else>
                      </dgm:choose>
                    </dgm:if>
                    <dgm:if name="Name98" func="var" arg="hierBranch" op="equ" val="hang">
                      <dgm:choose name="Name99">
                        <dgm:if name="Name100" func="var" arg="dir" op="equ" val="norm">
                          <dgm:alg type="hierChild">
                            <dgm:param type="linDir" val="fromT"/>
                            <dgm:param type="chAlign" val="l"/>
                            <dgm:param type="secLinDir" val="fromL"/>
                            <dgm:param type="secChAlign" val="t"/>
                          </dgm:alg>
                        </dgm:if>
                        <dgm:else name="Name101">
                          <dgm:alg type="hierChild">
                            <dgm:param type="linDir" val="fromT"/>
                            <dgm:param type="chAlign" val="r"/>
                            <dgm:param type="secLinDir" val="fromR"/>
                            <dgm:param type="secChAlign" val="t"/>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linDir" val="fromT"/>
                        <dgm:param type="chAlign" val="l"/>
                        <dgm:param type="secLinDir" val="fromL"/>
                        <dgm:param type="secChAlign" val="t"/>
                      </dgm:alg>
                    </dgm:if>
                    <dgm:else name="Name109">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linDir" val="fromT"/>
                  <dgm:param type="chAlign" val="l"/>
                  <dgm:param type="secLinDir" val="fromL"/>
                  <dgm:param type="secChAlign" val="t"/>
                </dgm:alg>
              </dgm:if>
              <dgm:else name="Name113">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dim" val="1D"/>
                        <dgm:param type="endSty" val="noArr"/>
                        <dgm:param type="connRout" val="bend"/>
                        <dgm:param type="begPts" val="midR"/>
                        <dgm:param type="endPts" val="bCtr tCtr"/>
                      </dgm:alg>
                    </dgm:if>
                    <dgm:else name="Name118">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linDir" val="fromL"/>
                            <dgm:param type="chAlign" val="t"/>
                          </dgm:alg>
                        </dgm:if>
                        <dgm:else name="Name145">
                          <dgm:alg type="hierChild">
                            <dgm:param type="linDir" val="fromR"/>
                            <dgm:param type="chAlign" val="t"/>
                          </dgm:alg>
                        </dgm:else>
                      </dgm:choose>
                    </dgm:if>
                    <dgm:if name="Name146" func="var" arg="hierBranch" op="equ" val="r">
                      <dgm:choose name="Name147">
                        <dgm:if name="Name148" func="var" arg="dir" op="equ" val="norm">
                          <dgm:alg type="hierChild">
                            <dgm:param type="linDir" val="fromL"/>
                            <dgm:param type="chAlign" val="b"/>
                          </dgm:alg>
                        </dgm:if>
                        <dgm:else name="Name149">
                          <dgm:alg type="hierChild">
                            <dgm:param type="linDir" val="fromR"/>
                            <dgm:param type="chAlign" val="b"/>
                          </dgm:alg>
                        </dgm:else>
                      </dgm:choose>
                    </dgm:if>
                    <dgm:if name="Name150" func="var" arg="hierBranch" op="equ" val="hang">
                      <dgm:choose name="Name151">
                        <dgm:if name="Name152" func="var" arg="dir" op="equ" val="norm">
                          <dgm:alg type="hierChild">
                            <dgm:param type="linDir" val="fromT"/>
                            <dgm:param type="chAlign" val="l"/>
                            <dgm:param type="secLinDir" val="fromL"/>
                            <dgm:param type="secChAlign" val="t"/>
                          </dgm:alg>
                        </dgm:if>
                        <dgm:else name="Name153">
                          <dgm:alg type="hierChild">
                            <dgm:param type="linDir" val="fromT"/>
                            <dgm:param type="chAlign" val="r"/>
                            <dgm:param type="secLinDir" val="fromR"/>
                            <dgm:param type="secChAlign" val="t"/>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linDir" val="fromT"/>
                        <dgm:param type="chAlign" val="l"/>
                        <dgm:param type="secLinDir" val="fromL"/>
                        <dgm:param type="secChAlign" val="t"/>
                      </dgm:alg>
                    </dgm:if>
                    <dgm:else name="Name161">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8F0298-4956-4263-A5FB-EF659F69139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29832</Words>
  <Characters>30256</Characters>
  <Lines>38</Lines>
  <Paragraphs>10</Paragraphs>
  <TotalTime>4</TotalTime>
  <ScaleCrop>false</ScaleCrop>
  <LinksUpToDate>false</LinksUpToDate>
  <CharactersWithSpaces>30743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2022-03-19T14:44:00Z</dcterms:created>
  <dc:creator> Emily</dc:creator>
  <cp:lastModifiedBy>Administrator</cp:lastModifiedBy>
  <cp:lastPrinted>2022-03-24T07:25:00Z</cp:lastPrinted>
  <dcterms:modified xsi:type="dcterms:W3CDTF">2022-04-13T08:33:59Z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37BF405F953141F78A6954C2E3706521</vt:lpwstr>
  </property>
</Properties>
</file>