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pacing w:val="4"/>
          <w:w w:val="95"/>
          <w:sz w:val="21"/>
          <w:szCs w:val="21"/>
          <w:highlight w:val="none"/>
          <w:lang w:eastAsia="zh-CN"/>
        </w:rPr>
      </w:pPr>
      <w:bookmarkStart w:id="2" w:name="_GoBack"/>
      <w:bookmarkEnd w:id="2"/>
    </w:p>
    <w:p>
      <w:pPr>
        <w:jc w:val="both"/>
        <w:rPr>
          <w:rFonts w:hint="eastAsia" w:ascii="宋体" w:hAnsi="宋体" w:eastAsia="宋体" w:cs="宋体"/>
          <w:b/>
          <w:color w:val="auto"/>
          <w:spacing w:val="4"/>
          <w:w w:val="95"/>
          <w:sz w:val="36"/>
          <w:szCs w:val="36"/>
          <w:highlight w:val="none"/>
          <w:lang w:eastAsia="zh-CN"/>
        </w:rPr>
      </w:pPr>
    </w:p>
    <w:p>
      <w:pPr>
        <w:jc w:val="center"/>
        <w:rPr>
          <w:rFonts w:hint="eastAsia" w:ascii="宋体" w:hAnsi="宋体" w:eastAsia="宋体" w:cs="宋体"/>
          <w:b/>
          <w:color w:val="auto"/>
          <w:spacing w:val="4"/>
          <w:w w:val="95"/>
          <w:sz w:val="52"/>
          <w:szCs w:val="52"/>
          <w:highlight w:val="none"/>
          <w:lang w:eastAsia="zh-CN"/>
        </w:rPr>
      </w:pPr>
      <w:r>
        <w:rPr>
          <w:rFonts w:hint="eastAsia" w:ascii="宋体" w:hAnsi="宋体" w:eastAsia="宋体" w:cs="宋体"/>
          <w:b/>
          <w:color w:val="auto"/>
          <w:spacing w:val="4"/>
          <w:w w:val="95"/>
          <w:sz w:val="52"/>
          <w:szCs w:val="52"/>
          <w:highlight w:val="none"/>
          <w:lang w:eastAsia="zh-CN"/>
        </w:rPr>
        <w:t>海陵试验区</w:t>
      </w:r>
      <w:r>
        <w:rPr>
          <w:rFonts w:hint="eastAsia" w:ascii="宋体" w:hAnsi="宋体" w:cs="宋体"/>
          <w:b/>
          <w:color w:val="auto"/>
          <w:spacing w:val="4"/>
          <w:w w:val="95"/>
          <w:sz w:val="52"/>
          <w:szCs w:val="52"/>
          <w:highlight w:val="none"/>
          <w:lang w:eastAsia="zh-CN"/>
        </w:rPr>
        <w:t>共享电动单车</w:t>
      </w:r>
      <w:r>
        <w:rPr>
          <w:rFonts w:hint="eastAsia" w:ascii="宋体" w:hAnsi="宋体" w:eastAsia="宋体" w:cs="宋体"/>
          <w:b/>
          <w:color w:val="auto"/>
          <w:spacing w:val="4"/>
          <w:w w:val="95"/>
          <w:sz w:val="52"/>
          <w:szCs w:val="52"/>
          <w:highlight w:val="none"/>
          <w:lang w:eastAsia="zh-CN"/>
        </w:rPr>
        <w:t>运营商</w:t>
      </w:r>
    </w:p>
    <w:p>
      <w:pPr>
        <w:jc w:val="center"/>
        <w:rPr>
          <w:rFonts w:hint="eastAsia" w:ascii="宋体" w:hAnsi="宋体" w:eastAsia="宋体" w:cs="宋体"/>
          <w:b/>
          <w:color w:val="auto"/>
          <w:spacing w:val="4"/>
          <w:w w:val="95"/>
          <w:sz w:val="52"/>
          <w:szCs w:val="52"/>
          <w:highlight w:val="none"/>
          <w:lang w:eastAsia="zh-CN"/>
        </w:rPr>
      </w:pPr>
      <w:r>
        <w:rPr>
          <w:rFonts w:hint="eastAsia" w:ascii="宋体" w:hAnsi="宋体" w:eastAsia="宋体" w:cs="宋体"/>
          <w:b/>
          <w:color w:val="auto"/>
          <w:spacing w:val="4"/>
          <w:w w:val="95"/>
          <w:sz w:val="52"/>
          <w:szCs w:val="52"/>
          <w:highlight w:val="none"/>
          <w:lang w:eastAsia="zh-CN"/>
        </w:rPr>
        <w:t>服务采购项目</w:t>
      </w:r>
    </w:p>
    <w:p>
      <w:pPr>
        <w:pStyle w:val="2"/>
        <w:rPr>
          <w:rFonts w:hint="eastAsia" w:ascii="宋体" w:hAnsi="宋体" w:eastAsia="宋体" w:cs="宋体"/>
          <w:b/>
          <w:color w:val="auto"/>
          <w:spacing w:val="4"/>
          <w:w w:val="95"/>
          <w:sz w:val="52"/>
          <w:szCs w:val="52"/>
          <w:highlight w:val="none"/>
          <w:lang w:eastAsia="zh-CN"/>
        </w:rPr>
      </w:pPr>
    </w:p>
    <w:p>
      <w:pPr>
        <w:pStyle w:val="5"/>
        <w:rPr>
          <w:rFonts w:hint="eastAsia"/>
          <w:color w:val="auto"/>
        </w:rPr>
      </w:pPr>
    </w:p>
    <w:p>
      <w:pPr>
        <w:jc w:val="center"/>
        <w:rPr>
          <w:rFonts w:hint="eastAsia" w:ascii="宋体" w:hAnsi="宋体" w:eastAsia="宋体" w:cs="宋体"/>
          <w:b/>
          <w:color w:val="auto"/>
          <w:spacing w:val="4"/>
          <w:w w:val="95"/>
          <w:sz w:val="52"/>
          <w:szCs w:val="52"/>
          <w:highlight w:val="none"/>
          <w:lang w:val="en-US" w:eastAsia="zh-CN"/>
        </w:rPr>
      </w:pPr>
      <w:r>
        <w:rPr>
          <w:rFonts w:hint="eastAsia" w:ascii="宋体" w:hAnsi="宋体" w:eastAsia="宋体" w:cs="宋体"/>
          <w:b/>
          <w:color w:val="auto"/>
          <w:spacing w:val="4"/>
          <w:w w:val="95"/>
          <w:sz w:val="52"/>
          <w:szCs w:val="52"/>
          <w:highlight w:val="none"/>
          <w:lang w:val="en-US" w:eastAsia="zh-CN"/>
        </w:rPr>
        <w:t>实</w:t>
      </w:r>
    </w:p>
    <w:p>
      <w:pPr>
        <w:pStyle w:val="2"/>
        <w:rPr>
          <w:rFonts w:hint="eastAsia"/>
          <w:color w:val="auto"/>
          <w:lang w:val="en-US" w:eastAsia="zh-CN"/>
        </w:rPr>
      </w:pPr>
    </w:p>
    <w:p>
      <w:pPr>
        <w:jc w:val="center"/>
        <w:rPr>
          <w:rFonts w:hint="eastAsia" w:ascii="宋体" w:hAnsi="宋体" w:eastAsia="宋体" w:cs="宋体"/>
          <w:b/>
          <w:color w:val="auto"/>
          <w:spacing w:val="4"/>
          <w:w w:val="95"/>
          <w:sz w:val="52"/>
          <w:szCs w:val="52"/>
          <w:highlight w:val="none"/>
          <w:lang w:val="en-US" w:eastAsia="zh-CN"/>
        </w:rPr>
      </w:pPr>
      <w:r>
        <w:rPr>
          <w:rFonts w:hint="eastAsia" w:ascii="宋体" w:hAnsi="宋体" w:eastAsia="宋体" w:cs="宋体"/>
          <w:b/>
          <w:color w:val="auto"/>
          <w:spacing w:val="4"/>
          <w:w w:val="95"/>
          <w:sz w:val="52"/>
          <w:szCs w:val="52"/>
          <w:highlight w:val="none"/>
          <w:lang w:val="en-US" w:eastAsia="zh-CN"/>
        </w:rPr>
        <w:t>施</w:t>
      </w:r>
    </w:p>
    <w:p>
      <w:pPr>
        <w:pStyle w:val="2"/>
        <w:rPr>
          <w:rFonts w:hint="eastAsia"/>
          <w:color w:val="auto"/>
          <w:lang w:val="en-US" w:eastAsia="zh-CN"/>
        </w:rPr>
      </w:pPr>
    </w:p>
    <w:p>
      <w:pPr>
        <w:jc w:val="center"/>
        <w:rPr>
          <w:rFonts w:hint="eastAsia" w:ascii="宋体" w:hAnsi="宋体" w:eastAsia="宋体" w:cs="宋体"/>
          <w:b/>
          <w:color w:val="auto"/>
          <w:spacing w:val="4"/>
          <w:w w:val="95"/>
          <w:sz w:val="52"/>
          <w:szCs w:val="52"/>
          <w:highlight w:val="none"/>
          <w:lang w:val="en-US" w:eastAsia="zh-CN"/>
        </w:rPr>
      </w:pPr>
      <w:r>
        <w:rPr>
          <w:rFonts w:hint="eastAsia" w:ascii="宋体" w:hAnsi="宋体" w:eastAsia="宋体" w:cs="宋体"/>
          <w:b/>
          <w:color w:val="auto"/>
          <w:spacing w:val="4"/>
          <w:w w:val="95"/>
          <w:sz w:val="52"/>
          <w:szCs w:val="52"/>
          <w:highlight w:val="none"/>
          <w:lang w:val="en-US" w:eastAsia="zh-CN"/>
        </w:rPr>
        <w:t>方</w:t>
      </w:r>
    </w:p>
    <w:p>
      <w:pPr>
        <w:pStyle w:val="2"/>
        <w:rPr>
          <w:rFonts w:hint="eastAsia"/>
          <w:color w:val="auto"/>
          <w:lang w:val="en-US" w:eastAsia="zh-CN"/>
        </w:rPr>
      </w:pPr>
    </w:p>
    <w:p>
      <w:pPr>
        <w:jc w:val="center"/>
        <w:rPr>
          <w:rFonts w:hint="eastAsia" w:ascii="宋体" w:hAnsi="宋体" w:eastAsia="宋体" w:cs="宋体"/>
          <w:b/>
          <w:color w:val="auto"/>
          <w:spacing w:val="4"/>
          <w:w w:val="95"/>
          <w:sz w:val="52"/>
          <w:szCs w:val="52"/>
          <w:highlight w:val="none"/>
        </w:rPr>
      </w:pPr>
      <w:r>
        <w:rPr>
          <w:rFonts w:hint="eastAsia" w:ascii="宋体" w:hAnsi="宋体" w:eastAsia="宋体" w:cs="宋体"/>
          <w:b/>
          <w:color w:val="auto"/>
          <w:spacing w:val="4"/>
          <w:w w:val="95"/>
          <w:sz w:val="52"/>
          <w:szCs w:val="52"/>
          <w:highlight w:val="none"/>
          <w:lang w:val="en-US" w:eastAsia="zh-CN"/>
        </w:rPr>
        <w:t>案</w:t>
      </w:r>
    </w:p>
    <w:p>
      <w:pPr>
        <w:rPr>
          <w:rFonts w:hint="eastAsia" w:ascii="宋体" w:hAnsi="宋体" w:eastAsia="宋体" w:cs="宋体"/>
          <w:b/>
          <w:color w:val="auto"/>
          <w:sz w:val="21"/>
          <w:szCs w:val="21"/>
          <w:highlight w:val="none"/>
          <w:lang w:eastAsia="zh-CN"/>
        </w:rPr>
      </w:pPr>
    </w:p>
    <w:p>
      <w:pPr>
        <w:pStyle w:val="17"/>
        <w:rPr>
          <w:rFonts w:hint="eastAsia" w:ascii="宋体" w:hAnsi="宋体" w:eastAsia="宋体" w:cs="宋体"/>
          <w:b/>
          <w:color w:val="auto"/>
          <w:sz w:val="21"/>
          <w:szCs w:val="21"/>
          <w:highlight w:val="none"/>
        </w:rPr>
      </w:pPr>
    </w:p>
    <w:p>
      <w:pPr>
        <w:pStyle w:val="17"/>
        <w:jc w:val="both"/>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pStyle w:val="2"/>
        <w:rPr>
          <w:rFonts w:hint="eastAsia" w:ascii="宋体" w:hAnsi="宋体" w:eastAsia="宋体" w:cs="宋体"/>
          <w:b/>
          <w:color w:val="auto"/>
          <w:sz w:val="21"/>
          <w:szCs w:val="21"/>
          <w:highlight w:val="none"/>
        </w:rPr>
      </w:pPr>
    </w:p>
    <w:p>
      <w:pPr>
        <w:pStyle w:val="5"/>
        <w:rPr>
          <w:rFonts w:hint="eastAsia" w:ascii="宋体" w:hAnsi="宋体" w:eastAsia="宋体" w:cs="宋体"/>
          <w:b/>
          <w:color w:val="auto"/>
          <w:sz w:val="21"/>
          <w:szCs w:val="21"/>
          <w:highlight w:val="none"/>
        </w:rPr>
      </w:pPr>
    </w:p>
    <w:p>
      <w:pPr>
        <w:pStyle w:val="5"/>
        <w:ind w:left="0" w:leftChars="0" w:firstLine="0" w:firstLineChars="0"/>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p>
    <w:p>
      <w:pPr>
        <w:jc w:val="center"/>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lang w:eastAsia="zh-CN"/>
        </w:rPr>
        <w:t>阳江市海陵岛经济开发试验区城市管理和综合执法局</w:t>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2022年0</w:t>
      </w:r>
      <w:r>
        <w:rPr>
          <w:rFonts w:hint="eastAsia" w:ascii="宋体" w:hAnsi="宋体" w:eastAsia="宋体" w:cs="宋体"/>
          <w:b/>
          <w:color w:val="auto"/>
          <w:sz w:val="36"/>
          <w:szCs w:val="36"/>
          <w:highlight w:val="none"/>
          <w:lang w:val="en-US" w:eastAsia="zh-CN"/>
        </w:rPr>
        <w:t>3</w:t>
      </w:r>
      <w:r>
        <w:rPr>
          <w:rFonts w:hint="eastAsia" w:ascii="宋体" w:hAnsi="宋体" w:eastAsia="宋体" w:cs="宋体"/>
          <w:b/>
          <w:color w:val="auto"/>
          <w:sz w:val="36"/>
          <w:szCs w:val="36"/>
          <w:highlight w:val="none"/>
        </w:rPr>
        <w:t>月</w:t>
      </w:r>
    </w:p>
    <w:p>
      <w:pPr>
        <w:tabs>
          <w:tab w:val="left" w:pos="0"/>
        </w:tabs>
        <w:autoSpaceDE w:val="0"/>
        <w:autoSpaceDN w:val="0"/>
        <w:spacing w:line="440" w:lineRule="exact"/>
        <w:jc w:val="both"/>
        <w:outlineLvl w:val="0"/>
        <w:rPr>
          <w:rFonts w:hint="eastAsia" w:ascii="宋体" w:hAnsi="宋体" w:eastAsia="宋体" w:cs="宋体"/>
          <w:b/>
          <w:bCs/>
          <w:color w:val="auto"/>
          <w:sz w:val="21"/>
          <w:szCs w:val="21"/>
          <w:highlight w:val="none"/>
        </w:rPr>
        <w:sectPr>
          <w:pgSz w:w="11906" w:h="16838"/>
          <w:pgMar w:top="1440" w:right="1417" w:bottom="1440" w:left="1417" w:header="851" w:footer="992" w:gutter="0"/>
          <w:cols w:space="720" w:num="1"/>
          <w:docGrid w:type="lines" w:linePitch="312" w:charSpace="0"/>
        </w:sectPr>
      </w:pPr>
      <w:bookmarkStart w:id="0" w:name="_Toc11017"/>
      <w:bookmarkStart w:id="1" w:name="_Toc24851"/>
    </w:p>
    <w:p>
      <w:pPr>
        <w:numPr>
          <w:ilvl w:val="0"/>
          <w:numId w:val="2"/>
        </w:numPr>
        <w:autoSpaceDE w:val="0"/>
        <w:autoSpaceDN w:val="0"/>
        <w:spacing w:line="440" w:lineRule="exact"/>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采购一览表</w:t>
      </w:r>
    </w:p>
    <w:tbl>
      <w:tblPr>
        <w:tblStyle w:val="19"/>
        <w:tblpPr w:leftFromText="180" w:rightFromText="180" w:vertAnchor="text" w:horzAnchor="page" w:tblpX="1962" w:tblpY="433"/>
        <w:tblOverlap w:val="never"/>
        <w:tblW w:w="8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214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063"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2145"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服务单位</w:t>
            </w:r>
            <w:r>
              <w:rPr>
                <w:rFonts w:hint="eastAsia" w:ascii="宋体" w:hAnsi="宋体" w:eastAsia="宋体" w:cs="宋体"/>
                <w:b/>
                <w:color w:val="auto"/>
                <w:sz w:val="21"/>
                <w:szCs w:val="21"/>
                <w:highlight w:val="none"/>
                <w:lang w:val="en-US" w:eastAsia="zh-CN"/>
              </w:rPr>
              <w:t>/投放</w:t>
            </w:r>
            <w:r>
              <w:rPr>
                <w:rFonts w:hint="eastAsia" w:ascii="宋体" w:hAnsi="宋体" w:eastAsia="宋体" w:cs="宋体"/>
                <w:b/>
                <w:color w:val="auto"/>
                <w:sz w:val="21"/>
                <w:szCs w:val="21"/>
                <w:highlight w:val="none"/>
              </w:rPr>
              <w:t>数量</w:t>
            </w:r>
          </w:p>
        </w:tc>
        <w:tc>
          <w:tcPr>
            <w:tcW w:w="3975"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0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eastAsia="zh-CN"/>
              </w:rPr>
              <w:t>海陵试验区</w:t>
            </w:r>
            <w:r>
              <w:rPr>
                <w:rFonts w:hint="eastAsia" w:ascii="宋体" w:hAnsi="宋体" w:cs="宋体"/>
                <w:color w:val="auto"/>
                <w:sz w:val="21"/>
                <w:szCs w:val="21"/>
                <w:highlight w:val="none"/>
                <w:lang w:eastAsia="zh-CN"/>
              </w:rPr>
              <w:t>共享电动单车</w:t>
            </w:r>
            <w:r>
              <w:rPr>
                <w:rFonts w:hint="eastAsia" w:ascii="宋体" w:hAnsi="宋体" w:eastAsia="宋体" w:cs="宋体"/>
                <w:color w:val="auto"/>
                <w:sz w:val="21"/>
                <w:szCs w:val="21"/>
                <w:highlight w:val="none"/>
                <w:lang w:eastAsia="zh-CN"/>
              </w:rPr>
              <w:t>运营商服务采购项目</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2家</w:t>
            </w:r>
            <w:r>
              <w:rPr>
                <w:rFonts w:hint="eastAsia" w:ascii="宋体" w:hAnsi="宋体" w:cs="宋体"/>
                <w:bCs/>
                <w:color w:val="auto"/>
                <w:sz w:val="21"/>
                <w:szCs w:val="21"/>
                <w:highlight w:val="none"/>
                <w:lang w:val="en-US" w:eastAsia="zh-CN"/>
              </w:rPr>
              <w:t>/</w:t>
            </w:r>
            <w:r>
              <w:rPr>
                <w:rFonts w:hint="eastAsia" w:ascii="宋体" w:hAnsi="宋体" w:eastAsia="宋体" w:cs="宋体"/>
                <w:bCs/>
                <w:color w:val="auto"/>
                <w:sz w:val="21"/>
                <w:szCs w:val="21"/>
                <w:highlight w:val="none"/>
                <w:lang w:val="en-US" w:eastAsia="zh-CN"/>
              </w:rPr>
              <w:t>1600辆1家</w:t>
            </w:r>
          </w:p>
        </w:tc>
        <w:tc>
          <w:tcPr>
            <w:tcW w:w="3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val="en-US" w:eastAsia="zh-CN"/>
              </w:rPr>
              <w:t>签订投放管理协议生效之日起满三年。中标人运营期间接受</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管理考核，考核合格的可再续期一年，最长可续期两年</w:t>
            </w:r>
          </w:p>
        </w:tc>
      </w:tr>
    </w:tbl>
    <w:p>
      <w:pPr>
        <w:pStyle w:val="17"/>
        <w:jc w:val="both"/>
        <w:rPr>
          <w:rFonts w:hint="eastAsia" w:ascii="宋体" w:hAnsi="宋体" w:eastAsia="宋体" w:cs="宋体"/>
          <w:b/>
          <w:bCs/>
          <w:color w:val="auto"/>
          <w:sz w:val="21"/>
          <w:szCs w:val="21"/>
          <w:highlight w:val="none"/>
        </w:rPr>
      </w:pPr>
    </w:p>
    <w:p>
      <w:pPr>
        <w:rPr>
          <w:rFonts w:hint="eastAsia" w:ascii="宋体" w:hAnsi="宋体" w:eastAsia="宋体" w:cs="宋体"/>
          <w:color w:val="auto"/>
        </w:rPr>
      </w:pPr>
    </w:p>
    <w:p>
      <w:pPr>
        <w:numPr>
          <w:ilvl w:val="0"/>
          <w:numId w:val="2"/>
        </w:numPr>
        <w:autoSpaceDE w:val="0"/>
        <w:autoSpaceDN w:val="0"/>
        <w:spacing w:line="440" w:lineRule="exact"/>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申请人的资格要求：</w:t>
      </w:r>
      <w:bookmarkEnd w:id="0"/>
      <w:bookmarkEnd w:id="1"/>
    </w:p>
    <w:p>
      <w:pPr>
        <w:numPr>
          <w:ilvl w:val="0"/>
          <w:numId w:val="3"/>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满足《中华人民共和国政府采购法》第二十二条规定；</w:t>
      </w:r>
    </w:p>
    <w:p>
      <w:pPr>
        <w:numPr>
          <w:ilvl w:val="0"/>
          <w:numId w:val="4"/>
        </w:num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4"/>
        </w:num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有依法缴纳税收和社会保障资金的良好记录：提供2021年至今任意1个月依法缴纳税收和社会保障资金的相关材料。如依法免税或不需要缴纳社会保障资金的，提供相应证明材料；</w:t>
      </w:r>
    </w:p>
    <w:p>
      <w:pPr>
        <w:numPr>
          <w:ilvl w:val="0"/>
          <w:numId w:val="4"/>
        </w:num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良好的商业信誉和健全的财务会计制度，提供以下任意一项证明材料：①提供2021年度财务状况报告或2021年至今任意1个月的财务报表，内容含盖资产负债表和利润表和现金流量表②基本户开户银行出具的资信证明，并提供开户许可证（适用于法人或其他组织）③中国人民银行出具的个人信用报告（适用于自然人）；</w:t>
      </w:r>
    </w:p>
    <w:p>
      <w:pPr>
        <w:numPr>
          <w:ilvl w:val="0"/>
          <w:numId w:val="4"/>
        </w:num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履行合同所必需的设备和专业技术能力：按投标（响应）文件格式填报设备及专业技术能力情况（提供签署及盖章合格的《资格声明函》）；</w:t>
      </w:r>
    </w:p>
    <w:p>
      <w:pPr>
        <w:numPr>
          <w:ilvl w:val="0"/>
          <w:numId w:val="4"/>
        </w:num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参加采购活动前3年内，在经营活动中没有重大违法记录：（提供签署及盖章合格的《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numPr>
          <w:ilvl w:val="0"/>
          <w:numId w:val="3"/>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落实政府采购政策需满足的资格要求：无。</w:t>
      </w:r>
    </w:p>
    <w:p>
      <w:pPr>
        <w:numPr>
          <w:ilvl w:val="0"/>
          <w:numId w:val="3"/>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本项目的特定资格要求：</w:t>
      </w:r>
    </w:p>
    <w:p>
      <w:pPr>
        <w:numPr>
          <w:ilvl w:val="0"/>
          <w:numId w:val="0"/>
        </w:numPr>
        <w:spacing w:line="360" w:lineRule="auto"/>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p>
      <w:pPr>
        <w:numPr>
          <w:ilvl w:val="0"/>
          <w:numId w:val="0"/>
        </w:numPr>
        <w:spacing w:line="360" w:lineRule="auto"/>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单位负责人为同一人或者存在直接控股、管理关系的不同供应商，不得同时参加本采购项目（或采购包）投标（响应）。为本项目提供整体设计、规范编制或者项目管理、监理、检测等服务的供应商，不得再参与本项目投标（响应）。提供签署及盖章合格的《资格声明函》）。</w:t>
      </w:r>
    </w:p>
    <w:p>
      <w:pPr>
        <w:numPr>
          <w:ilvl w:val="0"/>
          <w:numId w:val="0"/>
        </w:numPr>
        <w:spacing w:line="360" w:lineRule="auto"/>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(3)已登记报名并获取本项目采购文件。</w:t>
      </w:r>
    </w:p>
    <w:p>
      <w:pPr>
        <w:numPr>
          <w:ilvl w:val="0"/>
          <w:numId w:val="3"/>
        </w:num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本项目不接受联合体投标。</w:t>
      </w: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p>
      <w:pPr>
        <w:pageBreakBefore w:val="0"/>
        <w:kinsoku/>
        <w:wordWrap/>
        <w:topLinePunct w:val="0"/>
        <w:bidi w:val="0"/>
        <w:snapToGrid/>
        <w:spacing w:line="360" w:lineRule="auto"/>
        <w:jc w:val="center"/>
        <w:outlineLvl w:val="0"/>
        <w:rPr>
          <w:rFonts w:hint="eastAsia" w:ascii="宋体" w:hAnsi="宋体" w:eastAsia="宋体" w:cs="宋体"/>
          <w:b/>
          <w:bCs/>
          <w:color w:val="auto"/>
          <w:sz w:val="21"/>
          <w:szCs w:val="21"/>
        </w:rPr>
      </w:pPr>
      <w:r>
        <w:rPr>
          <w:rFonts w:hint="eastAsia" w:ascii="宋体" w:hAnsi="宋体" w:eastAsia="宋体" w:cs="宋体"/>
          <w:b/>
          <w:bCs/>
          <w:color w:val="auto"/>
          <w:sz w:val="28"/>
          <w:szCs w:val="28"/>
        </w:rPr>
        <w:t>技术商务要求</w:t>
      </w: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color w:val="auto"/>
          <w:sz w:val="21"/>
          <w:szCs w:val="21"/>
        </w:rPr>
      </w:pPr>
      <w:r>
        <w:rPr>
          <w:rFonts w:hint="eastAsia" w:ascii="宋体" w:hAnsi="宋体" w:eastAsia="宋体" w:cs="宋体"/>
          <w:color w:val="auto"/>
          <w:sz w:val="21"/>
          <w:szCs w:val="21"/>
        </w:rPr>
        <w:t xml:space="preserve">项目背景 </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海陵岛地处广东省阳江市西南部，是广东第四大海岛，阳江市属最大的海岛，主岛面积108.89平方公里，海域面积640平方公里，主岛海岸线长75.5公里，浅海和滩涂面积98平方公里。</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海陵岛拥有风光旖旎的海滨旅游资源和众多的自然景观和人文景观，如太傅庙、灵谷庙、古炮台、镇海亭、观音阁等10多处。岛内有大角湾、马尾岛风景区、十里银滩风景区及金沙滩风景区等。十里银滩中段，银海城内还有一座面积6万平方米，中国最大的仿宋建筑――宋城，城内有53座仿宋建筑。</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作为广东第四大岛，海陵岛第三产业以旅游业为主，是广东滨海旅游开发最早的地区之一。经过二十多年的开发建设，经济和社会各项事业得到了快速发展，获得了国家蓝色旅游示范基地、国家AAAAA级旅游景区、中国十大宝岛、中国十大美丽海岛、国家海洋公园、国家红树林湿地公园、国家中心渔港、国家水下考古基地等一大批国字号荣誉称号；2016年被列入国务院“十三五”海岛旅游目的地发展规划；2020年被认定为第三批广东省全域旅游示范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20" w:firstLineChars="20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1"/>
          <w:szCs w:val="21"/>
        </w:rPr>
        <w:t>海陵岛是国家AAAAA级旅游景区，独特的地理位置带动了整个城市的经济发展，在快速发展的经济增速下，公共交通资源和交通工具的协调互补，是城市管理者须正视和面对的战略问题，也是当地市民和游客需要的，从新能源、环保、低碳出行、慢行公共交通补充等方向，综合论证，印证了城市交通对共享出行的切实需求</w:t>
      </w:r>
      <w:r>
        <w:rPr>
          <w:rFonts w:hint="eastAsia" w:ascii="宋体" w:hAnsi="宋体" w:eastAsia="宋体" w:cs="宋体"/>
          <w:color w:val="auto"/>
          <w:sz w:val="21"/>
          <w:szCs w:val="21"/>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为促进我区共享电动单车规范有序发展，解决车辆乱停乱放、无序投放、运维不力、主体责任不落实等问题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倡导低碳、环保、绿色出行的方式</w:t>
      </w:r>
      <w:r>
        <w:rPr>
          <w:rFonts w:hint="eastAsia" w:ascii="宋体" w:hAnsi="宋体" w:eastAsia="宋体" w:cs="宋体"/>
          <w:color w:val="auto"/>
          <w:sz w:val="21"/>
          <w:szCs w:val="21"/>
        </w:rPr>
        <w:t>。根据有关法律法规以及交通运输部等十部、委《关于鼓励和规范互联网租赁自行车发展的指导意见》（交运发〔2017〕109号）</w:t>
      </w:r>
      <w:r>
        <w:rPr>
          <w:rFonts w:hint="eastAsia" w:ascii="宋体" w:hAnsi="宋体" w:eastAsia="宋体" w:cs="宋体"/>
          <w:color w:val="auto"/>
          <w:sz w:val="21"/>
          <w:szCs w:val="21"/>
          <w:lang w:val="en-US" w:eastAsia="zh-CN"/>
        </w:rPr>
        <w:t>和《市场监管总局工业和信息化部公安部关于加强电动自行车国家标准实施监督的意见》（国市监标创〔2019〕53号）</w:t>
      </w:r>
      <w:r>
        <w:rPr>
          <w:rFonts w:hint="eastAsia" w:ascii="宋体" w:hAnsi="宋体" w:eastAsia="宋体" w:cs="宋体"/>
          <w:color w:val="auto"/>
          <w:sz w:val="21"/>
          <w:szCs w:val="21"/>
        </w:rPr>
        <w:t>的规定。结合我区实际，本次项目</w:t>
      </w:r>
      <w:r>
        <w:rPr>
          <w:rFonts w:hint="eastAsia" w:ascii="宋体" w:hAnsi="宋体" w:eastAsia="宋体" w:cs="宋体"/>
          <w:color w:val="auto"/>
          <w:sz w:val="21"/>
          <w:szCs w:val="21"/>
          <w:lang w:val="en-US" w:eastAsia="zh-CN"/>
        </w:rPr>
        <w:t>通过公开招标选取运营商</w:t>
      </w:r>
      <w:r>
        <w:rPr>
          <w:rFonts w:hint="eastAsia" w:ascii="宋体" w:hAnsi="宋体" w:eastAsia="宋体" w:cs="宋体"/>
          <w:color w:val="auto"/>
          <w:sz w:val="21"/>
          <w:szCs w:val="21"/>
        </w:rPr>
        <w:t>。</w:t>
      </w: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投放</w:t>
      </w:r>
      <w:r>
        <w:rPr>
          <w:rFonts w:hint="eastAsia" w:ascii="宋体" w:hAnsi="宋体" w:eastAsia="宋体" w:cs="宋体"/>
          <w:color w:val="auto"/>
          <w:sz w:val="21"/>
          <w:szCs w:val="21"/>
          <w:lang w:val="en-US" w:eastAsia="zh-CN"/>
        </w:rPr>
        <w:t>车型及</w:t>
      </w:r>
      <w:r>
        <w:rPr>
          <w:rFonts w:hint="eastAsia" w:ascii="宋体" w:hAnsi="宋体" w:eastAsia="宋体" w:cs="宋体"/>
          <w:color w:val="auto"/>
          <w:sz w:val="21"/>
          <w:szCs w:val="21"/>
        </w:rPr>
        <w:t>规模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投放规模</w:t>
      </w:r>
      <w:r>
        <w:rPr>
          <w:rFonts w:hint="eastAsia" w:ascii="宋体" w:hAnsi="宋体" w:eastAsia="宋体" w:cs="宋体"/>
          <w:color w:val="auto"/>
          <w:sz w:val="21"/>
          <w:szCs w:val="21"/>
        </w:rPr>
        <w:t>坚持总量控制、科学布点的原则，</w:t>
      </w:r>
      <w:r>
        <w:rPr>
          <w:rFonts w:hint="eastAsia" w:ascii="宋体" w:hAnsi="宋体" w:eastAsia="宋体" w:cs="宋体"/>
          <w:color w:val="auto"/>
          <w:sz w:val="21"/>
          <w:szCs w:val="21"/>
          <w:lang w:val="en-US" w:eastAsia="zh-CN"/>
        </w:rPr>
        <w:t>根据我区共享电动单车承载力测算，</w:t>
      </w:r>
      <w:r>
        <w:rPr>
          <w:rFonts w:hint="eastAsia" w:ascii="宋体" w:hAnsi="宋体" w:eastAsia="宋体" w:cs="宋体"/>
          <w:color w:val="auto"/>
          <w:sz w:val="21"/>
          <w:szCs w:val="21"/>
        </w:rPr>
        <w:t>综合考虑</w:t>
      </w:r>
      <w:r>
        <w:rPr>
          <w:rFonts w:hint="eastAsia" w:ascii="宋体" w:hAnsi="宋体" w:eastAsia="宋体" w:cs="宋体"/>
          <w:color w:val="auto"/>
          <w:sz w:val="21"/>
          <w:szCs w:val="21"/>
          <w:lang w:val="en-US" w:eastAsia="zh-CN"/>
        </w:rPr>
        <w:t>居民、游客</w:t>
      </w:r>
      <w:r>
        <w:rPr>
          <w:rFonts w:hint="eastAsia" w:ascii="宋体" w:hAnsi="宋体" w:eastAsia="宋体" w:cs="宋体"/>
          <w:color w:val="auto"/>
          <w:sz w:val="21"/>
          <w:szCs w:val="21"/>
        </w:rPr>
        <w:t>短距离出行需求、城市空间承受能力、道路资源与停放车位承载能力等情况，</w:t>
      </w:r>
      <w:r>
        <w:rPr>
          <w:rFonts w:hint="eastAsia" w:ascii="宋体" w:hAnsi="宋体" w:eastAsia="宋体" w:cs="宋体"/>
          <w:color w:val="auto"/>
          <w:sz w:val="21"/>
          <w:szCs w:val="21"/>
          <w:lang w:val="en-US" w:eastAsia="zh-CN"/>
        </w:rPr>
        <w:t>我区共享电动单车投放</w:t>
      </w:r>
      <w:r>
        <w:rPr>
          <w:rFonts w:hint="eastAsia" w:ascii="宋体" w:hAnsi="宋体" w:eastAsia="宋体" w:cs="宋体"/>
          <w:color w:val="auto"/>
          <w:sz w:val="21"/>
          <w:szCs w:val="21"/>
        </w:rPr>
        <w:t>总</w:t>
      </w:r>
      <w:r>
        <w:rPr>
          <w:rFonts w:hint="eastAsia" w:ascii="宋体" w:hAnsi="宋体" w:eastAsia="宋体" w:cs="宋体"/>
          <w:color w:val="auto"/>
          <w:sz w:val="21"/>
          <w:szCs w:val="21"/>
          <w:lang w:val="en-US" w:eastAsia="zh-CN"/>
        </w:rPr>
        <w:t>量约5000辆为</w:t>
      </w:r>
      <w:r>
        <w:rPr>
          <w:rFonts w:hint="eastAsia" w:ascii="宋体" w:hAnsi="宋体" w:eastAsia="宋体" w:cs="宋体"/>
          <w:color w:val="auto"/>
          <w:sz w:val="21"/>
          <w:szCs w:val="21"/>
        </w:rPr>
        <w:t>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之后根据各企业运行情况及考核评价意见，在征求社会各界及相关部门的意见，并结合我</w:t>
      </w:r>
      <w:r>
        <w:rPr>
          <w:rFonts w:hint="eastAsia" w:ascii="宋体" w:hAnsi="宋体" w:eastAsia="宋体" w:cs="宋体"/>
          <w:color w:val="auto"/>
          <w:sz w:val="21"/>
          <w:szCs w:val="21"/>
          <w:lang w:val="en-US" w:eastAsia="zh-CN"/>
        </w:rPr>
        <w:t>区</w:t>
      </w:r>
      <w:r>
        <w:rPr>
          <w:rFonts w:hint="eastAsia" w:ascii="宋体" w:hAnsi="宋体" w:eastAsia="宋体" w:cs="宋体"/>
          <w:color w:val="auto"/>
          <w:sz w:val="21"/>
          <w:szCs w:val="21"/>
        </w:rPr>
        <w:t>实际需要，经充分论证，按需调整</w:t>
      </w:r>
      <w:r>
        <w:rPr>
          <w:rFonts w:hint="eastAsia" w:ascii="宋体" w:hAnsi="宋体" w:eastAsia="宋体" w:cs="宋体"/>
          <w:color w:val="auto"/>
          <w:sz w:val="21"/>
          <w:szCs w:val="21"/>
          <w:lang w:val="en-US" w:eastAsia="zh-CN"/>
        </w:rPr>
        <w:t>共享电动单车</w:t>
      </w:r>
      <w:r>
        <w:rPr>
          <w:rFonts w:hint="eastAsia" w:ascii="宋体" w:hAnsi="宋体" w:eastAsia="宋体" w:cs="宋体"/>
          <w:color w:val="auto"/>
          <w:sz w:val="21"/>
          <w:szCs w:val="21"/>
        </w:rPr>
        <w:t>运营企业及投放总量。</w:t>
      </w:r>
    </w:p>
    <w:p>
      <w:pPr>
        <w:pStyle w:val="2"/>
        <w:rPr>
          <w:rFonts w:hint="eastAsia" w:ascii="宋体" w:hAnsi="宋体" w:eastAsia="宋体" w:cs="宋体"/>
          <w:color w:val="auto"/>
          <w:sz w:val="21"/>
          <w:szCs w:val="21"/>
        </w:rPr>
      </w:pPr>
    </w:p>
    <w:p>
      <w:pPr>
        <w:pStyle w:val="5"/>
        <w:rPr>
          <w:rFonts w:hint="eastAsia" w:ascii="宋体" w:hAnsi="宋体" w:eastAsia="宋体" w:cs="宋体"/>
          <w:color w:val="auto"/>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8"/>
        <w:gridCol w:w="3195"/>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8" w:type="dxa"/>
            <w:vAlign w:val="center"/>
          </w:tcPr>
          <w:p>
            <w:pPr>
              <w:pStyle w:val="17"/>
              <w:jc w:val="center"/>
              <w:rPr>
                <w:rFonts w:hint="eastAsia" w:ascii="宋体" w:hAnsi="宋体" w:eastAsia="宋体" w:cs="宋体"/>
                <w:b/>
                <w:bCs/>
                <w:color w:val="auto"/>
                <w:vertAlign w:val="baseline"/>
                <w:lang w:val="en-US"/>
              </w:rPr>
            </w:pPr>
            <w:r>
              <w:rPr>
                <w:rFonts w:hint="eastAsia" w:ascii="宋体" w:hAnsi="宋体" w:eastAsia="宋体" w:cs="宋体"/>
                <w:b/>
                <w:bCs/>
                <w:color w:val="auto"/>
                <w:vertAlign w:val="baseline"/>
                <w:lang w:val="en-US" w:eastAsia="zh-CN"/>
              </w:rPr>
              <w:t xml:space="preserve">运营单位 </w:t>
            </w:r>
          </w:p>
        </w:tc>
        <w:tc>
          <w:tcPr>
            <w:tcW w:w="3195" w:type="dxa"/>
            <w:vAlign w:val="center"/>
          </w:tcPr>
          <w:p>
            <w:pPr>
              <w:pStyle w:val="17"/>
              <w:jc w:val="center"/>
              <w:rPr>
                <w:rFonts w:hint="eastAsia" w:ascii="宋体" w:hAnsi="宋体" w:eastAsia="宋体" w:cs="宋体"/>
                <w:b/>
                <w:bCs/>
                <w:color w:val="auto"/>
                <w:vertAlign w:val="baseline"/>
                <w:lang w:val="en-US" w:eastAsia="zh-CN"/>
              </w:rPr>
            </w:pPr>
            <w:r>
              <w:rPr>
                <w:rFonts w:hint="eastAsia" w:ascii="宋体" w:hAnsi="宋体" w:eastAsia="宋体" w:cs="宋体"/>
                <w:b/>
                <w:bCs/>
                <w:color w:val="auto"/>
                <w:vertAlign w:val="baseline"/>
                <w:lang w:val="en-US" w:eastAsia="zh-CN"/>
              </w:rPr>
              <w:t>共享电动单车/辆</w:t>
            </w:r>
          </w:p>
        </w:tc>
        <w:tc>
          <w:tcPr>
            <w:tcW w:w="2509" w:type="dxa"/>
            <w:vAlign w:val="center"/>
          </w:tcPr>
          <w:p>
            <w:pPr>
              <w:pStyle w:val="17"/>
              <w:jc w:val="center"/>
              <w:rPr>
                <w:rFonts w:hint="eastAsia" w:ascii="宋体" w:hAnsi="宋体" w:eastAsia="宋体" w:cs="宋体"/>
                <w:b/>
                <w:bCs/>
                <w:color w:val="auto"/>
                <w:vertAlign w:val="baseline"/>
                <w:lang w:val="en-US" w:eastAsia="zh-CN"/>
              </w:rPr>
            </w:pPr>
            <w:r>
              <w:rPr>
                <w:rFonts w:hint="eastAsia" w:ascii="宋体" w:hAnsi="宋体" w:eastAsia="宋体" w:cs="宋体"/>
                <w:b/>
                <w:bCs/>
                <w:color w:va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8"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运营商1</w:t>
            </w:r>
          </w:p>
        </w:tc>
        <w:tc>
          <w:tcPr>
            <w:tcW w:w="3195"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1600</w:t>
            </w:r>
          </w:p>
        </w:tc>
        <w:tc>
          <w:tcPr>
            <w:tcW w:w="2509"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8" w:type="dxa"/>
            <w:vAlign w:val="center"/>
          </w:tcPr>
          <w:p>
            <w:pPr>
              <w:pStyle w:val="17"/>
              <w:jc w:val="center"/>
              <w:rPr>
                <w:rFonts w:hint="eastAsia" w:ascii="宋体" w:hAnsi="宋体" w:eastAsia="宋体" w:cs="宋体"/>
                <w:color w:val="auto"/>
                <w:vertAlign w:val="baseline"/>
              </w:rPr>
            </w:pPr>
            <w:r>
              <w:rPr>
                <w:rFonts w:hint="eastAsia" w:ascii="宋体" w:hAnsi="宋体" w:eastAsia="宋体" w:cs="宋体"/>
                <w:color w:val="auto"/>
                <w:vertAlign w:val="baseline"/>
                <w:lang w:val="en-US" w:eastAsia="zh-CN"/>
              </w:rPr>
              <w:t>运营商2</w:t>
            </w:r>
          </w:p>
        </w:tc>
        <w:tc>
          <w:tcPr>
            <w:tcW w:w="3195"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1600</w:t>
            </w:r>
          </w:p>
        </w:tc>
        <w:tc>
          <w:tcPr>
            <w:tcW w:w="2509" w:type="dxa"/>
            <w:vAlign w:val="center"/>
          </w:tcPr>
          <w:p>
            <w:pPr>
              <w:pStyle w:val="17"/>
              <w:jc w:val="center"/>
              <w:rPr>
                <w:rFonts w:hint="eastAsia" w:ascii="宋体" w:hAnsi="宋体" w:eastAsia="宋体" w:cs="宋体"/>
                <w:color w:val="auto"/>
                <w:vertAlign w:val="baseline"/>
              </w:rPr>
            </w:pPr>
            <w:r>
              <w:rPr>
                <w:rFonts w:hint="eastAsia" w:ascii="宋体" w:hAnsi="宋体" w:eastAsia="宋体" w:cs="宋体"/>
                <w:color w:val="auto"/>
                <w:vertAlign w:val="baseline"/>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8"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交投小龙</w:t>
            </w:r>
          </w:p>
        </w:tc>
        <w:tc>
          <w:tcPr>
            <w:tcW w:w="3195"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1800</w:t>
            </w:r>
          </w:p>
        </w:tc>
        <w:tc>
          <w:tcPr>
            <w:tcW w:w="2509"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8" w:type="dxa"/>
            <w:vAlign w:val="center"/>
          </w:tcPr>
          <w:p>
            <w:pPr>
              <w:pStyle w:val="17"/>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合计</w:t>
            </w:r>
          </w:p>
        </w:tc>
        <w:tc>
          <w:tcPr>
            <w:tcW w:w="5704" w:type="dxa"/>
            <w:gridSpan w:val="2"/>
            <w:vAlign w:val="center"/>
          </w:tcPr>
          <w:p>
            <w:pPr>
              <w:pStyle w:val="17"/>
              <w:jc w:val="center"/>
              <w:rPr>
                <w:rFonts w:hint="default" w:ascii="宋体" w:hAnsi="宋体" w:eastAsia="宋体" w:cs="宋体"/>
                <w:color w:val="auto"/>
                <w:vertAlign w:val="baseline"/>
                <w:lang w:val="en-US" w:eastAsia="zh-CN"/>
              </w:rPr>
            </w:pPr>
            <w:r>
              <w:rPr>
                <w:rFonts w:hint="eastAsia" w:ascii="宋体" w:hAnsi="宋体" w:cs="宋体"/>
                <w:color w:val="auto"/>
                <w:vertAlign w:val="baseline"/>
                <w:lang w:val="en-US" w:eastAsia="zh-CN"/>
              </w:rPr>
              <w:t>5000</w:t>
            </w:r>
          </w:p>
        </w:tc>
      </w:tr>
    </w:tbl>
    <w:p>
      <w:pPr>
        <w:pStyle w:val="17"/>
        <w:rPr>
          <w:rFonts w:hint="eastAsia" w:ascii="宋体" w:hAnsi="宋体" w:eastAsia="宋体" w:cs="宋体"/>
          <w:color w:val="auto"/>
        </w:rPr>
      </w:pP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rPr>
        <w:t>运营要求</w:t>
      </w:r>
    </w:p>
    <w:p>
      <w:pPr>
        <w:pageBreakBefore w:val="0"/>
        <w:numPr>
          <w:ilvl w:val="0"/>
          <w:numId w:val="0"/>
        </w:numPr>
        <w:kinsoku/>
        <w:wordWrap/>
        <w:topLinePunct w:val="0"/>
        <w:bidi w:val="0"/>
        <w:snapToGrid/>
        <w:spacing w:line="360" w:lineRule="auto"/>
        <w:ind w:left="420" w:leftChars="0"/>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（一）共享电动单车投放要求</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1、运营企业向我区市场</w:t>
      </w:r>
      <w:r>
        <w:rPr>
          <w:rFonts w:hint="eastAsia" w:ascii="宋体" w:hAnsi="宋体" w:eastAsia="宋体" w:cs="宋体"/>
          <w:color w:val="auto"/>
          <w:sz w:val="21"/>
          <w:szCs w:val="21"/>
        </w:rPr>
        <w:t>投放</w:t>
      </w:r>
      <w:r>
        <w:rPr>
          <w:rFonts w:hint="eastAsia" w:ascii="宋体" w:hAnsi="宋体" w:eastAsia="宋体" w:cs="宋体"/>
          <w:color w:val="auto"/>
          <w:sz w:val="21"/>
          <w:szCs w:val="21"/>
          <w:lang w:val="en-US" w:eastAsia="zh-CN"/>
        </w:rPr>
        <w:t>车辆时</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应在签订合同后</w:t>
      </w:r>
      <w:r>
        <w:rPr>
          <w:rFonts w:hint="eastAsia" w:ascii="宋体" w:hAnsi="宋体" w:eastAsia="宋体" w:cs="宋体"/>
          <w:color w:val="auto"/>
          <w:sz w:val="21"/>
          <w:szCs w:val="21"/>
        </w:rPr>
        <w:t>15日</w:t>
      </w:r>
      <w:r>
        <w:rPr>
          <w:rFonts w:hint="eastAsia" w:ascii="宋体" w:hAnsi="宋体" w:cs="宋体"/>
          <w:color w:val="auto"/>
          <w:sz w:val="21"/>
          <w:szCs w:val="21"/>
          <w:lang w:val="en-US" w:eastAsia="zh-CN"/>
        </w:rPr>
        <w:t>内向</w:t>
      </w:r>
      <w:r>
        <w:rPr>
          <w:rFonts w:hint="eastAsia" w:ascii="宋体" w:hAnsi="宋体" w:eastAsia="宋体" w:cs="宋体"/>
          <w:color w:val="auto"/>
        </w:rPr>
        <w:t>采购人申请，经采购人</w:t>
      </w:r>
      <w:r>
        <w:rPr>
          <w:rFonts w:hint="eastAsia" w:ascii="宋体" w:hAnsi="宋体" w:cs="宋体"/>
          <w:color w:val="auto"/>
          <w:lang w:val="en-US" w:eastAsia="zh-CN"/>
        </w:rPr>
        <w:t>审核</w:t>
      </w:r>
      <w:r>
        <w:rPr>
          <w:rFonts w:hint="eastAsia" w:ascii="宋体" w:hAnsi="宋体" w:eastAsia="宋体" w:cs="宋体"/>
          <w:color w:val="auto"/>
        </w:rPr>
        <w:t>同意后</w:t>
      </w:r>
      <w:r>
        <w:rPr>
          <w:rFonts w:hint="eastAsia" w:ascii="宋体" w:hAnsi="宋体" w:eastAsia="宋体" w:cs="宋体"/>
          <w:color w:val="auto"/>
          <w:sz w:val="21"/>
          <w:szCs w:val="21"/>
        </w:rPr>
        <w:t>，方可投放</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2、条件允许的情况下，车辆应配备头盔、上保险。</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 xml:space="preserve">    3、各运营企业应积极配合停车秩序管理和车辆摆放等相关工作。</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（二）共享电动单车使用要求</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1、采用必要的技术手段</w:t>
      </w:r>
      <w:r>
        <w:rPr>
          <w:rFonts w:hint="eastAsia" w:ascii="宋体" w:hAnsi="宋体" w:eastAsia="宋体" w:cs="宋体"/>
          <w:color w:val="auto"/>
          <w:sz w:val="21"/>
          <w:szCs w:val="21"/>
        </w:rPr>
        <w:t>禁止向未满</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周岁的</w:t>
      </w:r>
      <w:r>
        <w:rPr>
          <w:rFonts w:hint="eastAsia" w:ascii="宋体" w:hAnsi="宋体" w:eastAsia="宋体" w:cs="宋体"/>
          <w:color w:val="auto"/>
          <w:sz w:val="21"/>
          <w:szCs w:val="21"/>
          <w:lang w:eastAsia="zh-CN"/>
        </w:rPr>
        <w:t>未成年人</w:t>
      </w:r>
      <w:r>
        <w:rPr>
          <w:rFonts w:hint="eastAsia" w:ascii="宋体" w:hAnsi="宋体" w:eastAsia="宋体" w:cs="宋体"/>
          <w:color w:val="auto"/>
          <w:sz w:val="21"/>
          <w:szCs w:val="21"/>
        </w:rPr>
        <w:t>提供注册、租赁</w:t>
      </w:r>
      <w:r>
        <w:rPr>
          <w:rFonts w:hint="eastAsia" w:ascii="宋体" w:hAnsi="宋体" w:eastAsia="宋体" w:cs="宋体"/>
          <w:color w:val="auto"/>
          <w:sz w:val="21"/>
          <w:szCs w:val="21"/>
          <w:lang w:eastAsia="zh-CN"/>
        </w:rPr>
        <w:t>车辆</w:t>
      </w:r>
      <w:r>
        <w:rPr>
          <w:rFonts w:hint="eastAsia" w:ascii="宋体" w:hAnsi="宋体" w:eastAsia="宋体" w:cs="宋体"/>
          <w:color w:val="auto"/>
          <w:sz w:val="21"/>
          <w:szCs w:val="21"/>
        </w:rPr>
        <w:t>服务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val="en-US" w:eastAsia="zh-CN"/>
        </w:rPr>
        <w:t>车身应当设置明显的禁止标识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禁止成人或家长通过手机注册开锁后向未满</w:t>
      </w:r>
      <w:r>
        <w:rPr>
          <w:rFonts w:hint="eastAsia" w:ascii="宋体" w:hAnsi="宋体" w:cs="宋体"/>
          <w:color w:val="auto"/>
          <w:sz w:val="21"/>
          <w:szCs w:val="21"/>
          <w:lang w:val="en-US" w:eastAsia="zh-CN"/>
        </w:rPr>
        <w:t>12</w:t>
      </w:r>
      <w:r>
        <w:rPr>
          <w:rFonts w:hint="eastAsia" w:ascii="宋体" w:hAnsi="宋体" w:eastAsia="宋体" w:cs="宋体"/>
          <w:color w:val="auto"/>
          <w:sz w:val="21"/>
          <w:szCs w:val="21"/>
          <w:lang w:val="en-US" w:eastAsia="zh-CN"/>
        </w:rPr>
        <w:t>周岁的未成年人提供共享电动单车。</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2、使用共享电动单车的人员应遵守道路交通安全、城市管理等相关法律法规及运营企业服务协议等规定，使用前应当检查车辆的技术状况，确保骑行安全。</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3、使用共享电动单车时不得超载，不得擅自加装儿童座椅等设备。</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4、使用共享电动单车过程中违反交通法规的由使用人承担法律责任。</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5、使用人应爱护车辆，不得故意损坏、破坏，不得私自占有、公物私用，因个人原因造成的车辆损失应按价赔偿;故意损坏、破坏或偷盗共享电动单车构成犯罪的，应承担相应的法律责任。</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6、禁止在禁停区域和电子围栏外停放共享电动单车，否则运营企业可以向使用人扣除车辆调度费。</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7、中标服务商应当为用户购买意外伤害险、第三者责任险等保险。将事故赔偿机制、流程、标准等向社会公示。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（三）企业数据开放要求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1、运营企业信息平台的数据采集与使用应当遵循国家网络和信息安全有关规定，所采集的用户个人信息和生成的业务数据不得超越提供共享电动单车服务所必须的范围，确保用户信息不被泄露，不被挪作他用。</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2、</w:t>
      </w:r>
      <w:r>
        <w:rPr>
          <w:rFonts w:hint="eastAsia" w:ascii="宋体" w:hAnsi="宋体" w:eastAsia="宋体" w:cs="宋体"/>
          <w:color w:val="auto"/>
          <w:sz w:val="21"/>
          <w:szCs w:val="21"/>
          <w:highlight w:val="none"/>
          <w:lang w:val="en-US" w:eastAsia="zh-CN"/>
        </w:rPr>
        <w:t>运营企业的信息管理平台应当具备对车辆和运维人员实时监控、定位、统计、精确查找等功能。</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3、 所有共享电动单车的运营企业管理平台应接入数字城管平台。针对共享电动单车违法违规行为，经相关执法部门通报，运营企业须立即提供共享电动单车违规骑行人员的相关信息，以配合执法部门对共享电动单车违规骑行人员取证调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（四）工作人员管理要求</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1、运营企业应当建立对所属运维人员的管理、考核制度，根据不同岗位定期对相关人员进行培训，提高运维人员的管理水平。</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2、运维人员必须遵守工作纪律和职业道德规范，认真执行各项管理制度和业务操作规程;工作期间必须统一着装、持证上岗，保持仪容端庄整洁;服从相关管理部门的监督和考核。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（五）车辆质量管理要求</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rPr>
        <w:t>投放的</w:t>
      </w:r>
      <w:r>
        <w:rPr>
          <w:rFonts w:hint="eastAsia" w:ascii="宋体" w:hAnsi="宋体" w:eastAsia="宋体" w:cs="宋体"/>
          <w:color w:val="auto"/>
          <w:sz w:val="21"/>
          <w:szCs w:val="21"/>
          <w:lang w:eastAsia="zh-CN"/>
        </w:rPr>
        <w:t>车辆</w:t>
      </w:r>
      <w:r>
        <w:rPr>
          <w:rFonts w:hint="eastAsia" w:ascii="宋体" w:hAnsi="宋体" w:eastAsia="宋体" w:cs="宋体"/>
          <w:color w:val="auto"/>
          <w:sz w:val="21"/>
          <w:szCs w:val="21"/>
        </w:rPr>
        <w:t>必须符合国家技术标准和行业技术标准的规定，</w:t>
      </w:r>
      <w:r>
        <w:rPr>
          <w:rFonts w:hint="eastAsia" w:ascii="宋体" w:hAnsi="宋体" w:eastAsia="宋体" w:cs="宋体"/>
          <w:color w:val="auto"/>
          <w:sz w:val="21"/>
          <w:szCs w:val="21"/>
          <w:lang w:val="en-US" w:eastAsia="zh-CN"/>
        </w:rPr>
        <w:t>符合</w:t>
      </w:r>
      <w:r>
        <w:rPr>
          <w:rFonts w:hint="eastAsia" w:ascii="宋体" w:hAnsi="宋体" w:eastAsia="宋体" w:cs="宋体"/>
          <w:i w:val="0"/>
          <w:iCs w:val="0"/>
          <w:caps w:val="0"/>
          <w:color w:val="auto"/>
          <w:spacing w:val="0"/>
          <w:sz w:val="21"/>
          <w:szCs w:val="21"/>
          <w:shd w:val="clear" w:fill="FFFFFF"/>
        </w:rPr>
        <w:t>电动自行车强制性产品认证（CCC认证）</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color w:val="auto"/>
          <w:sz w:val="21"/>
          <w:szCs w:val="21"/>
          <w:lang w:eastAsia="zh-CN"/>
        </w:rPr>
        <w:t>能</w:t>
      </w:r>
      <w:r>
        <w:rPr>
          <w:rFonts w:hint="eastAsia" w:ascii="宋体" w:hAnsi="宋体" w:eastAsia="宋体" w:cs="宋体"/>
          <w:color w:val="auto"/>
          <w:sz w:val="21"/>
          <w:szCs w:val="21"/>
        </w:rPr>
        <w:t>提供相关检测报告</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具备智能通讯控制模块的智能锁，能够实现对车辆的实时定位和精确查找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不得擅自在车身发布广告。</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 xml:space="preserve">    2、车辆必须带有车辆卫星定位和智能通讯控制模块的智能锁。</w:t>
      </w:r>
      <w:r>
        <w:rPr>
          <w:rFonts w:hint="eastAsia" w:ascii="宋体" w:hAnsi="宋体" w:eastAsia="宋体" w:cs="宋体"/>
          <w:i w:val="0"/>
          <w:iCs w:val="0"/>
          <w:caps w:val="0"/>
          <w:color w:val="auto"/>
          <w:spacing w:val="0"/>
          <w:sz w:val="21"/>
          <w:szCs w:val="21"/>
          <w:shd w:val="clear" w:fill="FFFFFF"/>
        </w:rPr>
        <w:t>电动自行车产品信息含认证证书编号、整车编码、电机编码、控制器、电池等相关技术参数</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 xml:space="preserve">   3、车辆自身二维码必须清晰安全、具备防伪识别，避免二维码陷阱给用户造成损失，防止其他不法厂商冒充投放。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（六）车辆运维管理要求</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1、企业</w:t>
      </w:r>
      <w:r>
        <w:rPr>
          <w:rFonts w:hint="eastAsia" w:ascii="宋体" w:hAnsi="宋体" w:eastAsia="宋体" w:cs="宋体"/>
          <w:color w:val="auto"/>
          <w:sz w:val="21"/>
          <w:szCs w:val="21"/>
        </w:rPr>
        <w:t>在运营范围内按照至少能够同时停放投放车辆总数的百分之三十的比例配备</w:t>
      </w:r>
      <w:r>
        <w:rPr>
          <w:rFonts w:hint="eastAsia" w:ascii="宋体" w:hAnsi="宋体" w:eastAsia="宋体" w:cs="宋体"/>
          <w:color w:val="auto"/>
          <w:sz w:val="21"/>
          <w:szCs w:val="21"/>
          <w:lang w:val="en-US" w:eastAsia="zh-CN"/>
        </w:rPr>
        <w:t>符合安全管理标准的</w:t>
      </w:r>
      <w:r>
        <w:rPr>
          <w:rFonts w:hint="eastAsia" w:ascii="宋体" w:hAnsi="宋体" w:eastAsia="宋体" w:cs="宋体"/>
          <w:color w:val="auto"/>
          <w:sz w:val="21"/>
          <w:szCs w:val="21"/>
        </w:rPr>
        <w:t>车辆仓储</w:t>
      </w:r>
      <w:r>
        <w:rPr>
          <w:rFonts w:hint="eastAsia" w:ascii="宋体" w:hAnsi="宋体" w:eastAsia="宋体" w:cs="宋体"/>
          <w:color w:val="auto"/>
          <w:sz w:val="21"/>
          <w:szCs w:val="21"/>
          <w:lang w:eastAsia="zh-CN"/>
        </w:rPr>
        <w:t>维保</w:t>
      </w:r>
      <w:r>
        <w:rPr>
          <w:rFonts w:hint="eastAsia" w:ascii="宋体" w:hAnsi="宋体" w:eastAsia="宋体" w:cs="宋体"/>
          <w:color w:val="auto"/>
          <w:sz w:val="21"/>
          <w:szCs w:val="21"/>
        </w:rPr>
        <w:t>场地，</w:t>
      </w:r>
      <w:r>
        <w:rPr>
          <w:rFonts w:hint="eastAsia" w:ascii="宋体" w:hAnsi="宋体" w:eastAsia="宋体" w:cs="宋体"/>
          <w:color w:val="auto"/>
          <w:sz w:val="21"/>
          <w:szCs w:val="21"/>
          <w:highlight w:val="none"/>
          <w:lang w:val="en-US" w:eastAsia="zh-CN"/>
        </w:rPr>
        <w:t>禁止运营企业占用城市道路等公共空间用于车辆存放、周转和维修。</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highlight w:val="none"/>
          <w:lang w:val="en-US" w:eastAsia="zh-CN"/>
        </w:rPr>
        <w:t>企业应当</w:t>
      </w:r>
      <w:r>
        <w:rPr>
          <w:rFonts w:hint="eastAsia" w:ascii="宋体" w:hAnsi="宋体" w:eastAsia="宋体" w:cs="宋体"/>
          <w:color w:val="auto"/>
          <w:sz w:val="21"/>
          <w:szCs w:val="21"/>
        </w:rPr>
        <w:t>按照</w:t>
      </w:r>
      <w:r>
        <w:rPr>
          <w:rFonts w:hint="eastAsia" w:ascii="宋体" w:hAnsi="宋体" w:eastAsia="宋体" w:cs="宋体"/>
          <w:color w:val="auto"/>
          <w:sz w:val="21"/>
          <w:szCs w:val="21"/>
          <w:lang w:val="en-US" w:eastAsia="zh-CN"/>
        </w:rPr>
        <w:t>百分之一</w:t>
      </w:r>
      <w:r>
        <w:rPr>
          <w:rFonts w:hint="eastAsia" w:ascii="宋体" w:hAnsi="宋体" w:eastAsia="宋体" w:cs="宋体"/>
          <w:color w:val="auto"/>
          <w:sz w:val="21"/>
          <w:szCs w:val="21"/>
        </w:rPr>
        <w:t>的人车比例配备相应的运维管理人员，</w:t>
      </w:r>
      <w:r>
        <w:rPr>
          <w:rFonts w:hint="eastAsia" w:ascii="宋体" w:hAnsi="宋体" w:eastAsia="宋体" w:cs="宋体"/>
          <w:color w:val="auto"/>
          <w:sz w:val="21"/>
          <w:szCs w:val="21"/>
          <w:highlight w:val="none"/>
          <w:lang w:val="en-US" w:eastAsia="zh-CN"/>
        </w:rPr>
        <w:t>维护人员应当实行网格化，定人、定点实施维护，</w:t>
      </w:r>
      <w:r>
        <w:rPr>
          <w:rFonts w:hint="eastAsia" w:ascii="宋体" w:hAnsi="宋体" w:eastAsia="宋体" w:cs="宋体"/>
          <w:color w:val="auto"/>
          <w:sz w:val="21"/>
          <w:szCs w:val="21"/>
        </w:rPr>
        <w:t>定期对车辆进行检测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保洁、维修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及时撤回不符合国家标准、行业标准和影响人体健康、人身财产安全的车辆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val="en-US" w:eastAsia="zh-CN"/>
        </w:rPr>
        <w:t>并向市交通运输监督管理部门提供运营维护人员名单信息。</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lang w:val="en-US" w:eastAsia="zh-CN"/>
        </w:rPr>
        <w:t>3、配备</w:t>
      </w:r>
      <w:r>
        <w:rPr>
          <w:rFonts w:hint="eastAsia" w:ascii="宋体" w:hAnsi="宋体" w:eastAsia="宋体" w:cs="宋体"/>
          <w:color w:val="auto"/>
          <w:sz w:val="21"/>
          <w:szCs w:val="21"/>
        </w:rPr>
        <w:t>合理数量的调度清运货车。</w:t>
      </w:r>
      <w:r>
        <w:rPr>
          <w:rFonts w:hint="eastAsia" w:ascii="宋体" w:hAnsi="宋体" w:eastAsia="宋体" w:cs="宋体"/>
          <w:color w:val="auto"/>
          <w:sz w:val="21"/>
          <w:szCs w:val="21"/>
          <w:highlight w:val="none"/>
          <w:lang w:val="en-US" w:eastAsia="zh-CN"/>
        </w:rPr>
        <w:t>调度车辆车身要统一涂装“共享电动单车运维调度”标识、服务热线等，便于识别。</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 xml:space="preserve">   4、</w:t>
      </w:r>
      <w:r>
        <w:rPr>
          <w:rFonts w:hint="eastAsia" w:ascii="宋体" w:hAnsi="宋体" w:eastAsia="宋体" w:cs="宋体"/>
          <w:color w:val="auto"/>
          <w:sz w:val="21"/>
          <w:szCs w:val="21"/>
        </w:rPr>
        <w:t>企业应当做好</w:t>
      </w:r>
      <w:r>
        <w:rPr>
          <w:rFonts w:hint="eastAsia" w:ascii="宋体" w:hAnsi="宋体" w:eastAsia="宋体" w:cs="宋体"/>
          <w:color w:val="auto"/>
          <w:sz w:val="21"/>
          <w:szCs w:val="21"/>
          <w:lang w:eastAsia="zh-CN"/>
        </w:rPr>
        <w:t>共享电动单车</w:t>
      </w:r>
      <w:r>
        <w:rPr>
          <w:rFonts w:hint="eastAsia" w:ascii="宋体" w:hAnsi="宋体" w:eastAsia="宋体" w:cs="宋体"/>
          <w:color w:val="auto"/>
          <w:sz w:val="21"/>
          <w:szCs w:val="21"/>
        </w:rPr>
        <w:t>调度和停放秩序管理工作，对乱停放情况实施实时监控并及时清理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val="en-US" w:eastAsia="zh-CN"/>
        </w:rPr>
        <w:t>对大面积堆压的共享电动单车，30分钟内必须清理完毕，节假日、重大节庆活动等，运营企业必须建立应急预案机制，确保街面秩序整洁。</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highlight w:val="none"/>
          <w:lang w:val="en-US" w:eastAsia="zh-CN"/>
        </w:rPr>
        <w:t>(七)企业服务要求</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rPr>
        <w:t>企业应当对用户利用网络进行实名制注册登记并签订服务协议，明确双方权利义务，指导、督促用户履行安全文明骑行、规范车辆停放等义务，建立健全注册用户使用车辆信用积分制度，将多次违规违约的用户列入黑名单，并限制其使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2、</w:t>
      </w:r>
      <w:r>
        <w:rPr>
          <w:rFonts w:hint="eastAsia" w:ascii="宋体" w:hAnsi="宋体" w:eastAsia="宋体" w:cs="宋体"/>
          <w:color w:val="auto"/>
          <w:sz w:val="21"/>
          <w:szCs w:val="21"/>
        </w:rPr>
        <w:t>企业应当公布符合国家有关规定的计费方式和收费标准，在经营活动中不得实施不正当竞争行为，不得侵害用户合法权益和社会公共利益，做到守法经营、公平竞争。</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3、运营企业应当为用户购买非机动车第三者责任险和人身意外伤害保险，并公示用户使用中发生伤害事故的责任认定程序、理赔程序、赔偿范围，用户骑行发生伤害事故时，</w:t>
      </w:r>
      <w:r>
        <w:rPr>
          <w:rFonts w:hint="eastAsia" w:ascii="宋体" w:hAnsi="宋体" w:eastAsia="宋体" w:cs="宋体"/>
          <w:color w:val="auto"/>
          <w:sz w:val="21"/>
          <w:szCs w:val="21"/>
          <w:lang w:val="en-US" w:eastAsia="zh-CN"/>
        </w:rPr>
        <w:t>企业积极协助进行办理。</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4、鼓励运营企业实行免押金方式提供租赁服务。收取注册用户押金的运营企业，应当建立退还制度和退还流程，实行“即租即押、即还即退”。</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rPr>
        <w:t>企业应当公布服务质量承诺，公开服务监督电话，建立用户及群众投诉处理制度，</w:t>
      </w:r>
      <w:r>
        <w:rPr>
          <w:rFonts w:hint="eastAsia" w:ascii="宋体" w:hAnsi="宋体" w:eastAsia="宋体" w:cs="宋体"/>
          <w:color w:val="auto"/>
          <w:sz w:val="21"/>
          <w:szCs w:val="21"/>
          <w:highlight w:val="none"/>
          <w:lang w:val="en-US" w:eastAsia="zh-CN"/>
        </w:rPr>
        <w:t>服务热线应当保证24小时开通，安排专人值班，及时受理群众投诉、建议、报障或举报;对用户的投诉、咨询信息应当在48小时内有处理结果，用户的建议应当在3个工作日内向当事人反馈，处理记录应归档备查。</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rPr>
        <w:t>企业采集信息不得侵害用户合法权益和社会公共利益，不得超越提供</w:t>
      </w:r>
      <w:r>
        <w:rPr>
          <w:rFonts w:hint="eastAsia" w:ascii="宋体" w:hAnsi="宋体" w:eastAsia="宋体" w:cs="宋体"/>
          <w:color w:val="auto"/>
          <w:sz w:val="21"/>
          <w:szCs w:val="21"/>
          <w:lang w:eastAsia="zh-CN"/>
        </w:rPr>
        <w:t>共享电动单车</w:t>
      </w:r>
      <w:r>
        <w:rPr>
          <w:rFonts w:hint="eastAsia" w:ascii="宋体" w:hAnsi="宋体" w:eastAsia="宋体" w:cs="宋体"/>
          <w:color w:val="auto"/>
          <w:sz w:val="21"/>
          <w:szCs w:val="21"/>
        </w:rPr>
        <w:t>服务所必需的范围；在境内运营中采集的信息和生成的相关数据应当在中国大陆境内存储，并保证该信息安全和保密。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7、</w:t>
      </w:r>
      <w:r>
        <w:rPr>
          <w:rFonts w:hint="eastAsia" w:ascii="宋体" w:hAnsi="宋体" w:eastAsia="宋体" w:cs="宋体"/>
          <w:color w:val="auto"/>
          <w:sz w:val="21"/>
          <w:szCs w:val="21"/>
        </w:rPr>
        <w:t>企业</w:t>
      </w:r>
      <w:r>
        <w:rPr>
          <w:rFonts w:hint="eastAsia" w:ascii="宋体" w:hAnsi="宋体" w:eastAsia="宋体" w:cs="宋体"/>
          <w:color w:val="auto"/>
          <w:sz w:val="21"/>
          <w:szCs w:val="21"/>
          <w:lang w:val="en-US" w:eastAsia="zh-CN"/>
        </w:rPr>
        <w:t>因考核不及格被清退或因其他原因</w:t>
      </w:r>
      <w:r>
        <w:rPr>
          <w:rFonts w:hint="eastAsia" w:ascii="宋体" w:hAnsi="宋体" w:eastAsia="宋体" w:cs="宋体"/>
          <w:color w:val="auto"/>
          <w:sz w:val="21"/>
          <w:szCs w:val="21"/>
        </w:rPr>
        <w:t>需终止在本</w:t>
      </w:r>
      <w:r>
        <w:rPr>
          <w:rFonts w:hint="eastAsia" w:ascii="宋体" w:hAnsi="宋体" w:eastAsia="宋体" w:cs="宋体"/>
          <w:color w:val="auto"/>
          <w:sz w:val="21"/>
          <w:szCs w:val="21"/>
          <w:lang w:val="en-US" w:eastAsia="zh-CN"/>
        </w:rPr>
        <w:t>辖</w:t>
      </w:r>
      <w:r>
        <w:rPr>
          <w:rFonts w:hint="eastAsia" w:ascii="宋体" w:hAnsi="宋体" w:eastAsia="宋体" w:cs="宋体"/>
          <w:color w:val="auto"/>
          <w:sz w:val="21"/>
          <w:szCs w:val="21"/>
        </w:rPr>
        <w:t>区</w:t>
      </w:r>
      <w:r>
        <w:rPr>
          <w:rFonts w:hint="eastAsia" w:ascii="宋体" w:hAnsi="宋体" w:eastAsia="宋体" w:cs="宋体"/>
          <w:color w:val="auto"/>
          <w:sz w:val="21"/>
          <w:szCs w:val="21"/>
          <w:lang w:eastAsia="zh-CN"/>
        </w:rPr>
        <w:t>共享电动单车</w:t>
      </w:r>
      <w:r>
        <w:rPr>
          <w:rFonts w:hint="eastAsia" w:ascii="宋体" w:hAnsi="宋体" w:eastAsia="宋体" w:cs="宋体"/>
          <w:color w:val="auto"/>
          <w:sz w:val="21"/>
          <w:szCs w:val="21"/>
        </w:rPr>
        <w:t>经营服务的，应提前30日向</w:t>
      </w:r>
      <w:r>
        <w:rPr>
          <w:rFonts w:hint="eastAsia" w:ascii="宋体" w:hAnsi="宋体" w:eastAsia="宋体" w:cs="宋体"/>
          <w:color w:val="auto"/>
          <w:sz w:val="21"/>
          <w:szCs w:val="21"/>
          <w:lang w:val="en-US" w:eastAsia="zh-CN"/>
        </w:rPr>
        <w:t>城管执法部门</w:t>
      </w:r>
      <w:r>
        <w:rPr>
          <w:rFonts w:hint="eastAsia" w:ascii="宋体" w:hAnsi="宋体" w:eastAsia="宋体" w:cs="宋体"/>
          <w:color w:val="auto"/>
          <w:sz w:val="21"/>
          <w:szCs w:val="21"/>
        </w:rPr>
        <w:t>提出书面报告并向社会公告，并依法依规退还预付金、押金等有关款项，完成所有投放车辆的回收等工作。</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企业应当自觉遵守相关的法律法规规定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禁止把车辆份额分包给其他企业</w:t>
      </w:r>
      <w:r>
        <w:rPr>
          <w:rFonts w:hint="eastAsia" w:ascii="宋体" w:hAnsi="宋体" w:eastAsia="宋体" w:cs="宋体"/>
          <w:color w:val="auto"/>
          <w:sz w:val="21"/>
          <w:szCs w:val="21"/>
        </w:rPr>
        <w:t>。</w:t>
      </w: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color w:val="auto"/>
          <w:sz w:val="21"/>
          <w:szCs w:val="21"/>
        </w:rPr>
      </w:pPr>
      <w:r>
        <w:rPr>
          <w:rFonts w:hint="eastAsia" w:ascii="宋体" w:hAnsi="宋体" w:cs="宋体"/>
          <w:color w:val="auto"/>
          <w:sz w:val="21"/>
          <w:szCs w:val="21"/>
          <w:lang w:val="en-US" w:eastAsia="zh-CN"/>
        </w:rPr>
        <w:t>投放配额要求</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20" w:firstLineChars="200"/>
        <w:jc w:val="left"/>
        <w:textAlignment w:val="auto"/>
        <w:rPr>
          <w:rFonts w:hint="default" w:eastAsia="宋体"/>
          <w:color w:val="auto"/>
          <w:lang w:val="en-US" w:eastAsia="zh-CN"/>
        </w:rPr>
      </w:pPr>
      <w:r>
        <w:rPr>
          <w:rFonts w:hint="eastAsia" w:ascii="宋体" w:hAnsi="宋体" w:eastAsia="宋体" w:cs="宋体"/>
          <w:bCs/>
          <w:color w:val="auto"/>
          <w:sz w:val="21"/>
          <w:szCs w:val="21"/>
          <w:highlight w:val="none"/>
          <w:lang w:val="en-US" w:eastAsia="zh-CN"/>
        </w:rPr>
        <w:t>通过公开选取2家中标供应商</w:t>
      </w:r>
      <w:r>
        <w:rPr>
          <w:rFonts w:hint="eastAsia" w:ascii="宋体" w:hAnsi="宋体" w:eastAsia="宋体" w:cs="宋体"/>
          <w:color w:val="auto"/>
          <w:sz w:val="21"/>
          <w:szCs w:val="21"/>
          <w:lang w:val="en-US" w:eastAsia="zh-CN"/>
        </w:rPr>
        <w:t>，投放</w:t>
      </w:r>
      <w:r>
        <w:rPr>
          <w:rFonts w:hint="eastAsia" w:ascii="宋体" w:hAnsi="宋体" w:cs="宋体"/>
          <w:color w:val="auto"/>
          <w:sz w:val="21"/>
          <w:szCs w:val="21"/>
          <w:lang w:val="en-US" w:eastAsia="zh-CN"/>
        </w:rPr>
        <w:t>共享电动单车</w:t>
      </w:r>
      <w:r>
        <w:rPr>
          <w:rFonts w:hint="eastAsia" w:ascii="宋体" w:hAnsi="宋体" w:eastAsia="宋体" w:cs="宋体"/>
          <w:color w:val="auto"/>
          <w:sz w:val="21"/>
          <w:szCs w:val="21"/>
          <w:lang w:val="en-US" w:eastAsia="zh-CN"/>
        </w:rPr>
        <w:t>运营配额共</w:t>
      </w:r>
      <w:r>
        <w:rPr>
          <w:rFonts w:hint="eastAsia" w:ascii="宋体" w:hAnsi="宋体" w:cs="宋体"/>
          <w:color w:val="auto"/>
          <w:sz w:val="21"/>
          <w:szCs w:val="21"/>
          <w:lang w:val="en-US" w:eastAsia="zh-CN"/>
        </w:rPr>
        <w:t>3200</w:t>
      </w:r>
      <w:r>
        <w:rPr>
          <w:rFonts w:hint="eastAsia" w:ascii="宋体" w:hAnsi="宋体" w:eastAsia="宋体" w:cs="宋体"/>
          <w:color w:val="auto"/>
          <w:sz w:val="21"/>
          <w:szCs w:val="21"/>
          <w:lang w:val="en-US" w:eastAsia="zh-CN"/>
        </w:rPr>
        <w:t>辆，每家配额互联网租赁电动单车1600辆；直接委托选定1家，投放</w:t>
      </w:r>
      <w:r>
        <w:rPr>
          <w:rFonts w:hint="eastAsia" w:ascii="宋体" w:hAnsi="宋体" w:cs="宋体"/>
          <w:color w:val="auto"/>
          <w:sz w:val="21"/>
          <w:szCs w:val="21"/>
          <w:lang w:val="en-US" w:eastAsia="zh-CN"/>
        </w:rPr>
        <w:t>共享电动单车</w:t>
      </w:r>
      <w:r>
        <w:rPr>
          <w:rFonts w:hint="eastAsia" w:ascii="宋体" w:hAnsi="宋体" w:eastAsia="宋体" w:cs="宋体"/>
          <w:color w:val="auto"/>
          <w:sz w:val="21"/>
          <w:szCs w:val="21"/>
          <w:lang w:val="en-US" w:eastAsia="zh-CN"/>
        </w:rPr>
        <w:t>运营配额电动单车1800辆。</w:t>
      </w: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color w:val="auto"/>
          <w:sz w:val="21"/>
          <w:szCs w:val="21"/>
        </w:rPr>
      </w:pPr>
      <w:r>
        <w:rPr>
          <w:rFonts w:hint="eastAsia" w:ascii="宋体" w:hAnsi="宋体" w:eastAsia="宋体" w:cs="宋体"/>
          <w:color w:val="auto"/>
          <w:sz w:val="21"/>
          <w:szCs w:val="21"/>
        </w:rPr>
        <w:t>履约保证金：</w:t>
      </w:r>
    </w:p>
    <w:p>
      <w:pPr>
        <w:pageBreakBefore w:val="0"/>
        <w:numPr>
          <w:ilvl w:val="0"/>
          <w:numId w:val="6"/>
        </w:numPr>
        <w:kinsoku/>
        <w:wordWrap/>
        <w:topLinePunct w:val="0"/>
        <w:bidi w:val="0"/>
        <w:snapToGrid/>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sz w:val="21"/>
          <w:szCs w:val="21"/>
        </w:rPr>
        <w:t>履约保证金的金额：</w:t>
      </w:r>
      <w:r>
        <w:rPr>
          <w:rFonts w:hint="eastAsia" w:ascii="宋体" w:hAnsi="宋体" w:eastAsia="宋体" w:cs="宋体"/>
          <w:color w:val="auto"/>
          <w:sz w:val="21"/>
          <w:szCs w:val="21"/>
          <w:lang w:val="en-US" w:eastAsia="zh-CN"/>
        </w:rPr>
        <w:t>每家中标运营商</w:t>
      </w:r>
      <w:r>
        <w:rPr>
          <w:rFonts w:hint="eastAsia" w:ascii="宋体" w:hAnsi="宋体" w:eastAsia="宋体" w:cs="宋体"/>
          <w:color w:val="auto"/>
          <w:sz w:val="21"/>
          <w:szCs w:val="21"/>
          <w:u w:val="single"/>
          <w:lang w:val="en-US" w:eastAsia="zh-CN"/>
        </w:rPr>
        <w:t>贰拾伍万元整</w:t>
      </w:r>
      <w:r>
        <w:rPr>
          <w:rFonts w:hint="eastAsia" w:ascii="宋体" w:hAnsi="宋体" w:eastAsia="宋体" w:cs="宋体"/>
          <w:color w:val="auto"/>
          <w:sz w:val="21"/>
          <w:szCs w:val="21"/>
        </w:rPr>
        <w:t>。</w:t>
      </w:r>
    </w:p>
    <w:p>
      <w:pPr>
        <w:pageBreakBefore w:val="0"/>
        <w:numPr>
          <w:ilvl w:val="0"/>
          <w:numId w:val="6"/>
        </w:numPr>
        <w:kinsoku/>
        <w:wordWrap/>
        <w:topLinePunct w:val="0"/>
        <w:bidi w:val="0"/>
        <w:snapToGrid/>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缴纳履约保证金的时间：合同签订前；</w:t>
      </w:r>
    </w:p>
    <w:p>
      <w:pPr>
        <w:pageBreakBefore w:val="0"/>
        <w:numPr>
          <w:ilvl w:val="0"/>
          <w:numId w:val="6"/>
        </w:numPr>
        <w:kinsoku/>
        <w:wordWrap/>
        <w:topLinePunct w:val="0"/>
        <w:bidi w:val="0"/>
        <w:snapToGrid/>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 xml:space="preserve">履约保证金的形式：采用银行转账或银行保函或保险机构保险保函的形式。 </w:t>
      </w:r>
    </w:p>
    <w:p>
      <w:pPr>
        <w:pageBreakBefore w:val="0"/>
        <w:numPr>
          <w:ilvl w:val="0"/>
          <w:numId w:val="7"/>
        </w:numPr>
        <w:kinsoku/>
        <w:wordWrap/>
        <w:topLinePunct w:val="0"/>
        <w:bidi w:val="0"/>
        <w:snapToGrid/>
        <w:spacing w:line="360" w:lineRule="auto"/>
        <w:ind w:leftChars="0"/>
        <w:rPr>
          <w:rFonts w:hint="eastAsia" w:ascii="宋体" w:hAnsi="宋体" w:eastAsia="宋体" w:cs="宋体"/>
          <w:color w:val="auto"/>
        </w:rPr>
      </w:pPr>
      <w:r>
        <w:rPr>
          <w:rFonts w:hint="eastAsia" w:ascii="宋体" w:hAnsi="宋体" w:eastAsia="宋体" w:cs="宋体"/>
          <w:color w:val="auto"/>
        </w:rPr>
        <w:t xml:space="preserve">若采用银行转账方式的，中标人将履约保证金转至采购人指定账户。 </w:t>
      </w:r>
    </w:p>
    <w:p>
      <w:pPr>
        <w:pageBreakBefore w:val="0"/>
        <w:numPr>
          <w:ilvl w:val="0"/>
          <w:numId w:val="7"/>
        </w:numPr>
        <w:kinsoku/>
        <w:wordWrap/>
        <w:topLinePunct w:val="0"/>
        <w:bidi w:val="0"/>
        <w:snapToGrid/>
        <w:spacing w:line="360" w:lineRule="auto"/>
        <w:ind w:leftChars="0"/>
        <w:rPr>
          <w:rFonts w:hint="eastAsia" w:ascii="宋体" w:hAnsi="宋体" w:eastAsia="宋体" w:cs="宋体"/>
          <w:color w:val="auto"/>
        </w:rPr>
      </w:pPr>
      <w:r>
        <w:rPr>
          <w:rFonts w:hint="eastAsia" w:ascii="宋体" w:hAnsi="宋体" w:eastAsia="宋体" w:cs="宋体"/>
          <w:color w:val="auto"/>
        </w:rPr>
        <w:t xml:space="preserve">若采用银行保函或保险机构保险保函形式的，中标人出具的保函需符合采购人的要求。 </w:t>
      </w:r>
    </w:p>
    <w:p>
      <w:pPr>
        <w:pageBreakBefore w:val="0"/>
        <w:numPr>
          <w:ilvl w:val="0"/>
          <w:numId w:val="6"/>
        </w:numPr>
        <w:kinsoku/>
        <w:wordWrap/>
        <w:topLinePunct w:val="0"/>
        <w:bidi w:val="0"/>
        <w:snapToGrid/>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履约保证金的期限：是从提供履约保证金之日起至本项目合同期届满之日止。</w:t>
      </w:r>
    </w:p>
    <w:p>
      <w:pPr>
        <w:pageBreakBefore w:val="0"/>
        <w:numPr>
          <w:ilvl w:val="0"/>
          <w:numId w:val="6"/>
        </w:numPr>
        <w:kinsoku/>
        <w:wordWrap/>
        <w:topLinePunct w:val="0"/>
        <w:bidi w:val="0"/>
        <w:snapToGrid/>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在合同期内，中标人能全面履行合同条款无任何违规违约行为时，则期限届满后履约保证金全额无息退回；如果有违规违约行为或其他导致采购人经济损失的行为，履约保证金将用以扣减相应的违约金及采购人经济损失，如期限未届满，中标人应在扣减之后的 20工作日内及时补足，期限届满的则在扣减后无息退回；履约保证金不足以弥补损失的，中标人须补足损失金额。</w:t>
      </w: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实质性条款</w:t>
      </w:r>
    </w:p>
    <w:p>
      <w:pPr>
        <w:pageBreakBefore w:val="0"/>
        <w:kinsoku/>
        <w:wordWrap/>
        <w:topLinePunct w:val="0"/>
        <w:bidi w:val="0"/>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条款说明：</w:t>
      </w:r>
      <w:r>
        <w:rPr>
          <w:rFonts w:hint="eastAsia" w:ascii="宋体" w:hAnsi="宋体" w:eastAsia="宋体" w:cs="宋体"/>
          <w:color w:val="auto"/>
          <w:sz w:val="21"/>
          <w:szCs w:val="21"/>
        </w:rPr>
        <w:t>采购需求中标注“★”号条款为实质性条款，必须逐条进行响应，有任何一条负偏离的，将导致无效响应。</w:t>
      </w:r>
    </w:p>
    <w:p>
      <w:pPr>
        <w:pageBreakBefore w:val="0"/>
        <w:kinsoku/>
        <w:wordWrap/>
        <w:topLinePunct w:val="0"/>
        <w:bidi w:val="0"/>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rPr>
        <w:t>）在国家企业信用信息公示系统中未被列入严重违法失信企业名单。注册地非阳江地区的，须在投放车辆开展运营前在海陵区设立子公司。</w:t>
      </w:r>
    </w:p>
    <w:p>
      <w:pPr>
        <w:pageBreakBefore w:val="0"/>
        <w:kinsoku/>
        <w:wordWrap/>
        <w:topLinePunct w:val="0"/>
        <w:bidi w:val="0"/>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★（二）优先选择通过信用管理和技术创新推行免押金的企业；如企业对用户收取押金的，实施专款专用，建立完善用户押金退还制度，接受本地金融监管机构的监管并提供相关证明。</w:t>
      </w:r>
    </w:p>
    <w:p>
      <w:pPr>
        <w:pageBreakBefore w:val="0"/>
        <w:numPr>
          <w:ilvl w:val="0"/>
          <w:numId w:val="0"/>
        </w:numPr>
        <w:kinsoku/>
        <w:wordWrap/>
        <w:topLinePunct w:val="0"/>
        <w:bidi w:val="0"/>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★（三）具备相应的线下管理能力，组建专业运营维护团队，配置专门的调度车辆以及充电停放仓库和维修点。</w:t>
      </w:r>
    </w:p>
    <w:p>
      <w:pPr>
        <w:pageBreakBefore w:val="0"/>
        <w:numPr>
          <w:ilvl w:val="0"/>
          <w:numId w:val="0"/>
        </w:numPr>
        <w:kinsoku/>
        <w:wordWrap/>
        <w:topLinePunct w:val="0"/>
        <w:bidi w:val="0"/>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★（四）具备相应的技术手段或设施，设置精准停放区域，实行定点停放，并可实现针对某一个停车区域进行停车数量上限控制，根据要求设置停放电子围栏。</w:t>
      </w:r>
    </w:p>
    <w:p>
      <w:pPr>
        <w:pageBreakBefore w:val="0"/>
        <w:numPr>
          <w:ilvl w:val="0"/>
          <w:numId w:val="0"/>
        </w:numPr>
        <w:kinsoku/>
        <w:wordWrap/>
        <w:topLinePunct w:val="0"/>
        <w:bidi w:val="0"/>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★（五）有满足业务需求的信息管理系统，并将车辆、订单、定位等数据直接接入指定的行业监管平台。</w:t>
      </w:r>
    </w:p>
    <w:p>
      <w:pPr>
        <w:pageBreakBefore w:val="0"/>
        <w:numPr>
          <w:ilvl w:val="0"/>
          <w:numId w:val="0"/>
        </w:numPr>
        <w:kinsoku/>
        <w:wordWrap/>
        <w:topLinePunct w:val="0"/>
        <w:bidi w:val="0"/>
        <w:snapToGrid/>
        <w:spacing w:line="360" w:lineRule="auto"/>
        <w:rPr>
          <w:rFonts w:hint="eastAsia" w:ascii="宋体" w:hAnsi="宋体" w:eastAsia="宋体" w:cs="宋体"/>
          <w:color w:val="auto"/>
          <w:lang w:eastAsia="zh-CN"/>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六</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中标后</w:t>
      </w:r>
      <w:r>
        <w:rPr>
          <w:rFonts w:hint="eastAsia" w:ascii="宋体" w:hAnsi="宋体" w:eastAsia="宋体" w:cs="宋体"/>
          <w:color w:val="auto"/>
          <w:sz w:val="21"/>
          <w:szCs w:val="21"/>
        </w:rPr>
        <w:t>运营企业</w:t>
      </w:r>
      <w:r>
        <w:rPr>
          <w:rFonts w:hint="eastAsia" w:ascii="宋体" w:hAnsi="宋体" w:eastAsia="宋体" w:cs="宋体"/>
          <w:color w:val="auto"/>
        </w:rPr>
        <w:t>必须提供6款不同车型样式，由采购人选定型号和确定数量方可投放使用</w:t>
      </w:r>
      <w:r>
        <w:rPr>
          <w:rFonts w:hint="eastAsia" w:ascii="宋体" w:hAnsi="宋体" w:eastAsia="宋体" w:cs="宋体"/>
          <w:color w:val="auto"/>
          <w:lang w:eastAsia="zh-CN"/>
        </w:rPr>
        <w:t>。</w:t>
      </w: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项目投资规模及</w:t>
      </w:r>
      <w:r>
        <w:rPr>
          <w:rFonts w:hint="eastAsia" w:ascii="宋体" w:hAnsi="宋体" w:eastAsia="宋体" w:cs="宋体"/>
          <w:b w:val="0"/>
          <w:bCs w:val="0"/>
          <w:color w:val="auto"/>
          <w:sz w:val="21"/>
          <w:szCs w:val="21"/>
          <w:lang w:val="en-US" w:eastAsia="zh-CN"/>
        </w:rPr>
        <w:t>服务</w:t>
      </w:r>
      <w:r>
        <w:rPr>
          <w:rFonts w:hint="eastAsia" w:ascii="宋体" w:hAnsi="宋体" w:eastAsia="宋体" w:cs="宋体"/>
          <w:b w:val="0"/>
          <w:bCs w:val="0"/>
          <w:color w:val="auto"/>
          <w:sz w:val="21"/>
          <w:szCs w:val="21"/>
        </w:rPr>
        <w:t>期限</w:t>
      </w:r>
    </w:p>
    <w:p>
      <w:pPr>
        <w:pStyle w:val="22"/>
        <w:pageBreakBefore w:val="0"/>
        <w:numPr>
          <w:ilvl w:val="0"/>
          <w:numId w:val="8"/>
        </w:numPr>
        <w:kinsoku/>
        <w:wordWrap/>
        <w:topLinePunct w:val="0"/>
        <w:bidi w:val="0"/>
        <w:snapToGrid/>
        <w:spacing w:line="36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项目建设</w:t>
      </w:r>
      <w:r>
        <w:rPr>
          <w:rFonts w:hint="eastAsia" w:ascii="宋体" w:hAnsi="宋体" w:eastAsia="宋体" w:cs="宋体"/>
          <w:b w:val="0"/>
          <w:bCs w:val="0"/>
          <w:color w:val="auto"/>
          <w:sz w:val="21"/>
          <w:szCs w:val="21"/>
          <w:lang w:val="en-US" w:eastAsia="zh-CN"/>
        </w:rPr>
        <w:t>资金</w:t>
      </w:r>
      <w:r>
        <w:rPr>
          <w:rFonts w:hint="eastAsia" w:ascii="宋体" w:hAnsi="宋体" w:eastAsia="宋体" w:cs="宋体"/>
          <w:b w:val="0"/>
          <w:bCs w:val="0"/>
          <w:color w:val="auto"/>
          <w:sz w:val="21"/>
          <w:szCs w:val="21"/>
          <w:lang w:eastAsia="zh-CN"/>
        </w:rPr>
        <w:t>全部由</w:t>
      </w:r>
      <w:r>
        <w:rPr>
          <w:rFonts w:hint="eastAsia" w:ascii="宋体" w:hAnsi="宋体" w:eastAsia="宋体" w:cs="宋体"/>
          <w:b w:val="0"/>
          <w:bCs w:val="0"/>
          <w:color w:val="auto"/>
          <w:sz w:val="21"/>
          <w:szCs w:val="21"/>
          <w:lang w:val="en-US" w:eastAsia="zh-CN"/>
        </w:rPr>
        <w:t>3家</w:t>
      </w:r>
      <w:r>
        <w:rPr>
          <w:rFonts w:hint="eastAsia" w:ascii="宋体" w:hAnsi="宋体" w:cs="宋体"/>
          <w:b w:val="0"/>
          <w:bCs w:val="0"/>
          <w:color w:val="auto"/>
          <w:sz w:val="21"/>
          <w:szCs w:val="21"/>
          <w:lang w:val="en-US" w:eastAsia="zh-CN"/>
        </w:rPr>
        <w:t>运营商</w:t>
      </w:r>
      <w:r>
        <w:rPr>
          <w:rFonts w:hint="eastAsia" w:ascii="宋体" w:hAnsi="宋体" w:eastAsia="宋体" w:cs="宋体"/>
          <w:b w:val="0"/>
          <w:bCs w:val="0"/>
          <w:color w:val="auto"/>
          <w:sz w:val="21"/>
          <w:szCs w:val="21"/>
          <w:lang w:eastAsia="zh-CN"/>
        </w:rPr>
        <w:t>负责解决</w:t>
      </w:r>
      <w:r>
        <w:rPr>
          <w:rFonts w:hint="eastAsia" w:ascii="宋体" w:hAnsi="宋体" w:eastAsia="宋体" w:cs="宋体"/>
          <w:b w:val="0"/>
          <w:bCs w:val="0"/>
          <w:color w:val="auto"/>
          <w:sz w:val="21"/>
          <w:szCs w:val="21"/>
        </w:rPr>
        <w:t>。</w:t>
      </w:r>
    </w:p>
    <w:p>
      <w:pPr>
        <w:pStyle w:val="22"/>
        <w:pageBreakBefore w:val="0"/>
        <w:numPr>
          <w:ilvl w:val="0"/>
          <w:numId w:val="8"/>
        </w:numPr>
        <w:kinsoku/>
        <w:wordWrap/>
        <w:topLinePunct w:val="0"/>
        <w:bidi w:val="0"/>
        <w:snapToGrid/>
        <w:spacing w:line="36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color w:val="auto"/>
          <w:sz w:val="21"/>
          <w:szCs w:val="21"/>
          <w:highlight w:val="none"/>
          <w:lang w:val="en-US" w:eastAsia="zh-CN"/>
        </w:rPr>
        <w:t>签订投放管理协议生效之日起满三年。</w:t>
      </w:r>
      <w:r>
        <w:rPr>
          <w:rFonts w:hint="eastAsia" w:ascii="宋体" w:hAnsi="宋体" w:cs="宋体"/>
          <w:b w:val="0"/>
          <w:bCs w:val="0"/>
          <w:color w:val="auto"/>
          <w:sz w:val="21"/>
          <w:szCs w:val="21"/>
          <w:lang w:val="en-US" w:eastAsia="zh-CN"/>
        </w:rPr>
        <w:t>运营商</w:t>
      </w:r>
      <w:r>
        <w:rPr>
          <w:rFonts w:hint="eastAsia" w:ascii="宋体" w:hAnsi="宋体" w:eastAsia="宋体" w:cs="宋体"/>
          <w:color w:val="auto"/>
          <w:sz w:val="21"/>
          <w:szCs w:val="21"/>
          <w:highlight w:val="none"/>
          <w:lang w:val="en-US" w:eastAsia="zh-CN"/>
        </w:rPr>
        <w:t>运营期间接受</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en-US" w:eastAsia="zh-CN"/>
        </w:rPr>
        <w:t>管理考核，考核合格的可再续期一年，最长可续期两年</w:t>
      </w:r>
      <w:r>
        <w:rPr>
          <w:rFonts w:hint="eastAsia" w:ascii="宋体" w:hAnsi="宋体" w:eastAsia="宋体" w:cs="宋体"/>
          <w:b w:val="0"/>
          <w:bCs w:val="0"/>
          <w:color w:val="auto"/>
          <w:sz w:val="21"/>
          <w:szCs w:val="21"/>
        </w:rPr>
        <w:t xml:space="preserve">。  </w:t>
      </w:r>
    </w:p>
    <w:p>
      <w:pPr>
        <w:pageBreakBefore w:val="0"/>
        <w:numPr>
          <w:ilvl w:val="0"/>
          <w:numId w:val="5"/>
        </w:numPr>
        <w:kinsoku/>
        <w:wordWrap/>
        <w:topLinePunct w:val="0"/>
        <w:bidi w:val="0"/>
        <w:snapToGrid/>
        <w:spacing w:line="360" w:lineRule="auto"/>
        <w:ind w:left="0" w:leftChars="0" w:firstLine="420" w:firstLineChars="0"/>
        <w:outlineLvl w:val="1"/>
        <w:rPr>
          <w:rFonts w:hint="eastAsia" w:ascii="宋体" w:hAnsi="宋体" w:eastAsia="宋体" w:cs="宋体"/>
          <w:color w:val="auto"/>
          <w:sz w:val="21"/>
          <w:szCs w:val="21"/>
        </w:rPr>
      </w:pPr>
      <w:r>
        <w:rPr>
          <w:rFonts w:hint="eastAsia" w:ascii="宋体" w:hAnsi="宋体" w:cs="宋体"/>
          <w:color w:val="auto"/>
          <w:sz w:val="21"/>
          <w:szCs w:val="21"/>
          <w:lang w:val="en-US" w:eastAsia="zh-CN"/>
        </w:rPr>
        <w:t>收费标准分析</w:t>
      </w:r>
    </w:p>
    <w:p>
      <w:pPr>
        <w:pStyle w:val="2"/>
        <w:ind w:left="0" w:leftChars="0" w:firstLine="420" w:firstLineChars="200"/>
        <w:rPr>
          <w:rFonts w:hint="default"/>
          <w:lang w:val="en-US"/>
        </w:rPr>
      </w:pPr>
      <w:r>
        <w:rPr>
          <w:rFonts w:hint="eastAsia" w:ascii="宋体" w:hAnsi="宋体" w:cs="宋体"/>
          <w:color w:val="auto"/>
          <w:sz w:val="21"/>
          <w:szCs w:val="21"/>
          <w:lang w:val="en-US" w:eastAsia="zh-CN"/>
        </w:rPr>
        <w:t>1.市场调查</w:t>
      </w:r>
    </w:p>
    <w:tbl>
      <w:tblPr>
        <w:tblStyle w:val="19"/>
        <w:tblW w:w="90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6"/>
        <w:gridCol w:w="1092"/>
        <w:gridCol w:w="1356"/>
        <w:gridCol w:w="1416"/>
        <w:gridCol w:w="1368"/>
        <w:gridCol w:w="1272"/>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90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共享电动车收费标准分析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调查对象</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调查对象1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调查对象2</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调查对象3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调查对象4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调查对象</w:t>
            </w:r>
            <w:r>
              <w:rPr>
                <w:rFonts w:hint="eastAsia" w:ascii="宋体" w:hAnsi="宋体" w:cs="宋体"/>
                <w:i w:val="0"/>
                <w:iCs w:val="0"/>
                <w:color w:val="auto"/>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城市规模</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广东省</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某</w:t>
            </w:r>
            <w:r>
              <w:rPr>
                <w:rFonts w:hint="eastAsia" w:ascii="宋体" w:hAnsi="宋体" w:cs="宋体"/>
                <w:i w:val="0"/>
                <w:iCs w:val="0"/>
                <w:color w:val="auto"/>
                <w:kern w:val="0"/>
                <w:sz w:val="21"/>
                <w:szCs w:val="21"/>
                <w:u w:val="none"/>
                <w:lang w:val="en-US" w:eastAsia="zh-CN" w:bidi="ar"/>
              </w:rPr>
              <w:t>市</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广东省</w:t>
            </w:r>
          </w:p>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某县</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广东省</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某风景区</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阳江市</w:t>
            </w:r>
          </w:p>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江城区</w:t>
            </w:r>
            <w:r>
              <w:rPr>
                <w:rFonts w:hint="eastAsia" w:ascii="宋体" w:hAnsi="宋体" w:cs="宋体"/>
                <w:i w:val="0"/>
                <w:iCs w:val="0"/>
                <w:color w:val="auto"/>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阳江市</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江城区</w:t>
            </w:r>
            <w:r>
              <w:rPr>
                <w:rFonts w:hint="eastAsia" w:ascii="宋体" w:hAnsi="宋体" w:cs="宋体"/>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骑行费用标准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首里程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5元/10分钟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2元/20分钟</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3元/15分钟</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1元/5分钟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2"/>
                <w:sz w:val="21"/>
                <w:szCs w:val="21"/>
                <w:u w:val="none"/>
                <w:lang w:val="en-US" w:eastAsia="zh-CN" w:bidi="ar-SA"/>
              </w:rPr>
              <w:t>2元/15分钟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续时</w:t>
            </w:r>
            <w:r>
              <w:rPr>
                <w:rFonts w:hint="eastAsia" w:ascii="宋体" w:hAnsi="宋体" w:cs="宋体"/>
                <w:i w:val="0"/>
                <w:iCs w:val="0"/>
                <w:color w:val="auto"/>
                <w:kern w:val="0"/>
                <w:sz w:val="21"/>
                <w:szCs w:val="21"/>
                <w:u w:val="none"/>
                <w:lang w:val="en-US" w:eastAsia="zh-CN" w:bidi="ar"/>
              </w:rPr>
              <w:t>计费</w:t>
            </w:r>
            <w:r>
              <w:rPr>
                <w:rFonts w:hint="eastAsia" w:ascii="宋体" w:hAnsi="宋体" w:eastAsia="宋体" w:cs="宋体"/>
                <w:i w:val="0"/>
                <w:iCs w:val="0"/>
                <w:color w:val="auto"/>
                <w:kern w:val="0"/>
                <w:sz w:val="21"/>
                <w:szCs w:val="21"/>
                <w:u w:val="none"/>
                <w:lang w:val="en-US" w:eastAsia="zh-CN" w:bidi="ar"/>
              </w:rPr>
              <w:t>标准</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5元/10分钟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1元/10分钟</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3元/15分钟</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1元/5分钟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1元/10分钟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调度费用标准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服务区外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15元</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25元</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2"/>
                <w:sz w:val="21"/>
                <w:szCs w:val="21"/>
                <w:u w:val="none"/>
                <w:lang w:val="en-US" w:eastAsia="zh-CN" w:bidi="ar-SA"/>
              </w:rPr>
              <w:t>30元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站点外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5元</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78"/>
                <w:tab w:val="center" w:pos="579"/>
              </w:tabs>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15元</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cs="宋体"/>
                <w:i w:val="0"/>
                <w:iCs w:val="0"/>
                <w:color w:val="auto"/>
                <w:kern w:val="2"/>
                <w:sz w:val="21"/>
                <w:szCs w:val="21"/>
                <w:u w:val="none"/>
                <w:lang w:val="en-US" w:eastAsia="zh-CN" w:bidi="ar-SA"/>
              </w:rPr>
              <w:t>15元</w:t>
            </w:r>
          </w:p>
        </w:tc>
      </w:tr>
    </w:tbl>
    <w:p>
      <w:pPr>
        <w:pageBreakBefore w:val="0"/>
        <w:numPr>
          <w:ilvl w:val="0"/>
          <w:numId w:val="0"/>
        </w:numPr>
        <w:kinsoku/>
        <w:wordWrap/>
        <w:topLinePunct w:val="0"/>
        <w:bidi w:val="0"/>
        <w:snapToGrid/>
        <w:spacing w:line="360" w:lineRule="auto"/>
        <w:ind w:left="420" w:leftChars="0"/>
        <w:outlineLvl w:val="1"/>
        <w:rPr>
          <w:rFonts w:hint="eastAsia" w:ascii="宋体" w:hAnsi="宋体" w:cs="宋体"/>
          <w:color w:val="auto"/>
          <w:sz w:val="21"/>
          <w:szCs w:val="21"/>
          <w:lang w:val="en-US" w:eastAsia="zh-CN"/>
        </w:rPr>
      </w:pPr>
    </w:p>
    <w:p>
      <w:pPr>
        <w:pageBreakBefore w:val="0"/>
        <w:numPr>
          <w:ilvl w:val="0"/>
          <w:numId w:val="0"/>
        </w:numPr>
        <w:kinsoku/>
        <w:wordWrap/>
        <w:topLinePunct w:val="0"/>
        <w:bidi w:val="0"/>
        <w:snapToGrid/>
        <w:spacing w:line="360" w:lineRule="auto"/>
        <w:ind w:left="420" w:leftChars="0"/>
        <w:outlineLvl w:val="1"/>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2.我区收费标准</w:t>
      </w:r>
    </w:p>
    <w:p>
      <w:pPr>
        <w:pageBreakBefore w:val="0"/>
        <w:numPr>
          <w:ilvl w:val="0"/>
          <w:numId w:val="0"/>
        </w:numPr>
        <w:kinsoku/>
        <w:wordWrap/>
        <w:topLinePunct w:val="0"/>
        <w:bidi w:val="0"/>
        <w:snapToGrid/>
        <w:spacing w:line="360" w:lineRule="auto"/>
        <w:ind w:left="420" w:leftChars="0"/>
        <w:outlineLvl w:val="1"/>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根据市场调查分析，结合我区实际情况，骑行费用标准上限为：</w:t>
      </w:r>
    </w:p>
    <w:tbl>
      <w:tblPr>
        <w:tblStyle w:val="19"/>
        <w:tblW w:w="832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6"/>
        <w:gridCol w:w="2017"/>
        <w:gridCol w:w="2685"/>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运营年度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前三年</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后两年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骑行费用标准</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首里程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12</w:t>
            </w:r>
            <w:r>
              <w:rPr>
                <w:rFonts w:hint="eastAsia" w:ascii="宋体" w:hAnsi="宋体" w:eastAsia="宋体" w:cs="宋体"/>
                <w:i w:val="0"/>
                <w:iCs w:val="0"/>
                <w:color w:val="auto"/>
                <w:kern w:val="0"/>
                <w:sz w:val="21"/>
                <w:szCs w:val="21"/>
                <w:u w:val="none"/>
                <w:lang w:val="en-US" w:eastAsia="zh-CN" w:bidi="ar"/>
              </w:rPr>
              <w:t>元/</w:t>
            </w:r>
            <w:r>
              <w:rPr>
                <w:rFonts w:hint="eastAsia" w:ascii="宋体" w:hAnsi="宋体" w:cs="宋体"/>
                <w:i w:val="0"/>
                <w:iCs w:val="0"/>
                <w:color w:val="auto"/>
                <w:kern w:val="0"/>
                <w:sz w:val="21"/>
                <w:szCs w:val="21"/>
                <w:u w:val="none"/>
                <w:lang w:val="en-US" w:eastAsia="zh-CN" w:bidi="ar"/>
              </w:rPr>
              <w:t>30</w:t>
            </w:r>
            <w:r>
              <w:rPr>
                <w:rFonts w:hint="eastAsia" w:ascii="宋体" w:hAnsi="宋体" w:eastAsia="宋体" w:cs="宋体"/>
                <w:i w:val="0"/>
                <w:iCs w:val="0"/>
                <w:color w:val="auto"/>
                <w:kern w:val="0"/>
                <w:sz w:val="21"/>
                <w:szCs w:val="21"/>
                <w:u w:val="none"/>
                <w:lang w:val="en-US" w:eastAsia="zh-CN" w:bidi="ar"/>
              </w:rPr>
              <w:t>分钟</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14</w:t>
            </w:r>
            <w:r>
              <w:rPr>
                <w:rFonts w:hint="eastAsia" w:ascii="宋体" w:hAnsi="宋体" w:eastAsia="宋体" w:cs="宋体"/>
                <w:i w:val="0"/>
                <w:iCs w:val="0"/>
                <w:color w:val="auto"/>
                <w:kern w:val="0"/>
                <w:sz w:val="21"/>
                <w:szCs w:val="21"/>
                <w:u w:val="none"/>
                <w:lang w:val="en-US" w:eastAsia="zh-CN" w:bidi="ar"/>
              </w:rPr>
              <w:t>元/</w:t>
            </w:r>
            <w:r>
              <w:rPr>
                <w:rFonts w:hint="eastAsia" w:ascii="宋体" w:hAnsi="宋体" w:cs="宋体"/>
                <w:i w:val="0"/>
                <w:iCs w:val="0"/>
                <w:color w:val="auto"/>
                <w:kern w:val="0"/>
                <w:sz w:val="21"/>
                <w:szCs w:val="21"/>
                <w:u w:val="none"/>
                <w:lang w:val="en-US" w:eastAsia="zh-CN" w:bidi="ar"/>
              </w:rPr>
              <w:t>30</w:t>
            </w:r>
            <w:r>
              <w:rPr>
                <w:rFonts w:hint="eastAsia" w:ascii="宋体" w:hAnsi="宋体" w:eastAsia="宋体" w:cs="宋体"/>
                <w:i w:val="0"/>
                <w:iCs w:val="0"/>
                <w:color w:val="auto"/>
                <w:kern w:val="0"/>
                <w:sz w:val="21"/>
                <w:szCs w:val="21"/>
                <w:u w:val="none"/>
                <w:lang w:val="en-US" w:eastAsia="zh-CN" w:bidi="ar"/>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1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续时</w:t>
            </w:r>
            <w:r>
              <w:rPr>
                <w:rFonts w:hint="eastAsia" w:ascii="宋体" w:hAnsi="宋体" w:cs="宋体"/>
                <w:i w:val="0"/>
                <w:iCs w:val="0"/>
                <w:color w:val="auto"/>
                <w:kern w:val="0"/>
                <w:sz w:val="21"/>
                <w:szCs w:val="21"/>
                <w:u w:val="none"/>
                <w:lang w:val="en-US" w:eastAsia="zh-CN" w:bidi="ar"/>
              </w:rPr>
              <w:t>计费</w:t>
            </w:r>
            <w:r>
              <w:rPr>
                <w:rFonts w:hint="eastAsia" w:ascii="宋体" w:hAnsi="宋体" w:eastAsia="宋体" w:cs="宋体"/>
                <w:i w:val="0"/>
                <w:iCs w:val="0"/>
                <w:color w:val="auto"/>
                <w:kern w:val="0"/>
                <w:sz w:val="21"/>
                <w:szCs w:val="21"/>
                <w:u w:val="none"/>
                <w:lang w:val="en-US" w:eastAsia="zh-CN" w:bidi="ar"/>
              </w:rPr>
              <w:t>标准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元/</w:t>
            </w:r>
            <w:r>
              <w:rPr>
                <w:rFonts w:hint="eastAsia" w:ascii="宋体" w:hAnsi="宋体" w:cs="宋体"/>
                <w:i w:val="0"/>
                <w:iCs w:val="0"/>
                <w:color w:val="auto"/>
                <w:kern w:val="0"/>
                <w:sz w:val="21"/>
                <w:szCs w:val="21"/>
                <w:u w:val="none"/>
                <w:lang w:val="en-US" w:eastAsia="zh-CN" w:bidi="ar"/>
              </w:rPr>
              <w:t>15</w:t>
            </w:r>
            <w:r>
              <w:rPr>
                <w:rFonts w:hint="eastAsia" w:ascii="宋体" w:hAnsi="宋体" w:eastAsia="宋体" w:cs="宋体"/>
                <w:i w:val="0"/>
                <w:iCs w:val="0"/>
                <w:color w:val="auto"/>
                <w:kern w:val="0"/>
                <w:sz w:val="21"/>
                <w:szCs w:val="21"/>
                <w:u w:val="none"/>
                <w:lang w:val="en-US" w:eastAsia="zh-CN" w:bidi="ar"/>
              </w:rPr>
              <w:t>分钟</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6</w:t>
            </w:r>
            <w:r>
              <w:rPr>
                <w:rFonts w:hint="eastAsia" w:ascii="宋体" w:hAnsi="宋体" w:eastAsia="宋体" w:cs="宋体"/>
                <w:i w:val="0"/>
                <w:iCs w:val="0"/>
                <w:color w:val="auto"/>
                <w:kern w:val="0"/>
                <w:sz w:val="21"/>
                <w:szCs w:val="21"/>
                <w:u w:val="none"/>
                <w:lang w:val="en-US" w:eastAsia="zh-CN" w:bidi="ar"/>
              </w:rPr>
              <w:t>元/1</w:t>
            </w: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1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日封顶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120元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120元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6" w:hRule="atLeast"/>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调度费用标准</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服务区外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30</w:t>
            </w:r>
            <w:r>
              <w:rPr>
                <w:rFonts w:hint="eastAsia" w:ascii="宋体" w:hAnsi="宋体" w:eastAsia="宋体" w:cs="宋体"/>
                <w:i w:val="0"/>
                <w:iCs w:val="0"/>
                <w:color w:val="auto"/>
                <w:kern w:val="0"/>
                <w:sz w:val="21"/>
                <w:szCs w:val="21"/>
                <w:u w:val="none"/>
                <w:lang w:val="en-US" w:eastAsia="zh-CN" w:bidi="ar"/>
              </w:rPr>
              <w:t>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30</w:t>
            </w:r>
            <w:r>
              <w:rPr>
                <w:rFonts w:hint="eastAsia" w:ascii="宋体" w:hAnsi="宋体" w:eastAsia="宋体" w:cs="宋体"/>
                <w:i w:val="0"/>
                <w:iCs w:val="0"/>
                <w:color w:val="auto"/>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站点外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20</w:t>
            </w:r>
            <w:r>
              <w:rPr>
                <w:rFonts w:hint="eastAsia" w:ascii="宋体" w:hAnsi="宋体" w:eastAsia="宋体" w:cs="宋体"/>
                <w:i w:val="0"/>
                <w:iCs w:val="0"/>
                <w:color w:val="auto"/>
                <w:kern w:val="0"/>
                <w:sz w:val="21"/>
                <w:szCs w:val="21"/>
                <w:u w:val="none"/>
                <w:lang w:val="en-US" w:eastAsia="zh-CN" w:bidi="ar"/>
              </w:rPr>
              <w:t>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20</w:t>
            </w:r>
            <w:r>
              <w:rPr>
                <w:rFonts w:hint="eastAsia" w:ascii="宋体" w:hAnsi="宋体" w:eastAsia="宋体" w:cs="宋体"/>
                <w:i w:val="0"/>
                <w:iCs w:val="0"/>
                <w:color w:val="auto"/>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83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备注：免收押金</w:t>
            </w:r>
          </w:p>
        </w:tc>
      </w:tr>
    </w:tbl>
    <w:p>
      <w:pPr>
        <w:ind w:firstLine="630" w:firstLineChars="300"/>
        <w:rPr>
          <w:rFonts w:hint="eastAsia" w:ascii="宋体" w:hAnsi="宋体" w:eastAsia="宋体" w:cs="宋体"/>
          <w:color w:val="auto"/>
          <w:sz w:val="21"/>
          <w:szCs w:val="21"/>
        </w:rPr>
      </w:pPr>
      <w:r>
        <w:rPr>
          <w:rFonts w:hint="eastAsia" w:ascii="宋体" w:hAnsi="宋体" w:cs="宋体"/>
          <w:color w:val="auto"/>
          <w:sz w:val="21"/>
          <w:szCs w:val="21"/>
          <w:lang w:val="en-US" w:eastAsia="zh-CN"/>
        </w:rPr>
        <w:t>九、</w:t>
      </w:r>
      <w:r>
        <w:rPr>
          <w:rFonts w:hint="eastAsia" w:ascii="宋体" w:hAnsi="宋体" w:eastAsia="宋体" w:cs="宋体"/>
          <w:color w:val="auto"/>
          <w:sz w:val="21"/>
          <w:szCs w:val="21"/>
        </w:rPr>
        <w:t>实施步骤</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（一）</w:t>
      </w:r>
      <w:r>
        <w:rPr>
          <w:rFonts w:hint="eastAsia" w:ascii="宋体" w:hAnsi="宋体" w:eastAsia="宋体" w:cs="宋体"/>
          <w:color w:val="auto"/>
          <w:sz w:val="21"/>
          <w:szCs w:val="21"/>
          <w:lang w:val="en-US" w:eastAsia="zh-CN"/>
        </w:rPr>
        <w:t>集中清理退市发布限期清理公告，限期已投放共享电动单车的企业自公告发布之日起15日（非工作日）内自行回收投放入市的车辆。否则，将由城管执法部门、交警部门对全区现有的共享电动单车集中清理，并依法处理。</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）确定</w:t>
      </w:r>
      <w:r>
        <w:rPr>
          <w:rFonts w:hint="eastAsia" w:ascii="宋体" w:hAnsi="宋体" w:eastAsia="宋体" w:cs="宋体"/>
          <w:color w:val="auto"/>
          <w:sz w:val="21"/>
          <w:szCs w:val="21"/>
          <w:lang w:val="en-US" w:eastAsia="zh-CN"/>
        </w:rPr>
        <w:t>投放</w:t>
      </w:r>
      <w:r>
        <w:rPr>
          <w:rFonts w:hint="eastAsia" w:ascii="宋体" w:hAnsi="宋体" w:eastAsia="宋体" w:cs="宋体"/>
          <w:color w:val="auto"/>
          <w:sz w:val="21"/>
          <w:szCs w:val="21"/>
        </w:rPr>
        <w:t>停放区域</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eastAsia="zh-CN"/>
        </w:rPr>
        <w:t>共享电动单车</w:t>
      </w:r>
      <w:r>
        <w:rPr>
          <w:rFonts w:hint="eastAsia" w:ascii="宋体" w:hAnsi="宋体" w:eastAsia="宋体" w:cs="宋体"/>
          <w:color w:val="auto"/>
          <w:sz w:val="21"/>
          <w:szCs w:val="21"/>
        </w:rPr>
        <w:t>必须定点</w:t>
      </w:r>
      <w:r>
        <w:rPr>
          <w:rFonts w:hint="eastAsia" w:ascii="宋体" w:hAnsi="宋体" w:eastAsia="宋体" w:cs="宋体"/>
          <w:color w:val="auto"/>
          <w:sz w:val="21"/>
          <w:szCs w:val="21"/>
          <w:lang w:val="en-US" w:eastAsia="zh-CN"/>
        </w:rPr>
        <w:t>投放、</w:t>
      </w:r>
      <w:r>
        <w:rPr>
          <w:rFonts w:hint="eastAsia" w:ascii="宋体" w:hAnsi="宋体" w:eastAsia="宋体" w:cs="宋体"/>
          <w:color w:val="auto"/>
          <w:sz w:val="21"/>
          <w:szCs w:val="21"/>
        </w:rPr>
        <w:t>停放的原则，对有</w:t>
      </w:r>
      <w:r>
        <w:rPr>
          <w:rFonts w:hint="eastAsia" w:ascii="宋体" w:hAnsi="宋体" w:eastAsia="宋体" w:cs="宋体"/>
          <w:color w:val="auto"/>
          <w:sz w:val="21"/>
          <w:szCs w:val="21"/>
          <w:lang w:val="en-US" w:eastAsia="zh-CN"/>
        </w:rPr>
        <w:t>用车、</w:t>
      </w:r>
      <w:r>
        <w:rPr>
          <w:rFonts w:hint="eastAsia" w:ascii="宋体" w:hAnsi="宋体" w:eastAsia="宋体" w:cs="宋体"/>
          <w:color w:val="auto"/>
          <w:sz w:val="21"/>
          <w:szCs w:val="21"/>
        </w:rPr>
        <w:t>停车需求且符合放</w:t>
      </w:r>
      <w:r>
        <w:rPr>
          <w:rFonts w:hint="eastAsia" w:ascii="宋体" w:hAnsi="宋体" w:eastAsia="宋体" w:cs="宋体"/>
          <w:color w:val="auto"/>
          <w:sz w:val="21"/>
          <w:szCs w:val="21"/>
          <w:lang w:val="en-US" w:eastAsia="zh-CN"/>
        </w:rPr>
        <w:t>置</w:t>
      </w:r>
      <w:r>
        <w:rPr>
          <w:rFonts w:hint="eastAsia" w:ascii="宋体" w:hAnsi="宋体" w:eastAsia="宋体" w:cs="宋体"/>
          <w:color w:val="auto"/>
          <w:sz w:val="21"/>
          <w:szCs w:val="21"/>
        </w:rPr>
        <w:t>条件的区域及道路，科学确定</w:t>
      </w:r>
      <w:r>
        <w:rPr>
          <w:rFonts w:hint="eastAsia" w:ascii="宋体" w:hAnsi="宋体" w:eastAsia="宋体" w:cs="宋体"/>
          <w:color w:val="auto"/>
          <w:sz w:val="21"/>
          <w:szCs w:val="21"/>
          <w:lang w:val="en-US" w:eastAsia="zh-CN"/>
        </w:rPr>
        <w:t>车辆投放、</w:t>
      </w:r>
      <w:r>
        <w:rPr>
          <w:rFonts w:hint="eastAsia" w:ascii="宋体" w:hAnsi="宋体" w:eastAsia="宋体" w:cs="宋体"/>
          <w:color w:val="auto"/>
          <w:sz w:val="21"/>
          <w:szCs w:val="21"/>
        </w:rPr>
        <w:t>停放点，</w:t>
      </w:r>
      <w:r>
        <w:rPr>
          <w:rFonts w:hint="eastAsia" w:ascii="宋体" w:hAnsi="宋体" w:eastAsia="宋体" w:cs="宋体"/>
          <w:color w:val="auto"/>
          <w:sz w:val="21"/>
          <w:szCs w:val="21"/>
          <w:lang w:val="en-US" w:eastAsia="zh-CN"/>
        </w:rPr>
        <w:t>设置电子围栏，综合考虑</w:t>
      </w:r>
      <w:r>
        <w:rPr>
          <w:rFonts w:hint="eastAsia" w:ascii="宋体" w:hAnsi="宋体" w:eastAsia="宋体" w:cs="宋体"/>
          <w:color w:val="auto"/>
          <w:sz w:val="21"/>
          <w:szCs w:val="21"/>
          <w:lang w:eastAsia="zh-CN"/>
        </w:rPr>
        <w:t>共享电动单车</w:t>
      </w:r>
      <w:r>
        <w:rPr>
          <w:rFonts w:hint="eastAsia" w:ascii="宋体" w:hAnsi="宋体" w:eastAsia="宋体" w:cs="宋体"/>
          <w:color w:val="auto"/>
          <w:sz w:val="21"/>
          <w:szCs w:val="21"/>
          <w:lang w:val="en-US" w:eastAsia="zh-CN"/>
        </w:rPr>
        <w:t>连通景区、停车场、公交停靠站的交换功能，</w:t>
      </w:r>
      <w:r>
        <w:rPr>
          <w:rFonts w:hint="eastAsia" w:ascii="宋体" w:hAnsi="宋体" w:eastAsia="宋体" w:cs="宋体"/>
          <w:color w:val="auto"/>
          <w:sz w:val="21"/>
          <w:szCs w:val="21"/>
        </w:rPr>
        <w:t>做到布局合理、标准适宜、衔接成网。</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）车辆投入运营</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入选企业</w:t>
      </w:r>
      <w:r>
        <w:rPr>
          <w:rFonts w:hint="eastAsia" w:ascii="宋体" w:hAnsi="宋体" w:eastAsia="宋体" w:cs="宋体"/>
          <w:color w:val="auto"/>
          <w:sz w:val="21"/>
          <w:szCs w:val="21"/>
        </w:rPr>
        <w:t>按照约定条件投入符合规定的车辆，规范开展经营活动。</w:t>
      </w:r>
    </w:p>
    <w:p>
      <w:pPr>
        <w:keepNext w:val="0"/>
        <w:keepLines w:val="0"/>
        <w:pageBreakBefore w:val="0"/>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结合海陵区淡旺季，在不影响群众和游客出行便利的情况下，应提前向采购人申请，经采购人同意后可适当减少不超过50%的投放量。</w:t>
      </w:r>
    </w:p>
    <w:p>
      <w:pPr>
        <w:pageBreakBefore w:val="0"/>
        <w:numPr>
          <w:ilvl w:val="0"/>
          <w:numId w:val="0"/>
        </w:numPr>
        <w:kinsoku/>
        <w:wordWrap/>
        <w:topLinePunct w:val="0"/>
        <w:bidi w:val="0"/>
        <w:snapToGrid/>
        <w:spacing w:line="360" w:lineRule="auto"/>
        <w:ind w:left="420" w:leftChars="0"/>
        <w:outlineLvl w:val="1"/>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十、</w:t>
      </w:r>
      <w:r>
        <w:rPr>
          <w:rFonts w:hint="eastAsia" w:ascii="宋体" w:hAnsi="宋体" w:eastAsia="宋体" w:cs="宋体"/>
          <w:b w:val="0"/>
          <w:bCs w:val="0"/>
          <w:color w:val="auto"/>
          <w:sz w:val="21"/>
          <w:szCs w:val="21"/>
          <w:highlight w:val="none"/>
          <w:lang w:val="en-US" w:eastAsia="zh-CN"/>
        </w:rPr>
        <w:t>退出机制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（一）企业运营期限为三年，车辆入市前应缴纳</w:t>
      </w:r>
      <w:r>
        <w:rPr>
          <w:rFonts w:hint="eastAsia" w:ascii="宋体" w:hAnsi="宋体" w:cs="宋体"/>
          <w:color w:val="auto"/>
          <w:sz w:val="21"/>
          <w:szCs w:val="21"/>
          <w:lang w:val="en-US" w:eastAsia="zh-CN"/>
        </w:rPr>
        <w:t>履约保证金</w:t>
      </w:r>
      <w:r>
        <w:rPr>
          <w:rFonts w:hint="eastAsia" w:ascii="宋体" w:hAnsi="宋体" w:eastAsia="宋体" w:cs="宋体"/>
          <w:color w:val="auto"/>
          <w:sz w:val="21"/>
          <w:szCs w:val="21"/>
          <w:lang w:val="en-US" w:eastAsia="zh-CN"/>
        </w:rPr>
        <w:t>，运营期间接受管理部门的管理评价考核（考核指标详见《海陵试验区共享电动单车运营企业服务水平考核评价表》），考核每季度实行一次，每年得分取四个季度考核得分平均值，两年考核总得分取年度得分的平均值。如企业在</w:t>
      </w:r>
      <w:r>
        <w:rPr>
          <w:rFonts w:hint="eastAsia" w:ascii="宋体" w:hAnsi="宋体" w:cs="宋体"/>
          <w:color w:val="auto"/>
          <w:sz w:val="21"/>
          <w:szCs w:val="21"/>
          <w:lang w:val="en-US" w:eastAsia="zh-CN"/>
        </w:rPr>
        <w:t>当</w:t>
      </w:r>
      <w:r>
        <w:rPr>
          <w:rFonts w:hint="eastAsia" w:ascii="宋体" w:hAnsi="宋体" w:eastAsia="宋体" w:cs="宋体"/>
          <w:color w:val="auto"/>
          <w:sz w:val="21"/>
          <w:szCs w:val="21"/>
          <w:lang w:val="en-US" w:eastAsia="zh-CN"/>
        </w:rPr>
        <w:t>年考核得分低于70分（</w:t>
      </w:r>
      <w:r>
        <w:rPr>
          <w:rFonts w:hint="eastAsia" w:asciiTheme="minorEastAsia" w:hAnsiTheme="minorEastAsia" w:eastAsiaTheme="minorEastAsia" w:cstheme="minorEastAsia"/>
          <w:color w:val="auto"/>
          <w:sz w:val="21"/>
          <w:szCs w:val="21"/>
          <w:lang w:val="en-US" w:eastAsia="zh-CN"/>
        </w:rPr>
        <w:t>不含70分），或出现</w:t>
      </w:r>
      <w:r>
        <w:rPr>
          <w:rFonts w:hint="eastAsia" w:asciiTheme="minorEastAsia" w:hAnsiTheme="minorEastAsia" w:eastAsiaTheme="minorEastAsia" w:cstheme="minorEastAsia"/>
          <w:color w:val="auto"/>
          <w:sz w:val="21"/>
          <w:szCs w:val="21"/>
          <w:u w:val="none"/>
          <w:shd w:val="clear" w:color="auto" w:fill="FFFFFF"/>
          <w:lang w:eastAsia="zh-CN"/>
        </w:rPr>
        <w:t>严重影响交通秩序、市容环境</w:t>
      </w:r>
      <w:r>
        <w:rPr>
          <w:rFonts w:hint="eastAsia" w:asciiTheme="minorEastAsia" w:hAnsiTheme="minorEastAsia" w:eastAsiaTheme="minorEastAsia" w:cstheme="minorEastAsia"/>
          <w:color w:val="auto"/>
          <w:sz w:val="21"/>
          <w:szCs w:val="21"/>
          <w:u w:val="none"/>
          <w:shd w:val="clear" w:color="auto" w:fill="FFFFFF"/>
          <w:lang w:val="en-US" w:eastAsia="zh-CN"/>
        </w:rPr>
        <w:t>和乱收费等行为</w:t>
      </w:r>
      <w:r>
        <w:rPr>
          <w:rFonts w:hint="eastAsia" w:asciiTheme="minorEastAsia" w:hAnsiTheme="minorEastAsia" w:eastAsiaTheme="minorEastAsia" w:cstheme="minorEastAsia"/>
          <w:color w:val="auto"/>
          <w:sz w:val="21"/>
          <w:szCs w:val="21"/>
          <w:u w:val="none"/>
          <w:shd w:val="clear" w:color="auto" w:fill="FFFFFF"/>
          <w:lang w:eastAsia="zh-CN"/>
        </w:rPr>
        <w:t>，持续</w:t>
      </w:r>
      <w:r>
        <w:rPr>
          <w:rFonts w:hint="eastAsia" w:ascii="宋体" w:hAnsi="宋体" w:eastAsia="宋体" w:cs="宋体"/>
          <w:color w:val="auto"/>
          <w:sz w:val="21"/>
          <w:szCs w:val="21"/>
          <w:u w:val="none"/>
          <w:shd w:val="clear" w:color="auto" w:fill="FFFFFF"/>
          <w:lang w:eastAsia="zh-CN"/>
        </w:rPr>
        <w:t>整改不到位</w:t>
      </w:r>
      <w:r>
        <w:rPr>
          <w:rFonts w:hint="eastAsia" w:asciiTheme="minorEastAsia" w:hAnsiTheme="minorEastAsia" w:eastAsiaTheme="minorEastAsia" w:cstheme="minorEastAsia"/>
          <w:color w:val="auto"/>
          <w:sz w:val="21"/>
          <w:szCs w:val="21"/>
          <w:u w:val="none"/>
          <w:shd w:val="clear" w:color="auto" w:fill="FFFFFF"/>
          <w:lang w:val="en-US" w:eastAsia="zh-CN"/>
        </w:rPr>
        <w:t>的，</w:t>
      </w:r>
      <w:r>
        <w:rPr>
          <w:rFonts w:hint="eastAsia" w:asciiTheme="minorEastAsia" w:hAnsiTheme="minorEastAsia" w:eastAsiaTheme="minorEastAsia" w:cstheme="minorEastAsia"/>
          <w:color w:val="auto"/>
          <w:sz w:val="21"/>
          <w:szCs w:val="21"/>
          <w:lang w:val="en-US" w:eastAsia="zh-CN"/>
        </w:rPr>
        <w:t>城管执法部门有权对</w:t>
      </w:r>
      <w:r>
        <w:rPr>
          <w:rFonts w:hint="eastAsia" w:ascii="宋体" w:hAnsi="宋体" w:eastAsia="宋体" w:cs="宋体"/>
          <w:color w:val="auto"/>
          <w:sz w:val="21"/>
          <w:szCs w:val="21"/>
          <w:lang w:val="en-US" w:eastAsia="zh-CN"/>
        </w:rPr>
        <w:t>该企业进行清退</w:t>
      </w:r>
      <w:r>
        <w:rPr>
          <w:rFonts w:hint="eastAsia" w:ascii="宋体" w:hAnsi="宋体" w:eastAsia="宋体" w:cs="宋体"/>
          <w:color w:val="auto"/>
          <w:sz w:val="21"/>
          <w:szCs w:val="21"/>
          <w:u w:val="none"/>
          <w:shd w:val="clear" w:color="auto" w:fill="FFFFFF"/>
          <w:lang w:eastAsia="zh-CN"/>
        </w:rPr>
        <w:t>并向社会公示，</w:t>
      </w:r>
      <w:r>
        <w:rPr>
          <w:rFonts w:hint="eastAsia" w:ascii="宋体" w:hAnsi="宋体" w:eastAsia="宋体" w:cs="宋体"/>
          <w:color w:val="auto"/>
          <w:sz w:val="21"/>
          <w:szCs w:val="21"/>
          <w:lang w:val="en-US" w:eastAsia="zh-CN"/>
        </w:rPr>
        <w:t>限期完成所有投放车辆的回收工作与押金退还工作，</w:t>
      </w:r>
      <w:r>
        <w:rPr>
          <w:rFonts w:hint="eastAsia" w:ascii="宋体" w:hAnsi="宋体" w:cs="宋体"/>
          <w:color w:val="auto"/>
          <w:sz w:val="21"/>
          <w:szCs w:val="21"/>
          <w:lang w:val="en-US" w:eastAsia="zh-CN"/>
        </w:rPr>
        <w:t>履约保证金</w:t>
      </w:r>
      <w:r>
        <w:rPr>
          <w:rFonts w:hint="eastAsia" w:ascii="宋体" w:hAnsi="宋体" w:eastAsia="宋体" w:cs="宋体"/>
          <w:color w:val="auto"/>
          <w:sz w:val="21"/>
          <w:szCs w:val="21"/>
          <w:lang w:val="en-US" w:eastAsia="zh-CN"/>
        </w:rPr>
        <w:t>不予退还；如企业三年考核总得分为85分以上（含85分），该企业可再续期一年，</w:t>
      </w:r>
      <w:r>
        <w:rPr>
          <w:rFonts w:hint="eastAsia" w:ascii="宋体" w:hAnsi="宋体" w:eastAsia="宋体" w:cs="宋体"/>
          <w:color w:val="auto"/>
          <w:sz w:val="21"/>
          <w:szCs w:val="21"/>
          <w:highlight w:val="none"/>
          <w:lang w:val="en-US" w:eastAsia="zh-CN"/>
        </w:rPr>
        <w:t>最长可续期两年</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lang w:val="en-US" w:eastAsia="zh-CN"/>
        </w:rPr>
        <w:t>期满后自行退出，并退还保证金。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lang w:val="en-US" w:eastAsia="zh-CN"/>
        </w:rPr>
        <w:t>（二）运营企业自行退出市场的，应当提前30日告知城管执法部门并向社会公示，完成所有投放车辆的回收工作与押金退还工作，并退还</w:t>
      </w:r>
      <w:r>
        <w:rPr>
          <w:rFonts w:hint="eastAsia" w:ascii="宋体" w:hAnsi="宋体" w:cs="宋体"/>
          <w:color w:val="auto"/>
          <w:sz w:val="21"/>
          <w:szCs w:val="21"/>
          <w:lang w:val="en-US" w:eastAsia="zh-CN"/>
        </w:rPr>
        <w:t>履约保证金</w:t>
      </w:r>
      <w:r>
        <w:rPr>
          <w:rFonts w:hint="eastAsia" w:ascii="宋体" w:hAnsi="宋体" w:eastAsia="宋体" w:cs="宋体"/>
          <w:color w:val="auto"/>
          <w:sz w:val="21"/>
          <w:szCs w:val="21"/>
          <w:u w:val="none"/>
          <w:shd w:val="clear" w:color="auto" w:fill="FFFFFF"/>
          <w:lang w:eastAsia="zh-CN"/>
        </w:rPr>
        <w:t>。</w:t>
      </w:r>
    </w:p>
    <w:p>
      <w:pPr>
        <w:pageBreakBefore w:val="0"/>
        <w:numPr>
          <w:ilvl w:val="0"/>
          <w:numId w:val="0"/>
        </w:numPr>
        <w:kinsoku/>
        <w:wordWrap/>
        <w:topLinePunct w:val="0"/>
        <w:bidi w:val="0"/>
        <w:snapToGrid/>
        <w:spacing w:line="360" w:lineRule="auto"/>
        <w:ind w:left="420" w:leftChars="0"/>
        <w:outlineLvl w:val="1"/>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十一、</w:t>
      </w:r>
      <w:r>
        <w:rPr>
          <w:rFonts w:hint="eastAsia" w:ascii="宋体" w:hAnsi="宋体" w:eastAsia="宋体" w:cs="宋体"/>
          <w:b w:val="0"/>
          <w:bCs w:val="0"/>
          <w:color w:val="auto"/>
          <w:sz w:val="21"/>
          <w:szCs w:val="21"/>
        </w:rPr>
        <w:t>投资建设要求</w:t>
      </w:r>
    </w:p>
    <w:p>
      <w:pPr>
        <w:pageBreakBefore w:val="0"/>
        <w:kinsoku/>
        <w:wordWrap/>
        <w:topLinePunct w:val="0"/>
        <w:bidi w:val="0"/>
        <w:snapToGrid/>
        <w:spacing w:line="36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项目中标后，由项目运营公司负责投资、</w:t>
      </w:r>
      <w:r>
        <w:rPr>
          <w:rFonts w:hint="eastAsia" w:ascii="宋体" w:hAnsi="宋体" w:eastAsia="宋体" w:cs="宋体"/>
          <w:b w:val="0"/>
          <w:bCs w:val="0"/>
          <w:color w:val="auto"/>
          <w:sz w:val="21"/>
          <w:szCs w:val="21"/>
          <w:lang w:val="en-US" w:eastAsia="zh-CN"/>
        </w:rPr>
        <w:t>实施</w:t>
      </w:r>
      <w:r>
        <w:rPr>
          <w:rFonts w:hint="eastAsia" w:ascii="宋体" w:hAnsi="宋体" w:eastAsia="宋体" w:cs="宋体"/>
          <w:b w:val="0"/>
          <w:bCs w:val="0"/>
          <w:color w:val="auto"/>
          <w:sz w:val="21"/>
          <w:szCs w:val="21"/>
        </w:rPr>
        <w:t>，并承担</w:t>
      </w:r>
      <w:r>
        <w:rPr>
          <w:rFonts w:hint="eastAsia" w:ascii="宋体" w:hAnsi="宋体" w:eastAsia="宋体" w:cs="宋体"/>
          <w:b w:val="0"/>
          <w:bCs w:val="0"/>
          <w:color w:val="auto"/>
          <w:sz w:val="21"/>
          <w:szCs w:val="21"/>
          <w:lang w:val="en-US" w:eastAsia="zh-CN"/>
        </w:rPr>
        <w:t>本项目实施涉及的</w:t>
      </w:r>
      <w:r>
        <w:rPr>
          <w:rFonts w:hint="eastAsia" w:ascii="宋体" w:hAnsi="宋体" w:eastAsia="宋体" w:cs="宋体"/>
          <w:b w:val="0"/>
          <w:bCs w:val="0"/>
          <w:color w:val="auto"/>
          <w:sz w:val="21"/>
          <w:szCs w:val="21"/>
        </w:rPr>
        <w:t>一切相关费用。</w:t>
      </w:r>
    </w:p>
    <w:p>
      <w:pPr>
        <w:pageBreakBefore w:val="0"/>
        <w:kinsoku/>
        <w:wordWrap/>
        <w:topLinePunct w:val="0"/>
        <w:bidi w:val="0"/>
        <w:snapToGrid/>
        <w:spacing w:line="360" w:lineRule="auto"/>
        <w:ind w:firstLine="420" w:firstLineChars="200"/>
        <w:rPr>
          <w:rFonts w:hint="eastAsia" w:ascii="宋体" w:hAnsi="宋体" w:eastAsia="宋体" w:cs="宋体"/>
          <w:color w:val="auto"/>
        </w:rPr>
      </w:pPr>
      <w:r>
        <w:rPr>
          <w:rFonts w:hint="eastAsia" w:ascii="宋体" w:hAnsi="宋体" w:eastAsia="宋体" w:cs="宋体"/>
          <w:b w:val="0"/>
          <w:bCs w:val="0"/>
          <w:color w:val="auto"/>
          <w:sz w:val="21"/>
          <w:szCs w:val="21"/>
        </w:rPr>
        <w:t>2、本项目中标后项目运营公司应制定详细的</w:t>
      </w:r>
      <w:r>
        <w:rPr>
          <w:rFonts w:hint="eastAsia" w:ascii="宋体" w:hAnsi="宋体" w:eastAsia="宋体" w:cs="宋体"/>
          <w:b w:val="0"/>
          <w:bCs w:val="0"/>
          <w:color w:val="auto"/>
          <w:sz w:val="21"/>
          <w:szCs w:val="21"/>
          <w:lang w:val="en-US" w:eastAsia="zh-CN"/>
        </w:rPr>
        <w:t>实施</w:t>
      </w:r>
      <w:r>
        <w:rPr>
          <w:rFonts w:hint="eastAsia" w:ascii="宋体" w:hAnsi="宋体" w:eastAsia="宋体" w:cs="宋体"/>
          <w:b w:val="0"/>
          <w:bCs w:val="0"/>
          <w:color w:val="auto"/>
          <w:sz w:val="21"/>
          <w:szCs w:val="21"/>
        </w:rPr>
        <w:t>方案。</w:t>
      </w:r>
    </w:p>
    <w:p>
      <w:pPr>
        <w:pageBreakBefore w:val="0"/>
        <w:numPr>
          <w:ilvl w:val="0"/>
          <w:numId w:val="0"/>
        </w:numPr>
        <w:kinsoku/>
        <w:wordWrap/>
        <w:topLinePunct w:val="0"/>
        <w:bidi w:val="0"/>
        <w:snapToGrid/>
        <w:spacing w:line="360" w:lineRule="auto"/>
        <w:ind w:left="420" w:leftChars="0"/>
        <w:outlineLvl w:val="1"/>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十二、</w:t>
      </w:r>
      <w:r>
        <w:rPr>
          <w:rFonts w:hint="eastAsia" w:ascii="宋体" w:hAnsi="宋体" w:eastAsia="宋体" w:cs="宋体"/>
          <w:b w:val="0"/>
          <w:bCs w:val="0"/>
          <w:color w:val="auto"/>
          <w:sz w:val="21"/>
          <w:szCs w:val="21"/>
        </w:rPr>
        <w:t>质量要求：符合国家地方相关规范、文件通知要求和相关质量标准要求。</w:t>
      </w:r>
    </w:p>
    <w:p>
      <w:pPr>
        <w:pageBreakBefore w:val="0"/>
        <w:numPr>
          <w:ilvl w:val="0"/>
          <w:numId w:val="0"/>
        </w:numPr>
        <w:kinsoku/>
        <w:wordWrap/>
        <w:topLinePunct w:val="0"/>
        <w:bidi w:val="0"/>
        <w:snapToGrid/>
        <w:spacing w:line="360" w:lineRule="auto"/>
        <w:ind w:left="420" w:leftChars="0"/>
        <w:outlineLvl w:val="1"/>
        <w:rPr>
          <w:rFonts w:hint="eastAsia" w:ascii="宋体" w:hAnsi="宋体" w:eastAsia="宋体" w:cs="宋体"/>
          <w:color w:val="auto"/>
          <w:sz w:val="21"/>
          <w:szCs w:val="21"/>
        </w:rPr>
      </w:pPr>
      <w:r>
        <w:rPr>
          <w:rFonts w:hint="eastAsia" w:ascii="宋体" w:hAnsi="宋体" w:cs="宋体"/>
          <w:color w:val="auto"/>
          <w:sz w:val="21"/>
          <w:szCs w:val="21"/>
          <w:lang w:val="en-US" w:eastAsia="zh-CN"/>
        </w:rPr>
        <w:t>十三、国有资源有偿使用费</w:t>
      </w:r>
    </w:p>
    <w:p>
      <w:pPr>
        <w:pageBreakBefore w:val="0"/>
        <w:kinsoku/>
        <w:wordWrap/>
        <w:topLinePunct w:val="0"/>
        <w:bidi w:val="0"/>
        <w:snapToGrid/>
        <w:spacing w:line="360" w:lineRule="auto"/>
        <w:ind w:firstLine="420" w:firstLineChars="200"/>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1.中标方须缴纳</w:t>
      </w:r>
      <w:r>
        <w:rPr>
          <w:rFonts w:hint="eastAsia" w:ascii="宋体" w:hAnsi="宋体" w:cs="宋体"/>
          <w:color w:val="auto"/>
          <w:sz w:val="21"/>
          <w:szCs w:val="21"/>
          <w:lang w:val="en-US" w:eastAsia="zh-CN"/>
        </w:rPr>
        <w:t>国有资源有偿使用费</w:t>
      </w:r>
      <w:r>
        <w:rPr>
          <w:rFonts w:hint="eastAsia" w:ascii="宋体" w:hAnsi="宋体" w:eastAsia="宋体" w:cs="宋体"/>
          <w:b w:val="0"/>
          <w:bCs w:val="0"/>
          <w:color w:val="auto"/>
          <w:kern w:val="0"/>
          <w:sz w:val="21"/>
          <w:szCs w:val="21"/>
          <w:lang w:val="en-US" w:eastAsia="zh-CN" w:bidi="ar-SA"/>
        </w:rPr>
        <w:t>，缴纳标准按照每月营业收入为基数的</w:t>
      </w:r>
      <w:r>
        <w:rPr>
          <w:rFonts w:hint="eastAsia" w:ascii="宋体" w:hAnsi="宋体" w:cs="宋体"/>
          <w:b w:val="0"/>
          <w:bCs w:val="0"/>
          <w:color w:val="auto"/>
          <w:kern w:val="0"/>
          <w:sz w:val="21"/>
          <w:szCs w:val="21"/>
          <w:lang w:val="en-US" w:eastAsia="zh-CN" w:bidi="ar-SA"/>
        </w:rPr>
        <w:t>5</w:t>
      </w:r>
      <w:r>
        <w:rPr>
          <w:rFonts w:hint="eastAsia" w:ascii="宋体" w:hAnsi="宋体" w:eastAsia="宋体" w:cs="宋体"/>
          <w:b w:val="0"/>
          <w:bCs w:val="0"/>
          <w:color w:val="auto"/>
          <w:kern w:val="0"/>
          <w:sz w:val="21"/>
          <w:szCs w:val="21"/>
          <w:lang w:val="en-US" w:eastAsia="zh-CN" w:bidi="ar-SA"/>
        </w:rPr>
        <w:t>%计取，缴纳至海陵试验区财政局专用账户。</w:t>
      </w:r>
    </w:p>
    <w:p>
      <w:pPr>
        <w:pageBreakBefore w:val="0"/>
        <w:kinsoku/>
        <w:wordWrap/>
        <w:topLinePunct w:val="0"/>
        <w:bidi w:val="0"/>
        <w:snapToGrid/>
        <w:spacing w:line="360" w:lineRule="auto"/>
        <w:ind w:firstLine="420" w:firstLineChars="200"/>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2.</w:t>
      </w:r>
      <w:r>
        <w:rPr>
          <w:rFonts w:hint="eastAsia" w:ascii="宋体" w:hAnsi="宋体" w:eastAsia="宋体" w:cs="宋体"/>
          <w:color w:val="auto"/>
          <w:kern w:val="0"/>
          <w:szCs w:val="21"/>
          <w:lang w:val="en-US" w:eastAsia="zh-CN"/>
        </w:rPr>
        <w:t>支付时间：</w:t>
      </w:r>
      <w:r>
        <w:rPr>
          <w:rFonts w:hint="eastAsia" w:ascii="宋体" w:hAnsi="宋体" w:eastAsia="宋体" w:cs="宋体"/>
          <w:b w:val="0"/>
          <w:bCs w:val="0"/>
          <w:color w:val="auto"/>
          <w:kern w:val="0"/>
          <w:sz w:val="21"/>
          <w:szCs w:val="21"/>
          <w:lang w:val="en-US" w:eastAsia="zh-CN" w:bidi="ar-SA"/>
        </w:rPr>
        <w:t>次月10日前，缴清上月</w:t>
      </w:r>
      <w:r>
        <w:rPr>
          <w:rFonts w:hint="eastAsia" w:ascii="宋体" w:hAnsi="宋体" w:cs="宋体"/>
          <w:color w:val="auto"/>
          <w:sz w:val="21"/>
          <w:szCs w:val="21"/>
          <w:lang w:val="en-US" w:eastAsia="zh-CN"/>
        </w:rPr>
        <w:t>国有资源有偿使用费</w:t>
      </w:r>
      <w:r>
        <w:rPr>
          <w:rFonts w:hint="eastAsia" w:ascii="宋体" w:hAnsi="宋体" w:eastAsia="宋体" w:cs="宋体"/>
          <w:b w:val="0"/>
          <w:bCs w:val="0"/>
          <w:color w:val="auto"/>
          <w:kern w:val="0"/>
          <w:sz w:val="21"/>
          <w:szCs w:val="21"/>
          <w:lang w:val="en-US" w:eastAsia="zh-CN" w:bidi="ar-SA"/>
        </w:rPr>
        <w:t>。</w:t>
      </w:r>
    </w:p>
    <w:p>
      <w:pPr>
        <w:pageBreakBefore w:val="0"/>
        <w:numPr>
          <w:ilvl w:val="0"/>
          <w:numId w:val="0"/>
        </w:numPr>
        <w:kinsoku/>
        <w:wordWrap/>
        <w:topLinePunct w:val="0"/>
        <w:bidi w:val="0"/>
        <w:snapToGrid/>
        <w:spacing w:line="360" w:lineRule="auto"/>
        <w:ind w:left="420" w:leftChars="0"/>
        <w:outlineLvl w:val="1"/>
        <w:rPr>
          <w:rFonts w:hint="eastAsia" w:asciiTheme="minorEastAsia" w:hAnsiTheme="minorEastAsia" w:eastAsiaTheme="minorEastAsia" w:cstheme="minorEastAsia"/>
          <w:color w:val="auto"/>
          <w:sz w:val="21"/>
          <w:szCs w:val="21"/>
          <w:lang w:val="en-US" w:eastAsia="zh-CN"/>
        </w:rPr>
      </w:pPr>
      <w:r>
        <w:rPr>
          <w:rFonts w:hint="eastAsia" w:ascii="宋体" w:hAnsi="宋体" w:cs="宋体"/>
          <w:color w:val="auto"/>
          <w:sz w:val="21"/>
          <w:szCs w:val="21"/>
          <w:lang w:val="en-US" w:eastAsia="zh-CN"/>
        </w:rPr>
        <w:t>十四、</w:t>
      </w:r>
      <w:r>
        <w:rPr>
          <w:rFonts w:hint="eastAsia" w:asciiTheme="minorEastAsia" w:hAnsiTheme="minorEastAsia" w:eastAsiaTheme="minorEastAsia" w:cstheme="minorEastAsia"/>
          <w:color w:val="auto"/>
          <w:sz w:val="21"/>
          <w:szCs w:val="21"/>
        </w:rPr>
        <w:t>考核标准及事项</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详见《海陵试验区共享电动单车运营企业服务水平考核评价</w:t>
      </w:r>
    </w:p>
    <w:p>
      <w:pPr>
        <w:pageBreakBefore w:val="0"/>
        <w:numPr>
          <w:ilvl w:val="0"/>
          <w:numId w:val="0"/>
        </w:numPr>
        <w:kinsoku/>
        <w:wordWrap/>
        <w:topLinePunct w:val="0"/>
        <w:bidi w:val="0"/>
        <w:snapToGrid/>
        <w:spacing w:line="360" w:lineRule="auto"/>
        <w:outlineLvl w:val="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表》）</w:t>
      </w:r>
      <w:r>
        <w:rPr>
          <w:rFonts w:hint="eastAsia" w:asciiTheme="minorEastAsia" w:hAnsiTheme="minorEastAsia" w:eastAsiaTheme="minorEastAsia" w:cstheme="minorEastAsia"/>
          <w:color w:val="auto"/>
          <w:sz w:val="21"/>
          <w:szCs w:val="21"/>
        </w:rPr>
        <w:t>：</w:t>
      </w:r>
    </w:p>
    <w:tbl>
      <w:tblPr>
        <w:tblStyle w:val="19"/>
        <w:tblW w:w="9526" w:type="dxa"/>
        <w:jc w:val="center"/>
        <w:tblLayout w:type="fixed"/>
        <w:tblCellMar>
          <w:top w:w="0" w:type="dxa"/>
          <w:left w:w="108" w:type="dxa"/>
          <w:bottom w:w="0" w:type="dxa"/>
          <w:right w:w="108" w:type="dxa"/>
        </w:tblCellMar>
      </w:tblPr>
      <w:tblGrid>
        <w:gridCol w:w="716"/>
        <w:gridCol w:w="840"/>
        <w:gridCol w:w="436"/>
        <w:gridCol w:w="954"/>
        <w:gridCol w:w="648"/>
        <w:gridCol w:w="1295"/>
        <w:gridCol w:w="4637"/>
      </w:tblGrid>
      <w:tr>
        <w:tblPrEx>
          <w:tblCellMar>
            <w:top w:w="0" w:type="dxa"/>
            <w:left w:w="108" w:type="dxa"/>
            <w:bottom w:w="0" w:type="dxa"/>
            <w:right w:w="108" w:type="dxa"/>
          </w:tblCellMar>
        </w:tblPrEx>
        <w:trPr>
          <w:trHeight w:val="142"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评价模块</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评价角度</w:t>
            </w:r>
          </w:p>
        </w:tc>
        <w:tc>
          <w:tcPr>
            <w:tcW w:w="4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评价</w:t>
            </w:r>
          </w:p>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w:t>
            </w:r>
          </w:p>
        </w:tc>
        <w:tc>
          <w:tcPr>
            <w:tcW w:w="6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分值</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指标含义</w:t>
            </w:r>
          </w:p>
        </w:tc>
        <w:tc>
          <w:tcPr>
            <w:tcW w:w="46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评分标准</w:t>
            </w:r>
          </w:p>
        </w:tc>
      </w:tr>
      <w:tr>
        <w:tblPrEx>
          <w:tblCellMar>
            <w:top w:w="0" w:type="dxa"/>
            <w:left w:w="108" w:type="dxa"/>
            <w:bottom w:w="0" w:type="dxa"/>
            <w:right w:w="108" w:type="dxa"/>
          </w:tblCellMar>
        </w:tblPrEx>
        <w:trPr>
          <w:trHeight w:val="90" w:hRule="atLeast"/>
          <w:jc w:val="center"/>
        </w:trPr>
        <w:tc>
          <w:tcPr>
            <w:tcW w:w="7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企业在市内运营及管理评价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（100分）</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运营服务（</w:t>
            </w:r>
            <w:r>
              <w:rPr>
                <w:rFonts w:hint="eastAsia" w:ascii="宋体" w:hAnsi="宋体" w:eastAsia="宋体" w:cs="宋体"/>
                <w:color w:val="auto"/>
                <w:kern w:val="0"/>
                <w:sz w:val="21"/>
                <w:szCs w:val="21"/>
                <w:highlight w:val="none"/>
                <w:lang w:val="en-US" w:eastAsia="zh-CN"/>
              </w:rPr>
              <w:t>17</w:t>
            </w:r>
            <w:r>
              <w:rPr>
                <w:rFonts w:hint="eastAsia" w:ascii="宋体" w:hAnsi="宋体" w:eastAsia="宋体" w:cs="宋体"/>
                <w:color w:val="auto"/>
                <w:kern w:val="0"/>
                <w:sz w:val="21"/>
                <w:szCs w:val="21"/>
                <w:highlight w:val="none"/>
              </w:rPr>
              <w:t>分）</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车辆完好率</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企业投放车辆的完好程度，能正常开锁骑行，可判定为完好车辆。评判内容包括：①车辆零部件（如车架、车轮、把手、刹车、踏板等）的完好情况；②车身标识、编码、二维码等的完好情况等。</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完好率≥95%的，得5分；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85%≤完好率＜95%，得4分；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75%≤完好率＜85%，得3分；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65%≤完好率＜75%，得2分；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60%≤完好率＜65%，得1分；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完好率＜60%，得0分。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w:t>
            </w:r>
            <w:r>
              <w:rPr>
                <w:rFonts w:hint="eastAsia" w:ascii="宋体" w:hAnsi="宋体" w:eastAsia="宋体" w:cs="宋体"/>
                <w:color w:val="auto"/>
                <w:kern w:val="0"/>
                <w:sz w:val="21"/>
                <w:szCs w:val="21"/>
                <w:highlight w:val="none"/>
                <w:lang w:val="en-US" w:eastAsia="zh-CN"/>
              </w:rPr>
              <w:t>由考核小组</w:t>
            </w:r>
            <w:r>
              <w:rPr>
                <w:rFonts w:hint="eastAsia" w:ascii="宋体" w:hAnsi="宋体" w:eastAsia="宋体" w:cs="宋体"/>
                <w:color w:val="auto"/>
                <w:kern w:val="0"/>
                <w:sz w:val="21"/>
                <w:szCs w:val="21"/>
                <w:highlight w:val="none"/>
              </w:rPr>
              <w:t>对车辆完好率进行随机抽查，每季度对每家企业抽样随机抽查车辆不少于100辆。</w:t>
            </w:r>
          </w:p>
        </w:tc>
      </w:tr>
      <w:tr>
        <w:tblPrEx>
          <w:tblCellMar>
            <w:top w:w="0" w:type="dxa"/>
            <w:left w:w="108" w:type="dxa"/>
            <w:bottom w:w="0" w:type="dxa"/>
            <w:right w:w="108" w:type="dxa"/>
          </w:tblCellMar>
        </w:tblPrEx>
        <w:trPr>
          <w:trHeight w:val="114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车辆技术性能</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企业车辆符合国家、行业技术标准要求，性能安全可靠，并安装有卫星定位智能锁。</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符合国家、行业技术标准要求，性能安全可靠，无外接动力驱动的装置或接口，未违规设置广告，有明确的维护和使用寿命周期。达标，得3分，否则不得分。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注：在车辆完好率检测中同步完成该项指标的检测。</w:t>
            </w:r>
          </w:p>
        </w:tc>
      </w:tr>
      <w:tr>
        <w:tblPrEx>
          <w:tblCellMar>
            <w:top w:w="0" w:type="dxa"/>
            <w:left w:w="108" w:type="dxa"/>
            <w:bottom w:w="0" w:type="dxa"/>
            <w:right w:w="108" w:type="dxa"/>
          </w:tblCellMar>
        </w:tblPrEx>
        <w:trPr>
          <w:trHeight w:val="1002"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骑行保险购买情况</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为用户购买骑行保险情况，包括人身意外伤害险和第三者责任险。</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买意外伤害险且购买第三者责任险，得4分；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购买了单一险种（意外伤害限或第三者责任险），得2分。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未购买任何险种，得0分。</w:t>
            </w:r>
          </w:p>
        </w:tc>
      </w:tr>
      <w:tr>
        <w:tblPrEx>
          <w:tblCellMar>
            <w:top w:w="0" w:type="dxa"/>
            <w:left w:w="108" w:type="dxa"/>
            <w:bottom w:w="0" w:type="dxa"/>
            <w:right w:w="108" w:type="dxa"/>
          </w:tblCellMar>
        </w:tblPrEx>
        <w:trPr>
          <w:trHeight w:val="557"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车辆周转率</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当次考核周期内，企业车辆日均使用频率。</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项的计算公式为：（企业每日订单数量之和÷天数）/（企业每日有定位数据车辆数量之和÷天数），其中订单数量、有定位数据车辆数量以接入行业监管服务平台的数据统计为准。定位数据时间在当天内（0时至23时59分59秒）的，则认为该车辆是当日具有定位数据的车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车辆周转率≥5次/辆·日，得5分；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4次/辆·日≤车辆周转率&lt;5次/辆·日，得4分;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3次/辆·日≤车辆周转率&lt;4次/辆·日，得3分;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2次/辆·日≤车辆周转率&lt;3次/辆·日，得2分;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车辆周转率&lt;2次/辆·日，得1分。</w:t>
            </w:r>
          </w:p>
        </w:tc>
      </w:tr>
      <w:tr>
        <w:tblPrEx>
          <w:tblCellMar>
            <w:top w:w="0" w:type="dxa"/>
            <w:left w:w="108" w:type="dxa"/>
            <w:bottom w:w="0" w:type="dxa"/>
            <w:right w:w="108" w:type="dxa"/>
          </w:tblCellMar>
        </w:tblPrEx>
        <w:trPr>
          <w:trHeight w:val="8179" w:hRule="atLeast"/>
          <w:jc w:val="center"/>
        </w:trPr>
        <w:tc>
          <w:tcPr>
            <w:tcW w:w="7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企业在市内运营及管理评价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（100分）</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企业管理（25分）</w:t>
            </w:r>
          </w:p>
        </w:tc>
        <w:tc>
          <w:tcPr>
            <w:tcW w:w="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9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运维体系</w:t>
            </w:r>
          </w:p>
        </w:tc>
        <w:tc>
          <w:tcPr>
            <w:tcW w:w="6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c>
          <w:tcPr>
            <w:tcW w:w="1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企业是否按照标准设立专业管理服务团队, 建立网格化巡查运营维护体系，配备相应的运维管理设备、设施以及维保场地。</w:t>
            </w:r>
          </w:p>
        </w:tc>
        <w:tc>
          <w:tcPr>
            <w:tcW w:w="46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1.企业运维人员数量情况（5分）：按照企业实际投放数量（以行业监管平台统计的，最近一次定位时间在近24小时以内的车辆数量认定为企业车辆总量），按照</w:t>
            </w:r>
            <w:r>
              <w:rPr>
                <w:rFonts w:hint="eastAsia" w:ascii="宋体" w:hAnsi="宋体" w:eastAsia="宋体" w:cs="宋体"/>
                <w:color w:val="auto"/>
                <w:kern w:val="0"/>
                <w:sz w:val="21"/>
                <w:szCs w:val="21"/>
                <w:highlight w:val="none"/>
                <w:lang w:val="en-US" w:eastAsia="zh-CN"/>
              </w:rPr>
              <w:t>千分之五</w:t>
            </w:r>
            <w:r>
              <w:rPr>
                <w:rFonts w:hint="eastAsia" w:ascii="宋体" w:hAnsi="宋体" w:eastAsia="宋体" w:cs="宋体"/>
                <w:color w:val="auto"/>
                <w:kern w:val="0"/>
                <w:sz w:val="21"/>
                <w:szCs w:val="21"/>
                <w:highlight w:val="none"/>
              </w:rPr>
              <w:t>的人车比计算应当配置的运维人员数量。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运维人员数量达到标准的，得5分；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运维人员数量达到标准的90%以上的，得4分；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运维人员数量达到标准的85%以上的，得3分；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运维人员数量达到标准的80%以上的，得2分;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运维人员数量达到标准的75%以上的，得1分;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运维人员数量低于标准的75%以上的，得0分.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    注：企业需提交运维人员清单（含姓名及联系方式），可以通过抽查、现场检查等方式进行核验，如抽查中发现企业提交运维人员信息存在虚假的（如联系电话为非正常状态【空号、停机等】，受访人表示非该公司员工或者虽是该公司员工，但不负责阳江市内的运维管理工作等），</w:t>
            </w:r>
            <w:r>
              <w:rPr>
                <w:rFonts w:hint="eastAsia" w:ascii="宋体" w:hAnsi="宋体" w:eastAsia="宋体" w:cs="宋体"/>
                <w:color w:val="auto"/>
                <w:kern w:val="0"/>
                <w:sz w:val="21"/>
                <w:szCs w:val="21"/>
                <w:highlight w:val="none"/>
                <w:lang w:val="en-US" w:eastAsia="zh-CN"/>
              </w:rPr>
              <w:t>该项得0分</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2.维保场地情况（3分）：按照企业实际投放数量（以行业监管平台统计的，最近一次定位时间在近24小时以内的车辆数量认定为企业车辆总量）的30%进行计算，以</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平方米停放</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辆车进行计算。</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维保场地面积达到标准的，得3分；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维保场地面积达到标准的90%以上的，得2分；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维保场地面积达到标准的80%以上的，得1分；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维保场地面积在标准的80%以下的，得0分。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    注：企业需提交维保场地情况（含面积、联系人及电话，如租赁的，须提供租赁合同复印件备查），各管理部门可以通过抽查、现场检查等方式进行核验，如抽查中发现企业报送情况存在虚假的（如场地面积不足，场地非企业维保场地等），按照抽检属实的场地面积作为核定的该企业实有维保场地面积，并按照上述标准计算得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    3.企业运维管理体系情况（2分）：企业现场网格化管理方案、重点区域专人值守等制度建立情况。</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企业建立了现场网格化管理方案和重点区域专人值守制度的，得2分；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现场网格化管理方案和重点区域专人值守制度只制定了其中一项的，得1分；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未制定现场网格化管理方案和重点区域专人值守制度的，得0分。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    注：企业需提交现场网格化管理方案（须包括网格划分、网格负责人和联系电话）和重点区域专人值守制度（须包括重点区域范围、值守时段、值守管理负责人和联系电话）。</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本项综合得分为上述三项得分之和。</w:t>
            </w:r>
          </w:p>
        </w:tc>
      </w:tr>
      <w:tr>
        <w:tblPrEx>
          <w:tblCellMar>
            <w:top w:w="0" w:type="dxa"/>
            <w:left w:w="108" w:type="dxa"/>
            <w:bottom w:w="0" w:type="dxa"/>
            <w:right w:w="108" w:type="dxa"/>
          </w:tblCellMar>
        </w:tblPrEx>
        <w:trPr>
          <w:trHeight w:val="60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6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21" w:hRule="atLeast"/>
          <w:jc w:val="center"/>
        </w:trPr>
        <w:tc>
          <w:tcPr>
            <w:tcW w:w="7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企业在市内运营及管理评价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（100分）</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企业管理（25分）</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安全生产</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健全安全生产管理制度，对从业人员进行安全生产教育和培训等。</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指定安排专职安全生产责任人，企业安全生产规章制度完善的，相关安全生产教育、培训台帐、记录完备的，得3分；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指定安排专职安全生产责任人，企业安全生产规章制度基本完善的，相关安全生产教育、培训台帐、记录基本完备的，得2分；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未指定安排专职安全生产责任人，未建立企业安全生产规章制度的，未开展相关安全生产教育、培训的，得0分。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在考核期间，出现安全生产责任事故的，该项得0分。</w:t>
            </w:r>
          </w:p>
        </w:tc>
      </w:tr>
      <w:tr>
        <w:tblPrEx>
          <w:tblCellMar>
            <w:top w:w="0" w:type="dxa"/>
            <w:left w:w="108" w:type="dxa"/>
            <w:bottom w:w="0" w:type="dxa"/>
            <w:right w:w="108" w:type="dxa"/>
          </w:tblCellMar>
        </w:tblPrEx>
        <w:trPr>
          <w:trHeight w:val="1122"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用户资金安全</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采取有效措施监管用户资金安全，以及提供免押金、后付费等服务</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已实施骑行无条件免押金和骑行费用后付费政策的，得2分。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仅实施了骑行无条件免押金和骑行费用后付费其中一种政策的，得1分。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未实施骑行无条件免押金和骑行费用后付费政策的，或者未按照要求设立用户资金专管账户，得0分。</w:t>
            </w:r>
          </w:p>
        </w:tc>
      </w:tr>
      <w:tr>
        <w:tblPrEx>
          <w:tblCellMar>
            <w:top w:w="0" w:type="dxa"/>
            <w:left w:w="108" w:type="dxa"/>
            <w:bottom w:w="0" w:type="dxa"/>
            <w:right w:w="108" w:type="dxa"/>
          </w:tblCellMar>
        </w:tblPrEx>
        <w:trPr>
          <w:trHeight w:val="9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联络机制</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建立与市、区、街各层面的联络机制，设立对应的联系人员，及时处置投诉与相关问题。</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与相应职能部门建立对应的联络机制，设立各层面的运维管理联系人名单，能够及时响应的，得3分。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与相应职能部门建立对应的联络机制，设立各层面的运维管理联系人名单，处理存在问题响应不及时，得1-2分。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未能建立联络机制，得0分。</w:t>
            </w:r>
          </w:p>
        </w:tc>
      </w:tr>
      <w:tr>
        <w:tblPrEx>
          <w:tblCellMar>
            <w:top w:w="0" w:type="dxa"/>
            <w:left w:w="108" w:type="dxa"/>
            <w:bottom w:w="0" w:type="dxa"/>
            <w:right w:w="108" w:type="dxa"/>
          </w:tblCellMar>
        </w:tblPrEx>
        <w:trPr>
          <w:trHeight w:val="3439"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应急机制及应急响应</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应急预案与应急处置。</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注：应急事件包括自然灾害（如台风、暴雨）、社会安全事件以及节假日、重大安保活动期间的现场处置等。</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应急预案（2分）：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按规定及时报备已编制的应急预案，且内容完整，得2分；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能按规定编制应急预案，且内容完整，但未及时报备相关部门的，得1分；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未按规定编制应急预案的，得0分；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应急处置（3分）：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应急事件处置率为100%的，得3分；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90%≤应急事件处置率＜100%，得2.5分；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80%≤应急事件处置率＜90%，得2分；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70%≤应急事件处置率＜80%，得1.5分；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60%≤应急事件处置率＜70%，得1分；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应急事件处置率＜60%，得0分；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注：本项得分为“应急预案”与“应急处置”两项指标得分之和。30分钟内到达现场，并根据应急预案完成应急处置，可计入处置率。</w:t>
            </w:r>
          </w:p>
        </w:tc>
      </w:tr>
      <w:tr>
        <w:tblPrEx>
          <w:tblCellMar>
            <w:top w:w="0" w:type="dxa"/>
            <w:left w:w="108" w:type="dxa"/>
            <w:bottom w:w="0" w:type="dxa"/>
            <w:right w:w="108" w:type="dxa"/>
          </w:tblCellMar>
        </w:tblPrEx>
        <w:trPr>
          <w:trHeight w:val="2760" w:hRule="atLeast"/>
          <w:jc w:val="center"/>
        </w:trPr>
        <w:tc>
          <w:tcPr>
            <w:tcW w:w="7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企业在市内运营及管理评价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（100分）</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企业管理（25分）</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企业协作与竞争情况</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衡量企业间是否存在不正当竞争行为情况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对企业举报、媒体报道、各管理部门发现的企业间不正当竞争行为，经核查属实后按照0.5分/宗标准予以扣除分数。</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①不正常竞争行为除《反不正当竞争法》明确规定的情形外，还包括但不限于以下行为：故意损坏其他企业运营车辆的；故意挪移其他企业车辆，并使其处于违规停放状态的；其他影响企业车辆正常运营和行业管理秩序的。</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②举报企业实施不正常竞争行为的，举报者应当提供基本情况说明材料（含时间、地点、时间经过等）和相应的证据（现场图片、视频等），并以市交通局和市城管综合执法局核查结果为准。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③媒体报道、各管理部门发现的企业不正常竞争行为，由市交通局和市城管综合执法局组织核查，事实清楚，证据确凿充足的，按照本条款进行处理。</w:t>
            </w:r>
          </w:p>
        </w:tc>
      </w:tr>
      <w:tr>
        <w:tblPrEx>
          <w:tblCellMar>
            <w:top w:w="0" w:type="dxa"/>
            <w:left w:w="108" w:type="dxa"/>
            <w:bottom w:w="0" w:type="dxa"/>
            <w:right w:w="108" w:type="dxa"/>
          </w:tblCellMar>
        </w:tblPrEx>
        <w:trPr>
          <w:trHeight w:val="266" w:hRule="atLeast"/>
          <w:jc w:val="center"/>
        </w:trPr>
        <w:tc>
          <w:tcPr>
            <w:tcW w:w="71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秩序管理（</w:t>
            </w:r>
            <w:r>
              <w:rPr>
                <w:rFonts w:hint="eastAsia" w:ascii="宋体" w:hAnsi="宋体" w:eastAsia="宋体" w:cs="宋体"/>
                <w:color w:val="auto"/>
                <w:kern w:val="0"/>
                <w:sz w:val="21"/>
                <w:szCs w:val="21"/>
                <w:highlight w:val="none"/>
                <w:lang w:val="en-US" w:eastAsia="zh-CN"/>
              </w:rPr>
              <w:t>52</w:t>
            </w:r>
            <w:r>
              <w:rPr>
                <w:rFonts w:hint="eastAsia" w:ascii="宋体" w:hAnsi="宋体" w:eastAsia="宋体" w:cs="宋体"/>
                <w:color w:val="auto"/>
                <w:kern w:val="0"/>
                <w:sz w:val="21"/>
                <w:szCs w:val="21"/>
                <w:highlight w:val="none"/>
              </w:rPr>
              <w:t>分）</w:t>
            </w:r>
          </w:p>
        </w:tc>
        <w:tc>
          <w:tcPr>
            <w:tcW w:w="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9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车辆投放管理</w:t>
            </w:r>
          </w:p>
        </w:tc>
        <w:tc>
          <w:tcPr>
            <w:tcW w:w="6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c>
          <w:tcPr>
            <w:tcW w:w="1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衡量企业车辆投放管理情况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车辆投放数量情况（5分）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企业在阳江市区及阳东城区范围内，在不超营运配额上限且不影响交通秩序及市容环境的前提下，可根据市场需要，自行安排各区域投放数量。评分标准如下：</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该区运营配额的50%≦企业在运营区域内的车辆数量≤该区运营配额上限，得5分；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企业存在车辆数量超出区域运营配额，或者车辆数量未达到区域运营配额50%数量的，得0分；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每周抽查中，企业出现区域内车辆数量超过配额两倍的情况的，或者车辆数量未达到配额30%的，该次抽查中本项季度得分直接为0分；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注：企业季度考核得分为每周抽查得分的平均值。</w:t>
            </w:r>
          </w:p>
        </w:tc>
      </w:tr>
      <w:tr>
        <w:tblPrEx>
          <w:tblCellMar>
            <w:top w:w="0" w:type="dxa"/>
            <w:left w:w="108" w:type="dxa"/>
            <w:bottom w:w="0" w:type="dxa"/>
            <w:right w:w="108" w:type="dxa"/>
          </w:tblCellMar>
        </w:tblPrEx>
        <w:trPr>
          <w:trHeight w:val="3547" w:hRule="atLeast"/>
          <w:jc w:val="center"/>
        </w:trPr>
        <w:tc>
          <w:tcPr>
            <w:tcW w:w="71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企业在车辆置换投放、调度投放前必须报送方案（5分）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企业按照政府管理部门的要求提前报送辖区内的车辆投放计划，投放方案必须完整准确（包含投放车辆数量、时间、地点和运维调度方案等信息），经同意后，在管理部门监督管理下在设定停放区投放。</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完全按照要求执行，得3分；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较好的按照要求执行，得2分（企业有未经同意擅自投放行为的，且擅自投放车辆总数在100辆以内的）；</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基本按照要求执行，得1分（企业有未经同意擅自投放行为的，且擅自投放车辆总数在100辆以上，200辆以内的）；</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未按要求擅自投放车辆，得0分（企业有未经同意擅自投放行为的，且擅自投放车辆总数超过200辆的）。</w:t>
            </w:r>
          </w:p>
        </w:tc>
      </w:tr>
      <w:tr>
        <w:tblPrEx>
          <w:tblCellMar>
            <w:top w:w="0" w:type="dxa"/>
            <w:left w:w="108" w:type="dxa"/>
            <w:bottom w:w="0" w:type="dxa"/>
            <w:right w:w="108" w:type="dxa"/>
          </w:tblCellMar>
        </w:tblPrEx>
        <w:trPr>
          <w:trHeight w:val="2117" w:hRule="atLeast"/>
          <w:jc w:val="center"/>
        </w:trPr>
        <w:tc>
          <w:tcPr>
            <w:tcW w:w="7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企业在市内运营及管理评价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（100分）</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秩序管理（</w:t>
            </w:r>
            <w:r>
              <w:rPr>
                <w:rFonts w:hint="eastAsia" w:ascii="宋体" w:hAnsi="宋体" w:eastAsia="宋体" w:cs="宋体"/>
                <w:color w:val="auto"/>
                <w:kern w:val="0"/>
                <w:sz w:val="21"/>
                <w:szCs w:val="21"/>
                <w:highlight w:val="none"/>
                <w:lang w:val="en-US" w:eastAsia="zh-CN"/>
              </w:rPr>
              <w:t>52</w:t>
            </w:r>
            <w:r>
              <w:rPr>
                <w:rFonts w:hint="eastAsia" w:ascii="宋体" w:hAnsi="宋体" w:eastAsia="宋体" w:cs="宋体"/>
                <w:color w:val="auto"/>
                <w:kern w:val="0"/>
                <w:sz w:val="21"/>
                <w:szCs w:val="21"/>
                <w:highlight w:val="none"/>
              </w:rPr>
              <w:t>分）</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车辆停放秩序</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衡量互联网租赁车现场停放秩序情况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各管理部门下发的乱停放类整改通知每日平均数量（计算公式为管理部门本次考核周期内下发的乱停放类整改工单总数/本次考核周期的天数，单位为：宗/日）为标准评定企业现场停放秩序管理得分，具体如下：</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管理部门下发的乱停放类整改通知&lt;5宗/日的，得1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5宗/日≤各管理部门下发的乱停放类整改通知&lt;10宗/日的，得</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10宗/日≤各管理部门下发的乱停放类整改通知&lt;15宗/日的，得</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15宗/日≤各管理部门下发的乱停放类整改通知&lt;20宗/日的，得</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20宗/日≤各管理部门下发的乱停放类整改通知&lt;25宗/日的，得</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25宗/日≤各管理部门下发的乱停放类整改通知的，得</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 注：以各管理部门在共享</w:t>
            </w:r>
            <w:r>
              <w:rPr>
                <w:rFonts w:hint="eastAsia" w:ascii="宋体" w:hAnsi="宋体" w:cs="宋体"/>
                <w:color w:val="auto"/>
                <w:kern w:val="0"/>
                <w:sz w:val="21"/>
                <w:szCs w:val="21"/>
                <w:highlight w:val="none"/>
                <w:lang w:eastAsia="zh-CN"/>
              </w:rPr>
              <w:t>电动</w:t>
            </w:r>
            <w:r>
              <w:rPr>
                <w:rFonts w:hint="eastAsia" w:ascii="宋体" w:hAnsi="宋体" w:eastAsia="宋体" w:cs="宋体"/>
                <w:color w:val="auto"/>
                <w:kern w:val="0"/>
                <w:sz w:val="21"/>
                <w:szCs w:val="21"/>
                <w:highlight w:val="none"/>
              </w:rPr>
              <w:t>单车管理微信群在本次考核周期内下发的乱停放类整改通知为统计范围（以通知下发时间为准）。</w:t>
            </w:r>
          </w:p>
        </w:tc>
      </w:tr>
      <w:tr>
        <w:tblPrEx>
          <w:tblCellMar>
            <w:top w:w="0" w:type="dxa"/>
            <w:left w:w="108" w:type="dxa"/>
            <w:bottom w:w="0" w:type="dxa"/>
            <w:right w:w="108" w:type="dxa"/>
          </w:tblCellMar>
        </w:tblPrEx>
        <w:trPr>
          <w:trHeight w:val="2359" w:hRule="atLeast"/>
          <w:jc w:val="center"/>
        </w:trPr>
        <w:tc>
          <w:tcPr>
            <w:tcW w:w="71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故障残旧车辆清理回收</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企业是否及时清理回收自有的故障残旧车辆</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主动及时（车辆出现故障后48小时以内）清理回收故障残旧车辆，未出现大规模（同一位置合计出现10辆以上）集中占用道路长期（两天以上且五天以内）停放的情况的，得</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能够在管理部门要求的时限内，清理完毕并反馈的，得</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故障残旧车辆清理不及时，或者未在要求时限内清理完毕并反馈的，视情况得1-</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故障残旧车辆长期（超过五天）占用道路、广场等公共场所停放，经管理部门多次通报仍不整改，或者被媒体曝光，社会影响恶劣的，本项得0分。</w:t>
            </w:r>
          </w:p>
        </w:tc>
      </w:tr>
      <w:tr>
        <w:tblPrEx>
          <w:tblCellMar>
            <w:top w:w="0" w:type="dxa"/>
            <w:left w:w="108" w:type="dxa"/>
            <w:bottom w:w="0" w:type="dxa"/>
            <w:right w:w="108" w:type="dxa"/>
          </w:tblCellMar>
        </w:tblPrEx>
        <w:trPr>
          <w:trHeight w:val="1602" w:hRule="atLeast"/>
          <w:jc w:val="center"/>
        </w:trPr>
        <w:tc>
          <w:tcPr>
            <w:tcW w:w="71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禁停区管理</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在客户端上线禁停区电子围栏，并制定落实配套现场管理方案，以及对禁停区内违停用户综合采取无法上锁还车等技术约束手段或收取调度费等经济奖惩手段。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按要求上线禁停区电子围栏，实施了禁停区内违停无法上锁还车或者禁停区违停收取调度管理费措施的，得5分；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按要求上线禁停区，但未实施禁停区内违停无法上锁还车或者禁停区违停收取调度管理费措施的，得2分；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未能实施禁停区管理的，得0分。</w:t>
            </w:r>
          </w:p>
        </w:tc>
      </w:tr>
      <w:tr>
        <w:tblPrEx>
          <w:tblCellMar>
            <w:top w:w="0" w:type="dxa"/>
            <w:left w:w="108" w:type="dxa"/>
            <w:bottom w:w="0" w:type="dxa"/>
            <w:right w:w="108" w:type="dxa"/>
          </w:tblCellMar>
        </w:tblPrEx>
        <w:trPr>
          <w:trHeight w:val="2580" w:hRule="atLeast"/>
          <w:jc w:val="center"/>
        </w:trPr>
        <w:tc>
          <w:tcPr>
            <w:tcW w:w="7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企业在市内运营及管理评价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（100分）</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秩序管理（</w:t>
            </w:r>
            <w:r>
              <w:rPr>
                <w:rFonts w:hint="eastAsia" w:ascii="宋体" w:hAnsi="宋体" w:eastAsia="宋体" w:cs="宋体"/>
                <w:color w:val="auto"/>
                <w:kern w:val="0"/>
                <w:sz w:val="21"/>
                <w:szCs w:val="21"/>
                <w:highlight w:val="none"/>
                <w:lang w:val="en-US" w:eastAsia="zh-CN"/>
              </w:rPr>
              <w:t>52</w:t>
            </w:r>
            <w:r>
              <w:rPr>
                <w:rFonts w:hint="eastAsia" w:ascii="宋体" w:hAnsi="宋体" w:eastAsia="宋体" w:cs="宋体"/>
                <w:color w:val="auto"/>
                <w:kern w:val="0"/>
                <w:sz w:val="21"/>
                <w:szCs w:val="21"/>
                <w:highlight w:val="none"/>
              </w:rPr>
              <w:t>分）</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管理部门整改通知完成情况</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企业对政府管理部门下发的现场秩序整改通知，在严管路段应在10分钟内响应，30分钟以内处理完毕；非严管路段应当在20分钟内响应，1小时以内处理完毕。</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企业整改完成率计算公式为：企业按要求完成并反馈的整改通知数量/管理部门下发整改工单数量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整改完成率≥95%的，得12分；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85%≤整改完成率＜95%，得10分；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75%≤整改完成率＜85%，得8分；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65%≤整改完成率＜75%，得6分；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60%≤整改完成率＜65%，得4分；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 50%≤整改完成率＜60%，得2分；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整改完成率＜50%，得0分。</w:t>
            </w:r>
          </w:p>
        </w:tc>
      </w:tr>
      <w:tr>
        <w:tblPrEx>
          <w:tblCellMar>
            <w:top w:w="0" w:type="dxa"/>
            <w:left w:w="108" w:type="dxa"/>
            <w:bottom w:w="0" w:type="dxa"/>
            <w:right w:w="108" w:type="dxa"/>
          </w:tblCellMar>
        </w:tblPrEx>
        <w:trPr>
          <w:trHeight w:val="9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违停车辆跟进处理情况</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企业是否积极配合行政管理部门处理集中代管的违停车辆的情况。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在各级管理部门书面或者微信工作群通知的期限内按要求处理的，得5分；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每超过1天，扣1分，扣完为止。</w:t>
            </w:r>
          </w:p>
        </w:tc>
      </w:tr>
      <w:tr>
        <w:tblPrEx>
          <w:tblCellMar>
            <w:top w:w="0" w:type="dxa"/>
            <w:left w:w="108" w:type="dxa"/>
            <w:bottom w:w="0" w:type="dxa"/>
            <w:right w:w="108" w:type="dxa"/>
          </w:tblCellMar>
        </w:tblPrEx>
        <w:trPr>
          <w:trHeight w:val="348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用户违章骑行的企业监管机制</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企业对于用户违章骑行行为的联合惩戒情况。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立违章骑行黑名单，对市交警抄告的违章骑行用户实施限制措施（包括禁止使用、限制使用、提高收费标准等），违章查处率【交警部门查处的本季度内涉及该企业的非机动车交通违章案件数量/交警部门查处的本季度内全部涉及共享</w:t>
            </w:r>
            <w:r>
              <w:rPr>
                <w:rFonts w:hint="eastAsia" w:ascii="宋体" w:hAnsi="宋体" w:cs="宋体"/>
                <w:color w:val="auto"/>
                <w:kern w:val="0"/>
                <w:sz w:val="21"/>
                <w:szCs w:val="21"/>
                <w:highlight w:val="none"/>
                <w:lang w:eastAsia="zh-CN"/>
              </w:rPr>
              <w:t>电动</w:t>
            </w:r>
            <w:r>
              <w:rPr>
                <w:rFonts w:hint="eastAsia" w:ascii="宋体" w:hAnsi="宋体" w:eastAsia="宋体" w:cs="宋体"/>
                <w:color w:val="auto"/>
                <w:kern w:val="0"/>
                <w:sz w:val="21"/>
                <w:szCs w:val="21"/>
                <w:highlight w:val="none"/>
              </w:rPr>
              <w:t>单车的非机动车交通违章案件数量】对比上一季度下降10%以上（包括10%）的，得5分；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建立违章骑行黑名单，对市交警抄告的违章骑行用户实施限制措施（包括禁止使用、限制使用、提高收费标准等），违章查处率（交警部门查处的本季度内涉及该企业的非机动车交通违章案件数量/交警部门查处的本季度内全部涉及共享</w:t>
            </w:r>
            <w:r>
              <w:rPr>
                <w:rFonts w:hint="eastAsia" w:ascii="宋体" w:hAnsi="宋体" w:cs="宋体"/>
                <w:color w:val="auto"/>
                <w:kern w:val="0"/>
                <w:sz w:val="21"/>
                <w:szCs w:val="21"/>
                <w:highlight w:val="none"/>
                <w:lang w:eastAsia="zh-CN"/>
              </w:rPr>
              <w:t>电动</w:t>
            </w:r>
            <w:r>
              <w:rPr>
                <w:rFonts w:hint="eastAsia" w:ascii="宋体" w:hAnsi="宋体" w:eastAsia="宋体" w:cs="宋体"/>
                <w:color w:val="auto"/>
                <w:kern w:val="0"/>
                <w:sz w:val="21"/>
                <w:szCs w:val="21"/>
                <w:highlight w:val="none"/>
              </w:rPr>
              <w:t>单车的非机动车交通违章案件数量）对比上一季度下降0至10%（不包括10%）的，得3分；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未对市交警抄告的违章骑行用户实施限制措施，或者虽然实施了限制措施，但是违章查处率（交警部门查处的本季度内涉及该企业的非机动车交通违章案件数量/交警部门查处的本季度内全部涉及共享</w:t>
            </w:r>
            <w:r>
              <w:rPr>
                <w:rFonts w:hint="eastAsia" w:ascii="宋体" w:hAnsi="宋体" w:cs="宋体"/>
                <w:color w:val="auto"/>
                <w:kern w:val="0"/>
                <w:sz w:val="21"/>
                <w:szCs w:val="21"/>
                <w:highlight w:val="none"/>
                <w:lang w:eastAsia="zh-CN"/>
              </w:rPr>
              <w:t>电动</w:t>
            </w:r>
            <w:r>
              <w:rPr>
                <w:rFonts w:hint="eastAsia" w:ascii="宋体" w:hAnsi="宋体" w:eastAsia="宋体" w:cs="宋体"/>
                <w:color w:val="auto"/>
                <w:kern w:val="0"/>
                <w:sz w:val="21"/>
                <w:szCs w:val="21"/>
                <w:highlight w:val="none"/>
              </w:rPr>
              <w:t>单车的非机动车交通违章案件数量）对比上一季度增加10%以上的，得0分。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注：违章案件数量以交警部门抄告的数据为准。</w:t>
            </w:r>
          </w:p>
        </w:tc>
      </w:tr>
      <w:tr>
        <w:tblPrEx>
          <w:tblCellMar>
            <w:top w:w="0" w:type="dxa"/>
            <w:left w:w="108" w:type="dxa"/>
            <w:bottom w:w="0" w:type="dxa"/>
            <w:right w:w="108" w:type="dxa"/>
          </w:tblCellMar>
        </w:tblPrEx>
        <w:trPr>
          <w:trHeight w:val="2040" w:hRule="atLeast"/>
          <w:jc w:val="center"/>
        </w:trPr>
        <w:tc>
          <w:tcPr>
            <w:tcW w:w="7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企业在市内运营及管理评价</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（100分）</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信息上报（6分）</w:t>
            </w:r>
          </w:p>
        </w:tc>
        <w:tc>
          <w:tcPr>
            <w:tcW w:w="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9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信息共享</w:t>
            </w:r>
          </w:p>
        </w:tc>
        <w:tc>
          <w:tcPr>
            <w:tcW w:w="6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6分</w:t>
            </w:r>
          </w:p>
        </w:tc>
        <w:tc>
          <w:tcPr>
            <w:tcW w:w="1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衡量企业及时准确向管理部门上报运营数据信息、行业监管服务平台数据接入、以及有关数据真实性、完整性等情况。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数据报送情况（3分）：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按照各级管理部门要求及时提供运营数据信息，且数据信息真实准确的，得3分；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未完全按照管理部门要求提供运营数据信息，或数据信息存在虚假的，得1分；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未向管理部门提供运营数据信息，得0分。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注：运营数据信息包括：本市注册用户数量、运营维护网格划分、运营维护人员数量和中转维保场地等信息、本市注册用户资金管理情况以及其他相关材料。</w:t>
            </w:r>
          </w:p>
        </w:tc>
      </w:tr>
      <w:tr>
        <w:tblPrEx>
          <w:tblCellMar>
            <w:top w:w="0" w:type="dxa"/>
            <w:left w:w="108" w:type="dxa"/>
            <w:bottom w:w="0" w:type="dxa"/>
            <w:right w:w="108" w:type="dxa"/>
          </w:tblCellMar>
        </w:tblPrEx>
        <w:trPr>
          <w:trHeight w:val="9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业监管服务平台数据接入情况（3分）：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企业运营数据按要求真实、完整接入行业监管服务平台的，得3分；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企业运营数据接入不完整、或者存在虚假的，得1分；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未按要求接入数据的，得0分；</w:t>
            </w:r>
          </w:p>
        </w:tc>
      </w:tr>
      <w:tr>
        <w:tblPrEx>
          <w:tblCellMar>
            <w:top w:w="0" w:type="dxa"/>
            <w:left w:w="108" w:type="dxa"/>
            <w:bottom w:w="0" w:type="dxa"/>
            <w:right w:w="108" w:type="dxa"/>
          </w:tblCellMar>
        </w:tblPrEx>
        <w:trPr>
          <w:trHeight w:val="222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额外奖惩份数</w:t>
            </w:r>
          </w:p>
        </w:tc>
        <w:tc>
          <w:tcPr>
            <w:tcW w:w="43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95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媒体报道情况（包括正面和负面报道），在上述各项总分计算之外额外加减</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因企业服务原因被新闻媒体负面曝光的情况，以及媒体对企业管理服务进行正面报道的情况</w:t>
            </w:r>
          </w:p>
        </w:tc>
        <w:tc>
          <w:tcPr>
            <w:tcW w:w="46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媒体进行负面报道，在报道中点名批评，或者在负面报道中使用该企业车辆现场乱象作为报道图片的，每一宗负面报道扣1分；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媒体进行正面报道，在报道中点名表扬，或者正面报道中使用该企业车辆现场照片作为报道图片的，每一宗正面报道加1分。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注：①各企业按照相关媒体媒体报道情况分别加减后确定本项综合加减分数，其中，综合加减分数小于-5分的，以-5分计算，综合加减分数大于5分的，以5分计算。</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②报道信息来源为政府相关部门收集或者企业提供信息。其中，企业提供的报道信息，经管理部门认定符合标准后才作为评分依据。</w:t>
            </w:r>
          </w:p>
        </w:tc>
      </w:tr>
    </w:tbl>
    <w:p>
      <w:pPr>
        <w:pStyle w:val="28"/>
        <w:ind w:left="0" w:leftChars="0" w:firstLine="0" w:firstLineChars="0"/>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备注：“交投小龙”运营商参照本标准评分考核。</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18</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18</w:t>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94CF1"/>
    <w:multiLevelType w:val="singleLevel"/>
    <w:tmpl w:val="81194CF1"/>
    <w:lvl w:ilvl="0" w:tentative="0">
      <w:start w:val="1"/>
      <w:numFmt w:val="chineseCounting"/>
      <w:suff w:val="nothing"/>
      <w:lvlText w:val="%1、"/>
      <w:lvlJc w:val="left"/>
      <w:pPr>
        <w:ind w:left="0" w:firstLine="420"/>
      </w:pPr>
      <w:rPr>
        <w:rFonts w:hint="eastAsia" w:ascii="宋体" w:hAnsi="宋体" w:eastAsia="宋体" w:cs="宋体"/>
        <w:sz w:val="21"/>
        <w:szCs w:val="21"/>
      </w:rPr>
    </w:lvl>
  </w:abstractNum>
  <w:abstractNum w:abstractNumId="1">
    <w:nsid w:val="97A1AA44"/>
    <w:multiLevelType w:val="singleLevel"/>
    <w:tmpl w:val="97A1AA44"/>
    <w:lvl w:ilvl="0" w:tentative="0">
      <w:start w:val="1"/>
      <w:numFmt w:val="decimal"/>
      <w:lvlText w:val="%1."/>
      <w:lvlJc w:val="left"/>
      <w:pPr>
        <w:ind w:left="425" w:hanging="425"/>
      </w:pPr>
      <w:rPr>
        <w:rFonts w:hint="default" w:ascii="宋体" w:hAnsi="宋体" w:eastAsia="宋体" w:cs="宋体"/>
      </w:rPr>
    </w:lvl>
  </w:abstractNum>
  <w:abstractNum w:abstractNumId="2">
    <w:nsid w:val="AE0DB8E2"/>
    <w:multiLevelType w:val="singleLevel"/>
    <w:tmpl w:val="AE0DB8E2"/>
    <w:lvl w:ilvl="0" w:tentative="0">
      <w:start w:val="1"/>
      <w:numFmt w:val="decimal"/>
      <w:lvlText w:val="%1)"/>
      <w:lvlJc w:val="left"/>
      <w:pPr>
        <w:ind w:left="425" w:hanging="425"/>
      </w:pPr>
      <w:rPr>
        <w:rFonts w:hint="default" w:ascii="宋体" w:hAnsi="宋体" w:eastAsia="宋体" w:cs="宋体"/>
      </w:rPr>
    </w:lvl>
  </w:abstractNum>
  <w:abstractNum w:abstractNumId="3">
    <w:nsid w:val="DD64C6C3"/>
    <w:multiLevelType w:val="singleLevel"/>
    <w:tmpl w:val="DD64C6C3"/>
    <w:lvl w:ilvl="0" w:tentative="0">
      <w:start w:val="1"/>
      <w:numFmt w:val="lowerLetter"/>
      <w:lvlText w:val="%1."/>
      <w:lvlJc w:val="left"/>
      <w:pPr>
        <w:tabs>
          <w:tab w:val="left" w:pos="312"/>
        </w:tabs>
      </w:pPr>
    </w:lvl>
  </w:abstractNum>
  <w:abstractNum w:abstractNumId="4">
    <w:nsid w:val="3C7F1223"/>
    <w:multiLevelType w:val="multilevel"/>
    <w:tmpl w:val="3C7F1223"/>
    <w:lvl w:ilvl="0" w:tentative="0">
      <w:start w:val="1"/>
      <w:numFmt w:val="decimal"/>
      <w:lvlText w:val="%1"/>
      <w:lvlJc w:val="left"/>
      <w:pPr>
        <w:ind w:left="432" w:hanging="432"/>
      </w:pPr>
      <w:rPr>
        <w:rFonts w:hint="eastAsia" w:cs="Times New Roman"/>
      </w:rPr>
    </w:lvl>
    <w:lvl w:ilvl="1" w:tentative="0">
      <w:start w:val="1"/>
      <w:numFmt w:val="decimal"/>
      <w:pStyle w:val="10"/>
      <w:lvlText w:val="%1.%2"/>
      <w:lvlJc w:val="left"/>
      <w:pPr>
        <w:ind w:left="786" w:hanging="576"/>
      </w:pPr>
      <w:rPr>
        <w:rFonts w:hint="default" w:cs="Times New Roman"/>
        <w:i w:val="0"/>
        <w:iCs w:val="0"/>
        <w:caps w:val="0"/>
        <w:smallCaps w:val="0"/>
        <w:strike w:val="0"/>
        <w:dstrike w:val="0"/>
        <w:vanish w:val="0"/>
        <w:color w:val="000000"/>
        <w:spacing w:val="0"/>
        <w:kern w:val="0"/>
        <w:position w:val="0"/>
        <w:sz w:val="28"/>
        <w:szCs w:val="28"/>
        <w:u w:val="none"/>
        <w:vertAlign w:val="baseline"/>
      </w:rPr>
    </w:lvl>
    <w:lvl w:ilvl="2" w:tentative="0">
      <w:start w:val="1"/>
      <w:numFmt w:val="decimal"/>
      <w:lvlText w:val="%1.%2.%3"/>
      <w:lvlJc w:val="left"/>
      <w:pPr>
        <w:ind w:left="720" w:hanging="720"/>
      </w:pPr>
      <w:rPr>
        <w:rFonts w:hint="eastAsia" w:cs="Times New Roman"/>
      </w:rPr>
    </w:lvl>
    <w:lvl w:ilvl="3" w:tentative="0">
      <w:start w:val="1"/>
      <w:numFmt w:val="decimal"/>
      <w:lvlText w:val="%1.%2.%3.%4"/>
      <w:lvlJc w:val="left"/>
      <w:pPr>
        <w:ind w:left="864" w:hanging="864"/>
      </w:pPr>
      <w:rPr>
        <w:rFonts w:hint="eastAsia" w:cs="Times New Roman"/>
      </w:rPr>
    </w:lvl>
    <w:lvl w:ilvl="4" w:tentative="0">
      <w:start w:val="1"/>
      <w:numFmt w:val="decimal"/>
      <w:lvlText w:val="%1.%2.%3.%4.%5"/>
      <w:lvlJc w:val="left"/>
      <w:pPr>
        <w:ind w:left="1008" w:hanging="1008"/>
      </w:pPr>
      <w:rPr>
        <w:rFonts w:hint="eastAsia" w:cs="Times New Roman"/>
      </w:rPr>
    </w:lvl>
    <w:lvl w:ilvl="5" w:tentative="0">
      <w:start w:val="1"/>
      <w:numFmt w:val="decimal"/>
      <w:lvlText w:val="%1.%2.%3.%4.%5.%6"/>
      <w:lvlJc w:val="left"/>
      <w:pPr>
        <w:ind w:left="1152" w:hanging="1152"/>
      </w:pPr>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5">
    <w:nsid w:val="44451D2B"/>
    <w:multiLevelType w:val="singleLevel"/>
    <w:tmpl w:val="44451D2B"/>
    <w:lvl w:ilvl="0" w:tentative="0">
      <w:start w:val="1"/>
      <w:numFmt w:val="decimal"/>
      <w:lvlText w:val="(%1)"/>
      <w:lvlJc w:val="left"/>
      <w:pPr>
        <w:ind w:left="425" w:hanging="425"/>
      </w:pPr>
      <w:rPr>
        <w:rFonts w:hint="default"/>
      </w:rPr>
    </w:lvl>
  </w:abstractNum>
  <w:abstractNum w:abstractNumId="6">
    <w:nsid w:val="544CBDBA"/>
    <w:multiLevelType w:val="singleLevel"/>
    <w:tmpl w:val="544CBDBA"/>
    <w:lvl w:ilvl="0" w:tentative="0">
      <w:start w:val="1"/>
      <w:numFmt w:val="chineseCounting"/>
      <w:suff w:val="nothing"/>
      <w:lvlText w:val="%1、"/>
      <w:lvlJc w:val="left"/>
      <w:pPr>
        <w:tabs>
          <w:tab w:val="left" w:pos="0"/>
        </w:tabs>
        <w:ind w:left="0" w:firstLine="0"/>
      </w:pPr>
      <w:rPr>
        <w:rFonts w:hint="eastAsia"/>
      </w:rPr>
    </w:lvl>
  </w:abstractNum>
  <w:abstractNum w:abstractNumId="7">
    <w:nsid w:val="792BD2F3"/>
    <w:multiLevelType w:val="singleLevel"/>
    <w:tmpl w:val="792BD2F3"/>
    <w:lvl w:ilvl="0" w:tentative="0">
      <w:start w:val="1"/>
      <w:numFmt w:val="decimal"/>
      <w:lvlText w:val="%1."/>
      <w:lvlJc w:val="left"/>
      <w:pPr>
        <w:tabs>
          <w:tab w:val="left" w:pos="312"/>
        </w:tabs>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02680"/>
    <w:rsid w:val="022240B3"/>
    <w:rsid w:val="03CD3BB8"/>
    <w:rsid w:val="053807F8"/>
    <w:rsid w:val="05DA330A"/>
    <w:rsid w:val="0C0A40EC"/>
    <w:rsid w:val="0C2E5244"/>
    <w:rsid w:val="0DCE25C5"/>
    <w:rsid w:val="12BA1309"/>
    <w:rsid w:val="136113CB"/>
    <w:rsid w:val="16731DD4"/>
    <w:rsid w:val="172945F8"/>
    <w:rsid w:val="172B1EE6"/>
    <w:rsid w:val="1EF716A4"/>
    <w:rsid w:val="1F71458F"/>
    <w:rsid w:val="22056497"/>
    <w:rsid w:val="2541451C"/>
    <w:rsid w:val="2C7C0AB6"/>
    <w:rsid w:val="3439190E"/>
    <w:rsid w:val="3C932E9F"/>
    <w:rsid w:val="3D85580F"/>
    <w:rsid w:val="3EB7701C"/>
    <w:rsid w:val="3FF51B86"/>
    <w:rsid w:val="47216B52"/>
    <w:rsid w:val="49ED3969"/>
    <w:rsid w:val="4A032442"/>
    <w:rsid w:val="4D4772A2"/>
    <w:rsid w:val="4DA90FBB"/>
    <w:rsid w:val="51FD57CA"/>
    <w:rsid w:val="544C5379"/>
    <w:rsid w:val="5A20385E"/>
    <w:rsid w:val="5B233422"/>
    <w:rsid w:val="5E7F0468"/>
    <w:rsid w:val="5FAF1D8C"/>
    <w:rsid w:val="645C5501"/>
    <w:rsid w:val="64602680"/>
    <w:rsid w:val="66A9697F"/>
    <w:rsid w:val="6B2018FE"/>
    <w:rsid w:val="6F6D3DA5"/>
    <w:rsid w:val="791E4907"/>
    <w:rsid w:val="7A4570AE"/>
    <w:rsid w:val="7C2158D4"/>
    <w:rsid w:val="7E7C0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9">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10">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cs="Arial"/>
      <w:b/>
      <w:bCs/>
      <w:kern w:val="0"/>
      <w:sz w:val="32"/>
      <w:szCs w:val="32"/>
    </w:rPr>
  </w:style>
  <w:style w:type="paragraph" w:styleId="11">
    <w:name w:val="heading 3"/>
    <w:basedOn w:val="1"/>
    <w:next w:val="12"/>
    <w:qFormat/>
    <w:uiPriority w:val="0"/>
    <w:pPr>
      <w:keepNext/>
      <w:keepLines/>
      <w:pBdr>
        <w:top w:val="none" w:color="000000" w:sz="0" w:space="3"/>
        <w:left w:val="none" w:color="000000" w:sz="0" w:space="3"/>
        <w:bottom w:val="none" w:color="000000" w:sz="0" w:space="3"/>
        <w:right w:val="none" w:color="000000" w:sz="0" w:space="3"/>
      </w:pBdr>
      <w:spacing w:before="260" w:after="260" w:line="360" w:lineRule="auto"/>
      <w:ind w:firstLine="602"/>
      <w:outlineLvl w:val="2"/>
    </w:pPr>
    <w:rPr>
      <w:rFonts w:ascii="仿宋_GB2312" w:hAnsi="仿宋_GB2312" w:eastAsia="仿宋_GB2312"/>
      <w:b/>
      <w:bCs/>
      <w:sz w:val="30"/>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szCs w:val="24"/>
    </w:rPr>
  </w:style>
  <w:style w:type="paragraph" w:styleId="3">
    <w:name w:val="Body Text Indent"/>
    <w:basedOn w:val="1"/>
    <w:next w:val="4"/>
    <w:qFormat/>
    <w:uiPriority w:val="0"/>
    <w:pPr>
      <w:spacing w:after="120"/>
      <w:ind w:left="420" w:leftChars="200"/>
    </w:pPr>
  </w:style>
  <w:style w:type="paragraph" w:styleId="4">
    <w:name w:val="envelope return"/>
    <w:basedOn w:val="1"/>
    <w:semiHidden/>
    <w:qFormat/>
    <w:uiPriority w:val="0"/>
    <w:pPr>
      <w:snapToGrid w:val="0"/>
      <w:jc w:val="left"/>
    </w:pPr>
    <w:rPr>
      <w:rFonts w:ascii="Arial" w:hAnsi="Arial" w:eastAsia="DFKai-SB" w:cs="Arial"/>
      <w:sz w:val="28"/>
      <w:lang w:eastAsia="zh-TW"/>
    </w:rPr>
  </w:style>
  <w:style w:type="paragraph" w:styleId="5">
    <w:name w:val="Body Text First Indent"/>
    <w:basedOn w:val="6"/>
    <w:next w:val="8"/>
    <w:qFormat/>
    <w:uiPriority w:val="0"/>
    <w:pPr>
      <w:ind w:firstLine="420" w:firstLineChars="100"/>
    </w:pPr>
  </w:style>
  <w:style w:type="paragraph" w:styleId="6">
    <w:name w:val="Body Text"/>
    <w:basedOn w:val="1"/>
    <w:next w:val="7"/>
    <w:qFormat/>
    <w:uiPriority w:val="0"/>
    <w:pPr>
      <w:spacing w:after="120" w:afterLines="0"/>
    </w:pPr>
  </w:style>
  <w:style w:type="paragraph" w:customStyle="1" w:styleId="7">
    <w:name w:val="Default"/>
    <w:next w:val="1"/>
    <w:qFormat/>
    <w:uiPriority w:val="0"/>
    <w:pPr>
      <w:widowControl w:val="0"/>
      <w:autoSpaceDE w:val="0"/>
      <w:autoSpaceDN w:val="0"/>
      <w:adjustRightInd w:val="0"/>
    </w:pPr>
    <w:rPr>
      <w:rFonts w:ascii="Arial" w:hAnsi="Arial" w:eastAsia="宋体" w:cs="Times New Roman"/>
      <w:color w:val="000000"/>
      <w:sz w:val="24"/>
      <w:lang w:val="en-US" w:eastAsia="zh-CN" w:bidi="ar-SA"/>
    </w:rPr>
  </w:style>
  <w:style w:type="paragraph" w:styleId="8">
    <w:name w:val="toc 6"/>
    <w:basedOn w:val="1"/>
    <w:next w:val="1"/>
    <w:qFormat/>
    <w:uiPriority w:val="0"/>
    <w:pPr>
      <w:ind w:left="1400"/>
      <w:jc w:val="left"/>
    </w:pPr>
    <w:rPr>
      <w:rFonts w:ascii="Calibri" w:hAnsi="Calibri"/>
      <w:sz w:val="18"/>
    </w:rPr>
  </w:style>
  <w:style w:type="paragraph" w:styleId="12">
    <w:name w:val="Normal Indent"/>
    <w:basedOn w:val="1"/>
    <w:qFormat/>
    <w:uiPriority w:val="99"/>
    <w:pPr>
      <w:ind w:firstLine="420"/>
    </w:pPr>
    <w:rPr>
      <w:szCs w:val="20"/>
    </w:rPr>
  </w:style>
  <w:style w:type="paragraph" w:styleId="13">
    <w:name w:val="annotation text"/>
    <w:basedOn w:val="1"/>
    <w:qFormat/>
    <w:uiPriority w:val="0"/>
    <w:pPr>
      <w:jc w:val="left"/>
    </w:pPr>
  </w:style>
  <w:style w:type="paragraph" w:styleId="14">
    <w:name w:val="Plain Text"/>
    <w:basedOn w:val="1"/>
    <w:next w:val="1"/>
    <w:qFormat/>
    <w:uiPriority w:val="99"/>
    <w:rPr>
      <w:rFonts w:ascii="宋体" w:hAnsi="Courier New"/>
      <w:szCs w:val="20"/>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39"/>
    <w:pPr>
      <w:tabs>
        <w:tab w:val="right" w:leader="dot" w:pos="8302"/>
      </w:tabs>
      <w:jc w:val="center"/>
    </w:p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Fließtext"/>
    <w:basedOn w:val="1"/>
    <w:qFormat/>
    <w:uiPriority w:val="99"/>
    <w:pPr>
      <w:overflowPunct w:val="0"/>
      <w:autoSpaceDE w:val="0"/>
      <w:autoSpaceDN w:val="0"/>
      <w:adjustRightInd w:val="0"/>
      <w:textAlignment w:val="baseline"/>
    </w:pPr>
    <w:rPr>
      <w:kern w:val="28"/>
      <w:szCs w:val="20"/>
    </w:rPr>
  </w:style>
  <w:style w:type="paragraph" w:customStyle="1" w:styleId="23">
    <w:name w:val="列出段落1"/>
    <w:basedOn w:val="1"/>
    <w:qFormat/>
    <w:uiPriority w:val="99"/>
    <w:pPr>
      <w:ind w:firstLine="420" w:firstLineChars="200"/>
    </w:pPr>
  </w:style>
  <w:style w:type="paragraph" w:styleId="24">
    <w:name w:val="List Paragraph"/>
    <w:basedOn w:val="1"/>
    <w:unhideWhenUsed/>
    <w:qFormat/>
    <w:uiPriority w:val="34"/>
    <w:pPr>
      <w:ind w:firstLine="420" w:firstLineChars="200"/>
    </w:pPr>
  </w:style>
  <w:style w:type="character" w:customStyle="1" w:styleId="25">
    <w:name w:val="font01"/>
    <w:basedOn w:val="21"/>
    <w:qFormat/>
    <w:uiPriority w:val="0"/>
    <w:rPr>
      <w:rFonts w:hint="eastAsia" w:ascii="宋体" w:hAnsi="宋体" w:eastAsia="宋体" w:cs="宋体"/>
      <w:color w:val="000000"/>
      <w:sz w:val="24"/>
      <w:szCs w:val="24"/>
      <w:u w:val="none"/>
    </w:rPr>
  </w:style>
  <w:style w:type="character" w:customStyle="1" w:styleId="26">
    <w:name w:val="font51"/>
    <w:basedOn w:val="21"/>
    <w:qFormat/>
    <w:uiPriority w:val="0"/>
    <w:rPr>
      <w:rFonts w:hint="eastAsia" w:ascii="宋体" w:hAnsi="宋体" w:eastAsia="宋体" w:cs="宋体"/>
      <w:color w:val="000000"/>
      <w:sz w:val="22"/>
      <w:szCs w:val="22"/>
      <w:u w:val="none"/>
    </w:rPr>
  </w:style>
  <w:style w:type="character" w:customStyle="1" w:styleId="27">
    <w:name w:val="font31"/>
    <w:basedOn w:val="21"/>
    <w:qFormat/>
    <w:uiPriority w:val="0"/>
    <w:rPr>
      <w:rFonts w:hint="eastAsia" w:ascii="宋体" w:hAnsi="宋体" w:eastAsia="宋体" w:cs="宋体"/>
      <w:color w:val="000000"/>
      <w:sz w:val="22"/>
      <w:szCs w:val="22"/>
      <w:u w:val="none"/>
    </w:rPr>
  </w:style>
  <w:style w:type="paragraph" w:customStyle="1" w:styleId="28">
    <w:name w:val="正文首行缩进 21"/>
    <w:basedOn w:val="29"/>
    <w:qFormat/>
    <w:uiPriority w:val="0"/>
    <w:pPr>
      <w:ind w:firstLine="420"/>
    </w:pPr>
  </w:style>
  <w:style w:type="paragraph" w:customStyle="1" w:styleId="29">
    <w:name w:val="正文文本缩进1"/>
    <w:basedOn w:val="1"/>
    <w:qFormat/>
    <w:uiPriority w:val="0"/>
    <w:pPr>
      <w:spacing w:after="120"/>
      <w:ind w:left="420" w:leftChars="200"/>
    </w:pPr>
  </w:style>
  <w:style w:type="paragraph" w:customStyle="1" w:styleId="3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2022-03-19T14:44:00Z</dcterms:created>
  <dc:creator> Emily</dc:creator>
  <cp:lastModifiedBy>Administrator</cp:lastModifiedBy>
  <cp:lastPrinted>2022-03-24T06:45:00Z</cp:lastPrinted>
  <dcterms:modified xsi:type="dcterms:W3CDTF">2022-04-13T08:29:35Z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AEBA0FBEB1AF42368D302E2A0D881AB5</vt:lpwstr>
  </property>
</Properties>
</file>