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640" w:firstLineChars="200"/>
        <w:rPr>
          <w:rFonts w:ascii="仿宋" w:hAnsi="仿宋" w:eastAsia="仿宋" w:cs="仿宋"/>
          <w:color w:val="auto"/>
          <w:sz w:val="32"/>
          <w:szCs w:val="32"/>
        </w:rPr>
      </w:pPr>
    </w:p>
    <w:p>
      <w:pPr>
        <w:adjustRightInd w:val="0"/>
        <w:snapToGrid w:val="0"/>
        <w:spacing w:line="600" w:lineRule="exact"/>
        <w:ind w:firstLine="640" w:firstLineChars="200"/>
        <w:rPr>
          <w:rFonts w:ascii="仿宋" w:hAnsi="仿宋" w:eastAsia="仿宋" w:cs="仿宋"/>
          <w:color w:val="auto"/>
          <w:sz w:val="32"/>
          <w:szCs w:val="32"/>
        </w:rPr>
      </w:pPr>
    </w:p>
    <w:p>
      <w:pPr>
        <w:adjustRightInd w:val="0"/>
        <w:snapToGrid w:val="0"/>
        <w:spacing w:line="600" w:lineRule="exact"/>
        <w:ind w:firstLine="640" w:firstLineChars="200"/>
        <w:rPr>
          <w:rFonts w:ascii="仿宋" w:hAnsi="仿宋" w:eastAsia="仿宋" w:cs="仿宋"/>
          <w:color w:val="auto"/>
          <w:sz w:val="32"/>
          <w:szCs w:val="32"/>
        </w:rPr>
      </w:pPr>
    </w:p>
    <w:p>
      <w:pPr>
        <w:adjustRightInd w:val="0"/>
        <w:snapToGrid w:val="0"/>
        <w:spacing w:line="600" w:lineRule="exact"/>
        <w:ind w:firstLine="640" w:firstLineChars="200"/>
        <w:rPr>
          <w:rFonts w:ascii="仿宋" w:hAnsi="仿宋" w:eastAsia="仿宋" w:cs="仿宋"/>
          <w:color w:val="auto"/>
          <w:sz w:val="32"/>
          <w:szCs w:val="32"/>
        </w:rPr>
      </w:pPr>
    </w:p>
    <w:p>
      <w:pPr>
        <w:adjustRightInd w:val="0"/>
        <w:snapToGrid w:val="0"/>
        <w:spacing w:line="720" w:lineRule="exact"/>
        <w:jc w:val="center"/>
        <w:rPr>
          <w:rFonts w:ascii="方正小标宋简体" w:eastAsia="方正小标宋简体" w:cs="方正小标宋简体" w:hAnsiTheme="minorEastAsia"/>
          <w:bCs/>
          <w:color w:val="auto"/>
          <w:sz w:val="36"/>
          <w:szCs w:val="36"/>
        </w:rPr>
      </w:pPr>
      <w:r>
        <w:rPr>
          <w:rFonts w:hint="eastAsia" w:ascii="方正小标宋简体" w:eastAsia="方正小标宋简体" w:cs="方正小标宋简体" w:hAnsiTheme="minorEastAsia"/>
          <w:bCs/>
          <w:color w:val="auto"/>
          <w:sz w:val="36"/>
          <w:szCs w:val="36"/>
        </w:rPr>
        <w:t>海陵岛经济开发试验区国民经济和社会发展</w:t>
      </w:r>
    </w:p>
    <w:p>
      <w:pPr>
        <w:adjustRightInd w:val="0"/>
        <w:snapToGrid w:val="0"/>
        <w:spacing w:line="720" w:lineRule="exact"/>
        <w:jc w:val="center"/>
        <w:rPr>
          <w:rFonts w:hint="eastAsia" w:ascii="方正小标宋简体" w:eastAsia="方正小标宋简体" w:cs="方正小标宋简体" w:hAnsiTheme="minorEastAsia"/>
          <w:bCs/>
          <w:color w:val="auto"/>
          <w:sz w:val="36"/>
          <w:szCs w:val="36"/>
        </w:rPr>
      </w:pPr>
      <w:r>
        <w:rPr>
          <w:rFonts w:hint="eastAsia" w:ascii="方正小标宋简体" w:eastAsia="方正小标宋简体" w:cs="方正小标宋简体" w:hAnsiTheme="minorEastAsia"/>
          <w:bCs/>
          <w:color w:val="auto"/>
          <w:sz w:val="36"/>
          <w:szCs w:val="36"/>
        </w:rPr>
        <w:t>第十四个五年规划和二〇三五年远景目标纲要</w:t>
      </w:r>
    </w:p>
    <w:p>
      <w:pPr>
        <w:pStyle w:val="2"/>
        <w:jc w:val="center"/>
        <w:rPr>
          <w:rFonts w:hint="eastAsia" w:eastAsia="方正小标宋简体"/>
          <w:lang w:eastAsia="zh-CN"/>
        </w:rPr>
      </w:pPr>
      <w:r>
        <w:rPr>
          <w:rFonts w:hint="eastAsia" w:ascii="方正小标宋简体" w:eastAsia="方正小标宋简体" w:cs="方正小标宋简体" w:hAnsiTheme="minorEastAsia"/>
          <w:bCs/>
          <w:color w:val="auto"/>
          <w:sz w:val="36"/>
          <w:szCs w:val="36"/>
          <w:lang w:eastAsia="zh-CN"/>
        </w:rPr>
        <w:t>（征求意见稿）</w:t>
      </w:r>
      <w:bookmarkStart w:id="300" w:name="_GoBack"/>
      <w:bookmarkEnd w:id="300"/>
    </w:p>
    <w:p>
      <w:pPr>
        <w:adjustRightInd w:val="0"/>
        <w:snapToGrid w:val="0"/>
        <w:spacing w:line="600" w:lineRule="exact"/>
        <w:ind w:firstLine="640" w:firstLineChars="200"/>
        <w:rPr>
          <w:rFonts w:ascii="仿宋" w:hAnsi="仿宋" w:eastAsia="仿宋" w:cs="仿宋"/>
          <w:color w:val="auto"/>
          <w:sz w:val="32"/>
          <w:szCs w:val="32"/>
        </w:rPr>
      </w:pPr>
    </w:p>
    <w:p>
      <w:pPr>
        <w:adjustRightInd w:val="0"/>
        <w:snapToGrid w:val="0"/>
        <w:spacing w:line="600" w:lineRule="exact"/>
        <w:ind w:firstLine="640" w:firstLineChars="200"/>
        <w:rPr>
          <w:rFonts w:ascii="仿宋" w:hAnsi="仿宋" w:eastAsia="仿宋" w:cs="仿宋"/>
          <w:color w:val="auto"/>
          <w:sz w:val="32"/>
          <w:szCs w:val="32"/>
        </w:rPr>
      </w:pPr>
    </w:p>
    <w:p>
      <w:pPr>
        <w:adjustRightInd w:val="0"/>
        <w:snapToGrid w:val="0"/>
        <w:spacing w:line="720" w:lineRule="exact"/>
        <w:jc w:val="center"/>
        <w:rPr>
          <w:rFonts w:ascii="方正小标宋简体" w:eastAsia="方正小标宋简体" w:cs="方正小标宋简体" w:hAnsiTheme="minorEastAsia"/>
          <w:bCs/>
          <w:color w:val="auto"/>
          <w:sz w:val="48"/>
          <w:szCs w:val="48"/>
        </w:rPr>
      </w:pPr>
    </w:p>
    <w:p>
      <w:pPr>
        <w:adjustRightInd w:val="0"/>
        <w:snapToGrid w:val="0"/>
        <w:spacing w:line="600" w:lineRule="exact"/>
        <w:rPr>
          <w:rFonts w:ascii="仿宋" w:hAnsi="仿宋" w:eastAsia="仿宋"/>
          <w:color w:val="auto"/>
          <w:sz w:val="32"/>
          <w:szCs w:val="32"/>
        </w:rPr>
      </w:pPr>
    </w:p>
    <w:p>
      <w:pPr>
        <w:adjustRightInd w:val="0"/>
        <w:snapToGrid w:val="0"/>
        <w:spacing w:line="600" w:lineRule="exact"/>
        <w:rPr>
          <w:rFonts w:ascii="仿宋" w:hAnsi="仿宋" w:eastAsia="仿宋"/>
          <w:color w:val="auto"/>
          <w:sz w:val="36"/>
          <w:szCs w:val="36"/>
        </w:rPr>
      </w:pPr>
    </w:p>
    <w:p>
      <w:pPr>
        <w:adjustRightInd w:val="0"/>
        <w:snapToGrid w:val="0"/>
        <w:spacing w:line="600" w:lineRule="exact"/>
        <w:rPr>
          <w:rFonts w:ascii="仿宋" w:hAnsi="仿宋" w:eastAsia="仿宋"/>
          <w:color w:val="auto"/>
          <w:sz w:val="32"/>
          <w:szCs w:val="32"/>
        </w:rPr>
      </w:pPr>
    </w:p>
    <w:p>
      <w:pPr>
        <w:adjustRightInd w:val="0"/>
        <w:snapToGrid w:val="0"/>
        <w:spacing w:line="600" w:lineRule="exact"/>
        <w:rPr>
          <w:rFonts w:ascii="仿宋" w:hAnsi="仿宋" w:eastAsia="仿宋"/>
          <w:color w:val="auto"/>
          <w:sz w:val="32"/>
          <w:szCs w:val="32"/>
        </w:rPr>
      </w:pPr>
    </w:p>
    <w:p>
      <w:pPr>
        <w:adjustRightInd w:val="0"/>
        <w:snapToGrid w:val="0"/>
        <w:spacing w:line="600" w:lineRule="exact"/>
        <w:rPr>
          <w:rFonts w:ascii="仿宋" w:hAnsi="仿宋" w:eastAsia="仿宋"/>
          <w:color w:val="auto"/>
          <w:sz w:val="32"/>
          <w:szCs w:val="32"/>
        </w:rPr>
      </w:pPr>
      <w:bookmarkStart w:id="0" w:name="_Toc2907"/>
    </w:p>
    <w:p>
      <w:pPr>
        <w:adjustRightInd w:val="0"/>
        <w:snapToGrid w:val="0"/>
        <w:spacing w:line="600" w:lineRule="exact"/>
        <w:rPr>
          <w:rFonts w:ascii="仿宋" w:hAnsi="仿宋" w:eastAsia="仿宋"/>
          <w:color w:val="auto"/>
          <w:sz w:val="32"/>
          <w:szCs w:val="32"/>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rFonts w:hint="eastAsia"/>
          <w:color w:val="auto"/>
        </w:rPr>
      </w:pPr>
    </w:p>
    <w:bookmarkEnd w:id="0"/>
    <w:p>
      <w:pPr>
        <w:adjustRightInd w:val="0"/>
        <w:snapToGrid w:val="0"/>
        <w:spacing w:line="600" w:lineRule="exact"/>
        <w:ind w:firstLine="643"/>
        <w:jc w:val="center"/>
        <w:rPr>
          <w:rFonts w:ascii="仿宋" w:hAnsi="仿宋" w:eastAsia="仿宋" w:cs="仿宋_GB2312"/>
          <w:b/>
          <w:bCs/>
          <w:color w:val="auto"/>
          <w:sz w:val="32"/>
          <w:szCs w:val="32"/>
        </w:rPr>
      </w:pPr>
      <w:bookmarkStart w:id="1" w:name="_Toc8501"/>
    </w:p>
    <w:p>
      <w:pPr>
        <w:adjustRightInd w:val="0"/>
        <w:snapToGrid w:val="0"/>
        <w:spacing w:line="600" w:lineRule="exact"/>
        <w:ind w:firstLine="643"/>
        <w:jc w:val="center"/>
        <w:rPr>
          <w:rFonts w:ascii="仿宋" w:hAnsi="仿宋" w:eastAsia="仿宋" w:cs="仿宋_GB2312"/>
          <w:b/>
          <w:bCs/>
          <w:color w:val="auto"/>
          <w:sz w:val="32"/>
          <w:szCs w:val="32"/>
        </w:rPr>
      </w:pPr>
    </w:p>
    <w:p>
      <w:pPr>
        <w:spacing w:after="120"/>
        <w:jc w:val="center"/>
        <w:rPr>
          <w:rFonts w:hint="eastAsia" w:ascii="楷体_GB2312" w:hAnsi="楷体" w:eastAsia="楷体_GB2312"/>
          <w:color w:val="auto"/>
          <w:sz w:val="32"/>
          <w:szCs w:val="32"/>
        </w:rPr>
      </w:pPr>
      <w:r>
        <w:rPr>
          <w:rFonts w:hint="eastAsia" w:ascii="楷体_GB2312" w:hAnsi="楷体" w:eastAsia="楷体_GB2312"/>
          <w:color w:val="auto"/>
          <w:sz w:val="32"/>
          <w:szCs w:val="32"/>
        </w:rPr>
        <w:t>202</w:t>
      </w:r>
      <w:r>
        <w:rPr>
          <w:rFonts w:ascii="楷体_GB2312" w:hAnsi="楷体" w:eastAsia="楷体_GB2312"/>
          <w:color w:val="auto"/>
          <w:sz w:val="32"/>
          <w:szCs w:val="32"/>
        </w:rPr>
        <w:t>1</w:t>
      </w:r>
      <w:r>
        <w:rPr>
          <w:rFonts w:hint="eastAsia" w:ascii="楷体_GB2312" w:hAnsi="楷体" w:eastAsia="楷体_GB2312"/>
          <w:color w:val="auto"/>
          <w:sz w:val="32"/>
          <w:szCs w:val="32"/>
        </w:rPr>
        <w:t>年</w:t>
      </w:r>
      <w:r>
        <w:rPr>
          <w:rFonts w:hint="eastAsia" w:ascii="楷体_GB2312" w:hAnsi="楷体" w:eastAsia="楷体_GB2312"/>
          <w:color w:val="auto"/>
          <w:sz w:val="32"/>
          <w:szCs w:val="32"/>
          <w:lang w:val="en-US" w:eastAsia="zh-CN"/>
        </w:rPr>
        <w:t>5</w:t>
      </w:r>
      <w:r>
        <w:rPr>
          <w:rFonts w:hint="eastAsia" w:ascii="楷体_GB2312" w:hAnsi="楷体" w:eastAsia="楷体_GB2312"/>
          <w:color w:val="auto"/>
          <w:sz w:val="32"/>
          <w:szCs w:val="32"/>
        </w:rPr>
        <w:t>月</w:t>
      </w:r>
      <w:bookmarkEnd w:id="1"/>
      <w:r>
        <w:rPr>
          <w:rFonts w:hint="eastAsia" w:ascii="楷体_GB2312" w:hAnsi="楷体" w:eastAsia="楷体_GB2312"/>
          <w:color w:val="auto"/>
          <w:sz w:val="32"/>
          <w:szCs w:val="32"/>
          <w:lang w:val="en-US" w:eastAsia="zh-CN"/>
        </w:rPr>
        <w:t>18</w:t>
      </w:r>
      <w:r>
        <w:rPr>
          <w:rFonts w:hint="eastAsia" w:ascii="楷体_GB2312" w:hAnsi="楷体" w:eastAsia="楷体_GB2312"/>
          <w:color w:val="auto"/>
          <w:sz w:val="32"/>
          <w:szCs w:val="32"/>
        </w:rPr>
        <w:t>日</w:t>
      </w:r>
    </w:p>
    <w:p>
      <w:pPr>
        <w:adjustRightInd w:val="0"/>
        <w:snapToGrid w:val="0"/>
        <w:spacing w:line="600" w:lineRule="exact"/>
        <w:rPr>
          <w:rFonts w:ascii="仿宋" w:hAnsi="仿宋" w:eastAsia="仿宋" w:cs="仿宋"/>
          <w:color w:val="auto"/>
          <w:sz w:val="32"/>
          <w:szCs w:val="32"/>
        </w:rPr>
        <w:sectPr>
          <w:pgSz w:w="11906" w:h="16838"/>
          <w:pgMar w:top="1440" w:right="1800" w:bottom="1440" w:left="1800" w:header="851" w:footer="992" w:gutter="0"/>
          <w:cols w:space="720" w:num="1"/>
          <w:docGrid w:type="lines" w:linePitch="312" w:charSpace="0"/>
        </w:sectPr>
      </w:pPr>
    </w:p>
    <w:p>
      <w:pPr>
        <w:adjustRightInd w:val="0"/>
        <w:snapToGrid w:val="0"/>
        <w:spacing w:line="600" w:lineRule="exact"/>
        <w:jc w:val="center"/>
        <w:rPr>
          <w:rFonts w:ascii="仿宋" w:hAnsi="仿宋" w:eastAsia="仿宋" w:cs="仿宋"/>
          <w:color w:val="auto"/>
          <w:sz w:val="32"/>
          <w:szCs w:val="32"/>
        </w:rPr>
      </w:pPr>
    </w:p>
    <w:sdt>
      <w:sdtPr>
        <w:rPr>
          <w:rFonts w:ascii="Calibri" w:hAnsi="Calibri" w:eastAsia="宋体" w:cs="Times New Roman"/>
          <w:bCs w:val="0"/>
          <w:color w:val="auto"/>
          <w:kern w:val="2"/>
          <w:sz w:val="21"/>
          <w:szCs w:val="24"/>
          <w:lang w:val="zh-CN"/>
        </w:rPr>
        <w:id w:val="-609807776"/>
        <w:docPartObj>
          <w:docPartGallery w:val="Table of Contents"/>
          <w:docPartUnique/>
        </w:docPartObj>
      </w:sdtPr>
      <w:sdtEndPr>
        <w:rPr>
          <w:rFonts w:ascii="Calibri" w:hAnsi="Calibri" w:eastAsia="宋体" w:cs="Times New Roman"/>
          <w:b/>
          <w:bCs w:val="0"/>
          <w:color w:val="auto"/>
          <w:kern w:val="2"/>
          <w:sz w:val="21"/>
          <w:szCs w:val="24"/>
          <w:lang w:val="zh-CN"/>
        </w:rPr>
      </w:sdtEndPr>
      <w:sdtContent>
        <w:p>
          <w:pPr>
            <w:pStyle w:val="35"/>
            <w:spacing w:before="0" w:line="600" w:lineRule="exact"/>
            <w:jc w:val="center"/>
            <w:rPr>
              <w:rFonts w:ascii="宋体" w:hAnsi="宋体" w:eastAsia="宋体"/>
              <w:b/>
              <w:bCs w:val="0"/>
              <w:color w:val="auto"/>
            </w:rPr>
          </w:pPr>
          <w:r>
            <w:rPr>
              <w:rFonts w:ascii="宋体" w:hAnsi="宋体" w:eastAsia="宋体"/>
              <w:b/>
              <w:bCs w:val="0"/>
              <w:color w:val="auto"/>
              <w:lang w:val="zh-CN"/>
            </w:rPr>
            <w:t>目</w:t>
          </w:r>
          <w:r>
            <w:rPr>
              <w:rFonts w:hint="eastAsia" w:ascii="宋体" w:hAnsi="宋体" w:eastAsia="宋体"/>
              <w:b/>
              <w:bCs w:val="0"/>
              <w:color w:val="auto"/>
              <w:lang w:val="zh-CN"/>
            </w:rPr>
            <w:t xml:space="preserve"> </w:t>
          </w:r>
          <w:r>
            <w:rPr>
              <w:rFonts w:ascii="宋体" w:hAnsi="宋体" w:eastAsia="宋体"/>
              <w:b/>
              <w:bCs w:val="0"/>
              <w:color w:val="auto"/>
              <w:lang w:val="zh-CN"/>
            </w:rPr>
            <w:t xml:space="preserve"> 录</w:t>
          </w:r>
        </w:p>
        <w:p>
          <w:pPr>
            <w:pStyle w:val="14"/>
            <w:tabs>
              <w:tab w:val="right" w:leader="dot" w:pos="8306"/>
            </w:tabs>
          </w:pPr>
          <w:r>
            <w:rPr>
              <w:color w:val="auto"/>
            </w:rPr>
            <w:fldChar w:fldCharType="begin"/>
          </w:r>
          <w:r>
            <w:rPr>
              <w:color w:val="auto"/>
            </w:rPr>
            <w:instrText xml:space="preserve"> TOC \o "1-3" \h \z \u </w:instrText>
          </w:r>
          <w:r>
            <w:rPr>
              <w:color w:val="auto"/>
            </w:rPr>
            <w:fldChar w:fldCharType="separate"/>
          </w:r>
          <w:r>
            <w:rPr>
              <w:color w:val="auto"/>
            </w:rPr>
            <w:fldChar w:fldCharType="begin"/>
          </w:r>
          <w:r>
            <w:instrText xml:space="preserve"> HYPERLINK \l _Toc3798 </w:instrText>
          </w:r>
          <w:r>
            <w:fldChar w:fldCharType="separate"/>
          </w:r>
          <w:r>
            <w:rPr>
              <w:rFonts w:hint="eastAsia" w:ascii="方正小标宋简体" w:eastAsia="方正小标宋简体" w:cs="仿宋" w:hAnsiTheme="minorEastAsia"/>
              <w:spacing w:val="-12"/>
              <w:szCs w:val="32"/>
            </w:rPr>
            <w:t>第一章 发展基础与环境</w:t>
          </w:r>
          <w:r>
            <w:tab/>
          </w:r>
          <w:r>
            <w:fldChar w:fldCharType="begin"/>
          </w:r>
          <w:r>
            <w:instrText xml:space="preserve"> PAGEREF _Toc3798 </w:instrText>
          </w:r>
          <w:r>
            <w:fldChar w:fldCharType="separate"/>
          </w:r>
          <w:r>
            <w:t>1</w:t>
          </w:r>
          <w:r>
            <w:fldChar w:fldCharType="end"/>
          </w:r>
          <w:r>
            <w:rPr>
              <w:color w:val="auto"/>
            </w:rPr>
            <w:fldChar w:fldCharType="end"/>
          </w:r>
        </w:p>
        <w:p>
          <w:pPr>
            <w:pStyle w:val="2"/>
            <w:tabs>
              <w:tab w:val="right" w:leader="dot" w:pos="8306"/>
            </w:tabs>
          </w:pPr>
          <w:r>
            <w:rPr>
              <w:bCs/>
              <w:color w:val="auto"/>
              <w:lang w:val="zh-CN"/>
            </w:rPr>
            <w:fldChar w:fldCharType="begin"/>
          </w:r>
          <w:r>
            <w:rPr>
              <w:bCs/>
              <w:lang w:val="zh-CN"/>
            </w:rPr>
            <w:instrText xml:space="preserve"> HYPERLINK \l _Toc27219 </w:instrText>
          </w:r>
          <w:r>
            <w:rPr>
              <w:bCs/>
              <w:lang w:val="zh-CN"/>
            </w:rPr>
            <w:fldChar w:fldCharType="separate"/>
          </w:r>
          <w:r>
            <w:rPr>
              <w:rFonts w:hint="eastAsia" w:ascii="黑体" w:hAnsi="黑体" w:eastAsia="黑体" w:cs="仿宋"/>
              <w:szCs w:val="32"/>
            </w:rPr>
            <w:t>第一节 “十三五”时期取得的发展成就</w:t>
          </w:r>
          <w:r>
            <w:tab/>
          </w:r>
          <w:r>
            <w:fldChar w:fldCharType="begin"/>
          </w:r>
          <w:r>
            <w:instrText xml:space="preserve"> PAGEREF _Toc27219 </w:instrText>
          </w:r>
          <w:r>
            <w:fldChar w:fldCharType="separate"/>
          </w:r>
          <w:r>
            <w:t>2</w:t>
          </w:r>
          <w:r>
            <w:fldChar w:fldCharType="end"/>
          </w:r>
          <w:r>
            <w:rPr>
              <w:bCs/>
              <w:color w:val="auto"/>
              <w:lang w:val="zh-CN"/>
            </w:rPr>
            <w:fldChar w:fldCharType="end"/>
          </w:r>
        </w:p>
        <w:p>
          <w:pPr>
            <w:pStyle w:val="2"/>
            <w:tabs>
              <w:tab w:val="right" w:leader="dot" w:pos="8306"/>
            </w:tabs>
          </w:pPr>
          <w:r>
            <w:rPr>
              <w:bCs/>
              <w:color w:val="auto"/>
              <w:lang w:val="zh-CN"/>
            </w:rPr>
            <w:fldChar w:fldCharType="begin"/>
          </w:r>
          <w:r>
            <w:rPr>
              <w:bCs/>
              <w:lang w:val="zh-CN"/>
            </w:rPr>
            <w:instrText xml:space="preserve"> HYPERLINK \l _Toc690 </w:instrText>
          </w:r>
          <w:r>
            <w:rPr>
              <w:bCs/>
              <w:lang w:val="zh-CN"/>
            </w:rPr>
            <w:fldChar w:fldCharType="separate"/>
          </w:r>
          <w:r>
            <w:rPr>
              <w:rFonts w:hint="eastAsia" w:ascii="黑体" w:hAnsi="黑体" w:eastAsia="黑体" w:cs="仿宋"/>
              <w:szCs w:val="32"/>
            </w:rPr>
            <w:t>第二节 “十四五”时期面临的发展形势</w:t>
          </w:r>
          <w:r>
            <w:tab/>
          </w:r>
          <w:r>
            <w:fldChar w:fldCharType="begin"/>
          </w:r>
          <w:r>
            <w:instrText xml:space="preserve"> PAGEREF _Toc690 </w:instrText>
          </w:r>
          <w:r>
            <w:fldChar w:fldCharType="separate"/>
          </w:r>
          <w:r>
            <w:t>6</w:t>
          </w:r>
          <w:r>
            <w:fldChar w:fldCharType="end"/>
          </w:r>
          <w:r>
            <w:rPr>
              <w:bCs/>
              <w:color w:val="auto"/>
              <w:lang w:val="zh-CN"/>
            </w:rPr>
            <w:fldChar w:fldCharType="end"/>
          </w:r>
        </w:p>
        <w:p>
          <w:pPr>
            <w:pStyle w:val="14"/>
            <w:tabs>
              <w:tab w:val="right" w:leader="dot" w:pos="8306"/>
            </w:tabs>
          </w:pPr>
          <w:r>
            <w:rPr>
              <w:bCs/>
              <w:color w:val="auto"/>
              <w:lang w:val="zh-CN"/>
            </w:rPr>
            <w:fldChar w:fldCharType="begin"/>
          </w:r>
          <w:r>
            <w:rPr>
              <w:bCs/>
              <w:lang w:val="zh-CN"/>
            </w:rPr>
            <w:instrText xml:space="preserve"> HYPERLINK \l _Toc1726 </w:instrText>
          </w:r>
          <w:r>
            <w:rPr>
              <w:bCs/>
              <w:lang w:val="zh-CN"/>
            </w:rPr>
            <w:fldChar w:fldCharType="separate"/>
          </w:r>
          <w:r>
            <w:rPr>
              <w:rFonts w:hint="eastAsia" w:ascii="方正小标宋简体" w:eastAsia="方正小标宋简体" w:cs="仿宋" w:hAnsiTheme="minorEastAsia"/>
              <w:spacing w:val="-12"/>
              <w:szCs w:val="32"/>
            </w:rPr>
            <w:t>第二章 总体要求</w:t>
          </w:r>
          <w:r>
            <w:tab/>
          </w:r>
          <w:r>
            <w:fldChar w:fldCharType="begin"/>
          </w:r>
          <w:r>
            <w:instrText xml:space="preserve"> PAGEREF _Toc1726 </w:instrText>
          </w:r>
          <w:r>
            <w:fldChar w:fldCharType="separate"/>
          </w:r>
          <w:r>
            <w:t>11</w:t>
          </w:r>
          <w:r>
            <w:fldChar w:fldCharType="end"/>
          </w:r>
          <w:r>
            <w:rPr>
              <w:bCs/>
              <w:color w:val="auto"/>
              <w:lang w:val="zh-CN"/>
            </w:rPr>
            <w:fldChar w:fldCharType="end"/>
          </w:r>
        </w:p>
        <w:p>
          <w:pPr>
            <w:pStyle w:val="2"/>
            <w:tabs>
              <w:tab w:val="right" w:leader="dot" w:pos="8306"/>
            </w:tabs>
          </w:pPr>
          <w:r>
            <w:rPr>
              <w:bCs/>
              <w:color w:val="auto"/>
              <w:lang w:val="zh-CN"/>
            </w:rPr>
            <w:fldChar w:fldCharType="begin"/>
          </w:r>
          <w:r>
            <w:rPr>
              <w:bCs/>
              <w:lang w:val="zh-CN"/>
            </w:rPr>
            <w:instrText xml:space="preserve"> HYPERLINK \l _Toc27150 </w:instrText>
          </w:r>
          <w:r>
            <w:rPr>
              <w:bCs/>
              <w:lang w:val="zh-CN"/>
            </w:rPr>
            <w:fldChar w:fldCharType="separate"/>
          </w:r>
          <w:r>
            <w:rPr>
              <w:rFonts w:hint="eastAsia" w:ascii="黑体" w:hAnsi="黑体" w:eastAsia="黑体" w:cs="仿宋"/>
              <w:szCs w:val="32"/>
            </w:rPr>
            <w:t>第一节 指导思想</w:t>
          </w:r>
          <w:r>
            <w:tab/>
          </w:r>
          <w:r>
            <w:fldChar w:fldCharType="begin"/>
          </w:r>
          <w:r>
            <w:instrText xml:space="preserve"> PAGEREF _Toc27150 </w:instrText>
          </w:r>
          <w:r>
            <w:fldChar w:fldCharType="separate"/>
          </w:r>
          <w:r>
            <w:t>11</w:t>
          </w:r>
          <w:r>
            <w:fldChar w:fldCharType="end"/>
          </w:r>
          <w:r>
            <w:rPr>
              <w:bCs/>
              <w:color w:val="auto"/>
              <w:lang w:val="zh-CN"/>
            </w:rPr>
            <w:fldChar w:fldCharType="end"/>
          </w:r>
        </w:p>
        <w:p>
          <w:pPr>
            <w:pStyle w:val="2"/>
            <w:tabs>
              <w:tab w:val="right" w:leader="dot" w:pos="8306"/>
            </w:tabs>
          </w:pPr>
          <w:r>
            <w:rPr>
              <w:bCs/>
              <w:color w:val="auto"/>
              <w:lang w:val="zh-CN"/>
            </w:rPr>
            <w:fldChar w:fldCharType="begin"/>
          </w:r>
          <w:r>
            <w:rPr>
              <w:bCs/>
              <w:lang w:val="zh-CN"/>
            </w:rPr>
            <w:instrText xml:space="preserve"> HYPERLINK \l _Toc11503 </w:instrText>
          </w:r>
          <w:r>
            <w:rPr>
              <w:bCs/>
              <w:lang w:val="zh-CN"/>
            </w:rPr>
            <w:fldChar w:fldCharType="separate"/>
          </w:r>
          <w:r>
            <w:rPr>
              <w:rFonts w:hint="eastAsia" w:ascii="黑体" w:hAnsi="黑体" w:eastAsia="黑体" w:cs="仿宋"/>
              <w:szCs w:val="32"/>
            </w:rPr>
            <w:t>第二节 基本原则</w:t>
          </w:r>
          <w:r>
            <w:tab/>
          </w:r>
          <w:r>
            <w:fldChar w:fldCharType="begin"/>
          </w:r>
          <w:r>
            <w:instrText xml:space="preserve"> PAGEREF _Toc11503 </w:instrText>
          </w:r>
          <w:r>
            <w:fldChar w:fldCharType="separate"/>
          </w:r>
          <w:r>
            <w:t>12</w:t>
          </w:r>
          <w:r>
            <w:fldChar w:fldCharType="end"/>
          </w:r>
          <w:r>
            <w:rPr>
              <w:bCs/>
              <w:color w:val="auto"/>
              <w:lang w:val="zh-CN"/>
            </w:rPr>
            <w:fldChar w:fldCharType="end"/>
          </w:r>
        </w:p>
        <w:p>
          <w:pPr>
            <w:pStyle w:val="2"/>
            <w:tabs>
              <w:tab w:val="right" w:leader="dot" w:pos="8306"/>
            </w:tabs>
          </w:pPr>
          <w:r>
            <w:rPr>
              <w:bCs/>
              <w:color w:val="auto"/>
              <w:lang w:val="zh-CN"/>
            </w:rPr>
            <w:fldChar w:fldCharType="begin"/>
          </w:r>
          <w:r>
            <w:rPr>
              <w:bCs/>
              <w:lang w:val="zh-CN"/>
            </w:rPr>
            <w:instrText xml:space="preserve"> HYPERLINK \l _Toc11337 </w:instrText>
          </w:r>
          <w:r>
            <w:rPr>
              <w:bCs/>
              <w:lang w:val="zh-CN"/>
            </w:rPr>
            <w:fldChar w:fldCharType="separate"/>
          </w:r>
          <w:r>
            <w:rPr>
              <w:rFonts w:hint="eastAsia" w:ascii="黑体" w:hAnsi="黑体" w:eastAsia="黑体" w:cs="仿宋"/>
              <w:szCs w:val="32"/>
            </w:rPr>
            <w:t>第三节 发展目标</w:t>
          </w:r>
          <w:r>
            <w:tab/>
          </w:r>
          <w:r>
            <w:fldChar w:fldCharType="begin"/>
          </w:r>
          <w:r>
            <w:instrText xml:space="preserve"> PAGEREF _Toc11337 </w:instrText>
          </w:r>
          <w:r>
            <w:fldChar w:fldCharType="separate"/>
          </w:r>
          <w:r>
            <w:t>13</w:t>
          </w:r>
          <w:r>
            <w:fldChar w:fldCharType="end"/>
          </w:r>
          <w:r>
            <w:rPr>
              <w:bCs/>
              <w:color w:val="auto"/>
              <w:lang w:val="zh-CN"/>
            </w:rPr>
            <w:fldChar w:fldCharType="end"/>
          </w:r>
        </w:p>
        <w:p>
          <w:pPr>
            <w:pStyle w:val="14"/>
            <w:tabs>
              <w:tab w:val="right" w:leader="dot" w:pos="8306"/>
            </w:tabs>
          </w:pPr>
          <w:r>
            <w:rPr>
              <w:bCs/>
              <w:color w:val="auto"/>
              <w:lang w:val="zh-CN"/>
            </w:rPr>
            <w:fldChar w:fldCharType="begin"/>
          </w:r>
          <w:r>
            <w:rPr>
              <w:bCs/>
              <w:lang w:val="zh-CN"/>
            </w:rPr>
            <w:instrText xml:space="preserve"> HYPERLINK \l _Toc27379 </w:instrText>
          </w:r>
          <w:r>
            <w:rPr>
              <w:bCs/>
              <w:lang w:val="zh-CN"/>
            </w:rPr>
            <w:fldChar w:fldCharType="separate"/>
          </w:r>
          <w:r>
            <w:rPr>
              <w:rFonts w:hint="eastAsia" w:ascii="方正小标宋简体" w:eastAsia="方正小标宋简体" w:cs="仿宋" w:hAnsiTheme="minorEastAsia"/>
              <w:spacing w:val="-12"/>
              <w:szCs w:val="32"/>
            </w:rPr>
            <w:t>第三章 对接“双区”建设，融入“一核一带一区”区域格局</w:t>
          </w:r>
          <w:r>
            <w:tab/>
          </w:r>
          <w:r>
            <w:fldChar w:fldCharType="begin"/>
          </w:r>
          <w:r>
            <w:instrText xml:space="preserve"> PAGEREF _Toc27379 </w:instrText>
          </w:r>
          <w:r>
            <w:fldChar w:fldCharType="separate"/>
          </w:r>
          <w:r>
            <w:t>17</w:t>
          </w:r>
          <w:r>
            <w:fldChar w:fldCharType="end"/>
          </w:r>
          <w:r>
            <w:rPr>
              <w:bCs/>
              <w:color w:val="auto"/>
              <w:lang w:val="zh-CN"/>
            </w:rPr>
            <w:fldChar w:fldCharType="end"/>
          </w:r>
        </w:p>
        <w:p>
          <w:pPr>
            <w:pStyle w:val="2"/>
            <w:tabs>
              <w:tab w:val="right" w:leader="dot" w:pos="8306"/>
            </w:tabs>
          </w:pPr>
          <w:r>
            <w:rPr>
              <w:bCs/>
              <w:color w:val="auto"/>
              <w:lang w:val="zh-CN"/>
            </w:rPr>
            <w:fldChar w:fldCharType="begin"/>
          </w:r>
          <w:r>
            <w:rPr>
              <w:bCs/>
              <w:lang w:val="zh-CN"/>
            </w:rPr>
            <w:instrText xml:space="preserve"> HYPERLINK \l _Toc31422 </w:instrText>
          </w:r>
          <w:r>
            <w:rPr>
              <w:bCs/>
              <w:lang w:val="zh-CN"/>
            </w:rPr>
            <w:fldChar w:fldCharType="separate"/>
          </w:r>
          <w:r>
            <w:rPr>
              <w:rFonts w:hint="eastAsia" w:ascii="黑体" w:hAnsi="黑体" w:eastAsia="黑体" w:cs="仿宋"/>
              <w:szCs w:val="32"/>
            </w:rPr>
            <w:t>第一节 全力东融粤港澳大湾区</w:t>
          </w:r>
          <w:r>
            <w:tab/>
          </w:r>
          <w:r>
            <w:fldChar w:fldCharType="begin"/>
          </w:r>
          <w:r>
            <w:instrText xml:space="preserve"> PAGEREF _Toc31422 </w:instrText>
          </w:r>
          <w:r>
            <w:fldChar w:fldCharType="separate"/>
          </w:r>
          <w:r>
            <w:t>17</w:t>
          </w:r>
          <w:r>
            <w:fldChar w:fldCharType="end"/>
          </w:r>
          <w:r>
            <w:rPr>
              <w:bCs/>
              <w:color w:val="auto"/>
              <w:lang w:val="zh-CN"/>
            </w:rPr>
            <w:fldChar w:fldCharType="end"/>
          </w:r>
        </w:p>
        <w:p>
          <w:pPr>
            <w:pStyle w:val="2"/>
            <w:tabs>
              <w:tab w:val="right" w:leader="dot" w:pos="8306"/>
            </w:tabs>
          </w:pPr>
          <w:r>
            <w:rPr>
              <w:bCs/>
              <w:color w:val="auto"/>
              <w:lang w:val="zh-CN"/>
            </w:rPr>
            <w:fldChar w:fldCharType="begin"/>
          </w:r>
          <w:r>
            <w:rPr>
              <w:bCs/>
              <w:lang w:val="zh-CN"/>
            </w:rPr>
            <w:instrText xml:space="preserve"> HYPERLINK \l _Toc8755 </w:instrText>
          </w:r>
          <w:r>
            <w:rPr>
              <w:bCs/>
              <w:lang w:val="zh-CN"/>
            </w:rPr>
            <w:fldChar w:fldCharType="separate"/>
          </w:r>
          <w:r>
            <w:rPr>
              <w:rFonts w:hint="eastAsia" w:ascii="黑体" w:hAnsi="黑体" w:eastAsia="黑体" w:cs="仿宋"/>
              <w:szCs w:val="32"/>
            </w:rPr>
            <w:t>第二节 深化横琴新区-海陵岛对口帮扶合作</w:t>
          </w:r>
          <w:r>
            <w:tab/>
          </w:r>
          <w:r>
            <w:fldChar w:fldCharType="begin"/>
          </w:r>
          <w:r>
            <w:instrText xml:space="preserve"> PAGEREF _Toc8755 </w:instrText>
          </w:r>
          <w:r>
            <w:fldChar w:fldCharType="separate"/>
          </w:r>
          <w:r>
            <w:t>20</w:t>
          </w:r>
          <w:r>
            <w:fldChar w:fldCharType="end"/>
          </w:r>
          <w:r>
            <w:rPr>
              <w:bCs/>
              <w:color w:val="auto"/>
              <w:lang w:val="zh-CN"/>
            </w:rPr>
            <w:fldChar w:fldCharType="end"/>
          </w:r>
        </w:p>
        <w:p>
          <w:pPr>
            <w:pStyle w:val="2"/>
            <w:tabs>
              <w:tab w:val="right" w:leader="dot" w:pos="8306"/>
            </w:tabs>
          </w:pPr>
          <w:r>
            <w:rPr>
              <w:bCs/>
              <w:color w:val="auto"/>
              <w:lang w:val="zh-CN"/>
            </w:rPr>
            <w:fldChar w:fldCharType="begin"/>
          </w:r>
          <w:r>
            <w:rPr>
              <w:bCs/>
              <w:lang w:val="zh-CN"/>
            </w:rPr>
            <w:instrText xml:space="preserve"> HYPERLINK \l _Toc14533 </w:instrText>
          </w:r>
          <w:r>
            <w:rPr>
              <w:bCs/>
              <w:lang w:val="zh-CN"/>
            </w:rPr>
            <w:fldChar w:fldCharType="separate"/>
          </w:r>
          <w:r>
            <w:rPr>
              <w:rFonts w:hint="eastAsia" w:ascii="黑体" w:hAnsi="黑体" w:eastAsia="黑体" w:cs="仿宋"/>
              <w:szCs w:val="32"/>
            </w:rPr>
            <w:t xml:space="preserve">第三节 </w:t>
          </w:r>
          <w:r>
            <w:rPr>
              <w:rFonts w:hint="eastAsia" w:ascii="黑体" w:hAnsi="黑体" w:eastAsia="黑体" w:cs="仿宋"/>
              <w:szCs w:val="32"/>
              <w:lang w:eastAsia="zh-CN"/>
            </w:rPr>
            <w:t>主动参与</w:t>
          </w:r>
          <w:r>
            <w:rPr>
              <w:rFonts w:hint="eastAsia" w:ascii="黑体" w:hAnsi="黑体" w:eastAsia="黑体" w:cs="仿宋"/>
              <w:szCs w:val="32"/>
            </w:rPr>
            <w:t>海陵湾沿海经济带</w:t>
          </w:r>
          <w:r>
            <w:tab/>
          </w:r>
          <w:r>
            <w:fldChar w:fldCharType="begin"/>
          </w:r>
          <w:r>
            <w:instrText xml:space="preserve"> PAGEREF _Toc14533 </w:instrText>
          </w:r>
          <w:r>
            <w:fldChar w:fldCharType="separate"/>
          </w:r>
          <w:r>
            <w:t>21</w:t>
          </w:r>
          <w:r>
            <w:fldChar w:fldCharType="end"/>
          </w:r>
          <w:r>
            <w:rPr>
              <w:bCs/>
              <w:color w:val="auto"/>
              <w:lang w:val="zh-CN"/>
            </w:rPr>
            <w:fldChar w:fldCharType="end"/>
          </w:r>
        </w:p>
        <w:p>
          <w:pPr>
            <w:pStyle w:val="14"/>
            <w:tabs>
              <w:tab w:val="right" w:leader="dot" w:pos="8306"/>
            </w:tabs>
          </w:pPr>
          <w:r>
            <w:rPr>
              <w:bCs/>
              <w:color w:val="auto"/>
              <w:lang w:val="zh-CN"/>
            </w:rPr>
            <w:fldChar w:fldCharType="begin"/>
          </w:r>
          <w:r>
            <w:rPr>
              <w:bCs/>
              <w:lang w:val="zh-CN"/>
            </w:rPr>
            <w:instrText xml:space="preserve"> HYPERLINK \l _Toc23024 </w:instrText>
          </w:r>
          <w:r>
            <w:rPr>
              <w:bCs/>
              <w:lang w:val="zh-CN"/>
            </w:rPr>
            <w:fldChar w:fldCharType="separate"/>
          </w:r>
          <w:r>
            <w:rPr>
              <w:rFonts w:hint="eastAsia" w:ascii="方正小标宋简体" w:eastAsia="方正小标宋简体" w:cs="仿宋" w:hAnsiTheme="minorEastAsia"/>
              <w:spacing w:val="-12"/>
              <w:szCs w:val="32"/>
            </w:rPr>
            <w:t>第四章 深入实施创新驱动发展战略，完善区域创新创业体系</w:t>
          </w:r>
          <w:r>
            <w:tab/>
          </w:r>
          <w:r>
            <w:fldChar w:fldCharType="begin"/>
          </w:r>
          <w:r>
            <w:instrText xml:space="preserve"> PAGEREF _Toc23024 </w:instrText>
          </w:r>
          <w:r>
            <w:fldChar w:fldCharType="separate"/>
          </w:r>
          <w:r>
            <w:t>22</w:t>
          </w:r>
          <w:r>
            <w:fldChar w:fldCharType="end"/>
          </w:r>
          <w:r>
            <w:rPr>
              <w:bCs/>
              <w:color w:val="auto"/>
              <w:lang w:val="zh-CN"/>
            </w:rPr>
            <w:fldChar w:fldCharType="end"/>
          </w:r>
        </w:p>
        <w:p>
          <w:pPr>
            <w:pStyle w:val="2"/>
            <w:tabs>
              <w:tab w:val="right" w:leader="dot" w:pos="8306"/>
            </w:tabs>
          </w:pPr>
          <w:r>
            <w:rPr>
              <w:bCs/>
              <w:color w:val="auto"/>
              <w:lang w:val="zh-CN"/>
            </w:rPr>
            <w:fldChar w:fldCharType="begin"/>
          </w:r>
          <w:r>
            <w:rPr>
              <w:bCs/>
              <w:lang w:val="zh-CN"/>
            </w:rPr>
            <w:instrText xml:space="preserve"> HYPERLINK \l _Toc25784 </w:instrText>
          </w:r>
          <w:r>
            <w:rPr>
              <w:bCs/>
              <w:lang w:val="zh-CN"/>
            </w:rPr>
            <w:fldChar w:fldCharType="separate"/>
          </w:r>
          <w:r>
            <w:rPr>
              <w:rFonts w:hint="eastAsia" w:ascii="黑体" w:hAnsi="黑体" w:eastAsia="黑体" w:cs="仿宋"/>
              <w:szCs w:val="32"/>
            </w:rPr>
            <w:t>第一节 建设高端创新要素集聚区</w:t>
          </w:r>
          <w:r>
            <w:tab/>
          </w:r>
          <w:r>
            <w:fldChar w:fldCharType="begin"/>
          </w:r>
          <w:r>
            <w:instrText xml:space="preserve"> PAGEREF _Toc25784 </w:instrText>
          </w:r>
          <w:r>
            <w:fldChar w:fldCharType="separate"/>
          </w:r>
          <w:r>
            <w:t>23</w:t>
          </w:r>
          <w:r>
            <w:fldChar w:fldCharType="end"/>
          </w:r>
          <w:r>
            <w:rPr>
              <w:bCs/>
              <w:color w:val="auto"/>
              <w:lang w:val="zh-CN"/>
            </w:rPr>
            <w:fldChar w:fldCharType="end"/>
          </w:r>
        </w:p>
        <w:p>
          <w:pPr>
            <w:pStyle w:val="2"/>
            <w:tabs>
              <w:tab w:val="right" w:leader="dot" w:pos="8306"/>
            </w:tabs>
          </w:pPr>
          <w:r>
            <w:rPr>
              <w:bCs/>
              <w:color w:val="auto"/>
              <w:lang w:val="zh-CN"/>
            </w:rPr>
            <w:fldChar w:fldCharType="begin"/>
          </w:r>
          <w:r>
            <w:rPr>
              <w:bCs/>
              <w:lang w:val="zh-CN"/>
            </w:rPr>
            <w:instrText xml:space="preserve"> HYPERLINK \l _Toc25271 </w:instrText>
          </w:r>
          <w:r>
            <w:rPr>
              <w:bCs/>
              <w:lang w:val="zh-CN"/>
            </w:rPr>
            <w:fldChar w:fldCharType="separate"/>
          </w:r>
          <w:r>
            <w:rPr>
              <w:rFonts w:hint="eastAsia" w:ascii="黑体" w:hAnsi="黑体" w:eastAsia="黑体" w:cs="仿宋"/>
              <w:szCs w:val="32"/>
            </w:rPr>
            <w:t>第二节 构建产业创新服务体系</w:t>
          </w:r>
          <w:r>
            <w:tab/>
          </w:r>
          <w:r>
            <w:fldChar w:fldCharType="begin"/>
          </w:r>
          <w:r>
            <w:instrText xml:space="preserve"> PAGEREF _Toc25271 </w:instrText>
          </w:r>
          <w:r>
            <w:fldChar w:fldCharType="separate"/>
          </w:r>
          <w:r>
            <w:t>24</w:t>
          </w:r>
          <w:r>
            <w:fldChar w:fldCharType="end"/>
          </w:r>
          <w:r>
            <w:rPr>
              <w:bCs/>
              <w:color w:val="auto"/>
              <w:lang w:val="zh-CN"/>
            </w:rPr>
            <w:fldChar w:fldCharType="end"/>
          </w:r>
        </w:p>
        <w:p>
          <w:pPr>
            <w:pStyle w:val="2"/>
            <w:tabs>
              <w:tab w:val="right" w:leader="dot" w:pos="8306"/>
            </w:tabs>
          </w:pPr>
          <w:r>
            <w:rPr>
              <w:bCs/>
              <w:color w:val="auto"/>
              <w:lang w:val="zh-CN"/>
            </w:rPr>
            <w:fldChar w:fldCharType="begin"/>
          </w:r>
          <w:r>
            <w:rPr>
              <w:bCs/>
              <w:lang w:val="zh-CN"/>
            </w:rPr>
            <w:instrText xml:space="preserve"> HYPERLINK \l _Toc4645 </w:instrText>
          </w:r>
          <w:r>
            <w:rPr>
              <w:bCs/>
              <w:lang w:val="zh-CN"/>
            </w:rPr>
            <w:fldChar w:fldCharType="separate"/>
          </w:r>
          <w:r>
            <w:rPr>
              <w:rFonts w:hint="eastAsia" w:ascii="黑体" w:hAnsi="黑体" w:eastAsia="黑体" w:cs="仿宋"/>
              <w:szCs w:val="32"/>
            </w:rPr>
            <w:t>第三节 建设国家级科技兴海产业示范基地</w:t>
          </w:r>
          <w:r>
            <w:tab/>
          </w:r>
          <w:r>
            <w:fldChar w:fldCharType="begin"/>
          </w:r>
          <w:r>
            <w:instrText xml:space="preserve"> PAGEREF _Toc4645 </w:instrText>
          </w:r>
          <w:r>
            <w:fldChar w:fldCharType="separate"/>
          </w:r>
          <w:r>
            <w:t>24</w:t>
          </w:r>
          <w:r>
            <w:fldChar w:fldCharType="end"/>
          </w:r>
          <w:r>
            <w:rPr>
              <w:bCs/>
              <w:color w:val="auto"/>
              <w:lang w:val="zh-CN"/>
            </w:rPr>
            <w:fldChar w:fldCharType="end"/>
          </w:r>
        </w:p>
        <w:p>
          <w:pPr>
            <w:pStyle w:val="14"/>
            <w:tabs>
              <w:tab w:val="right" w:leader="dot" w:pos="8306"/>
            </w:tabs>
          </w:pPr>
          <w:r>
            <w:rPr>
              <w:bCs/>
              <w:color w:val="auto"/>
              <w:lang w:val="zh-CN"/>
            </w:rPr>
            <w:fldChar w:fldCharType="begin"/>
          </w:r>
          <w:r>
            <w:rPr>
              <w:bCs/>
              <w:lang w:val="zh-CN"/>
            </w:rPr>
            <w:instrText xml:space="preserve"> HYPERLINK \l _Toc14917 </w:instrText>
          </w:r>
          <w:r>
            <w:rPr>
              <w:bCs/>
              <w:lang w:val="zh-CN"/>
            </w:rPr>
            <w:fldChar w:fldCharType="separate"/>
          </w:r>
          <w:r>
            <w:rPr>
              <w:rFonts w:hint="eastAsia" w:ascii="方正小标宋简体" w:eastAsia="方正小标宋简体" w:cs="仿宋" w:hAnsiTheme="minorEastAsia"/>
              <w:spacing w:val="-12"/>
              <w:szCs w:val="32"/>
            </w:rPr>
            <w:t>第五章 大力发展旅游业，构建有海陵岛特色的现代产业体系</w:t>
          </w:r>
          <w:r>
            <w:tab/>
          </w:r>
          <w:r>
            <w:fldChar w:fldCharType="begin"/>
          </w:r>
          <w:r>
            <w:instrText xml:space="preserve"> PAGEREF _Toc14917 </w:instrText>
          </w:r>
          <w:r>
            <w:fldChar w:fldCharType="separate"/>
          </w:r>
          <w:r>
            <w:t>25</w:t>
          </w:r>
          <w:r>
            <w:fldChar w:fldCharType="end"/>
          </w:r>
          <w:r>
            <w:rPr>
              <w:bCs/>
              <w:color w:val="auto"/>
              <w:lang w:val="zh-CN"/>
            </w:rPr>
            <w:fldChar w:fldCharType="end"/>
          </w:r>
        </w:p>
        <w:p>
          <w:pPr>
            <w:pStyle w:val="2"/>
            <w:tabs>
              <w:tab w:val="right" w:leader="dot" w:pos="8306"/>
            </w:tabs>
          </w:pPr>
          <w:r>
            <w:rPr>
              <w:bCs/>
              <w:color w:val="auto"/>
              <w:lang w:val="zh-CN"/>
            </w:rPr>
            <w:fldChar w:fldCharType="begin"/>
          </w:r>
          <w:r>
            <w:rPr>
              <w:bCs/>
              <w:lang w:val="zh-CN"/>
            </w:rPr>
            <w:instrText xml:space="preserve"> HYPERLINK \l _Toc18073 </w:instrText>
          </w:r>
          <w:r>
            <w:rPr>
              <w:bCs/>
              <w:lang w:val="zh-CN"/>
            </w:rPr>
            <w:fldChar w:fldCharType="separate"/>
          </w:r>
          <w:r>
            <w:rPr>
              <w:rFonts w:hint="eastAsia" w:ascii="黑体" w:hAnsi="黑体" w:eastAsia="黑体" w:cs="仿宋"/>
              <w:szCs w:val="32"/>
            </w:rPr>
            <w:t>第一节 推动海岛旅游业跨越式发展</w:t>
          </w:r>
          <w:r>
            <w:tab/>
          </w:r>
          <w:r>
            <w:fldChar w:fldCharType="begin"/>
          </w:r>
          <w:r>
            <w:instrText xml:space="preserve"> PAGEREF _Toc18073 </w:instrText>
          </w:r>
          <w:r>
            <w:fldChar w:fldCharType="separate"/>
          </w:r>
          <w:r>
            <w:t>25</w:t>
          </w:r>
          <w:r>
            <w:fldChar w:fldCharType="end"/>
          </w:r>
          <w:r>
            <w:rPr>
              <w:bCs/>
              <w:color w:val="auto"/>
              <w:lang w:val="zh-CN"/>
            </w:rPr>
            <w:fldChar w:fldCharType="end"/>
          </w:r>
        </w:p>
        <w:p>
          <w:pPr>
            <w:pStyle w:val="2"/>
            <w:tabs>
              <w:tab w:val="right" w:leader="dot" w:pos="8306"/>
            </w:tabs>
          </w:pPr>
          <w:r>
            <w:rPr>
              <w:bCs/>
              <w:color w:val="auto"/>
              <w:lang w:val="zh-CN"/>
            </w:rPr>
            <w:fldChar w:fldCharType="begin"/>
          </w:r>
          <w:r>
            <w:rPr>
              <w:bCs/>
              <w:lang w:val="zh-CN"/>
            </w:rPr>
            <w:instrText xml:space="preserve"> HYPERLINK \l _Toc23473 </w:instrText>
          </w:r>
          <w:r>
            <w:rPr>
              <w:bCs/>
              <w:lang w:val="zh-CN"/>
            </w:rPr>
            <w:fldChar w:fldCharType="separate"/>
          </w:r>
          <w:r>
            <w:rPr>
              <w:rFonts w:hint="eastAsia" w:ascii="黑体" w:hAnsi="黑体" w:eastAsia="黑体" w:cs="仿宋"/>
              <w:szCs w:val="32"/>
            </w:rPr>
            <w:t>第二节 积极发展海洋渔业</w:t>
          </w:r>
          <w:r>
            <w:tab/>
          </w:r>
          <w:r>
            <w:fldChar w:fldCharType="begin"/>
          </w:r>
          <w:r>
            <w:instrText xml:space="preserve"> PAGEREF _Toc23473 </w:instrText>
          </w:r>
          <w:r>
            <w:fldChar w:fldCharType="separate"/>
          </w:r>
          <w:r>
            <w:t>38</w:t>
          </w:r>
          <w:r>
            <w:fldChar w:fldCharType="end"/>
          </w:r>
          <w:r>
            <w:rPr>
              <w:bCs/>
              <w:color w:val="auto"/>
              <w:lang w:val="zh-CN"/>
            </w:rPr>
            <w:fldChar w:fldCharType="end"/>
          </w:r>
        </w:p>
        <w:p>
          <w:pPr>
            <w:pStyle w:val="2"/>
            <w:tabs>
              <w:tab w:val="right" w:leader="dot" w:pos="8306"/>
            </w:tabs>
          </w:pPr>
          <w:r>
            <w:rPr>
              <w:bCs/>
              <w:color w:val="auto"/>
              <w:lang w:val="zh-CN"/>
            </w:rPr>
            <w:fldChar w:fldCharType="begin"/>
          </w:r>
          <w:r>
            <w:rPr>
              <w:bCs/>
              <w:lang w:val="zh-CN"/>
            </w:rPr>
            <w:instrText xml:space="preserve"> HYPERLINK \l _Toc21921 </w:instrText>
          </w:r>
          <w:r>
            <w:rPr>
              <w:bCs/>
              <w:lang w:val="zh-CN"/>
            </w:rPr>
            <w:fldChar w:fldCharType="separate"/>
          </w:r>
          <w:r>
            <w:rPr>
              <w:rFonts w:hint="eastAsia" w:ascii="黑体" w:hAnsi="黑体" w:eastAsia="黑体" w:cs="仿宋"/>
              <w:szCs w:val="32"/>
            </w:rPr>
            <w:t>第三节 高效发展现代农业</w:t>
          </w:r>
          <w:r>
            <w:tab/>
          </w:r>
          <w:r>
            <w:fldChar w:fldCharType="begin"/>
          </w:r>
          <w:r>
            <w:instrText xml:space="preserve"> PAGEREF _Toc21921 </w:instrText>
          </w:r>
          <w:r>
            <w:fldChar w:fldCharType="separate"/>
          </w:r>
          <w:r>
            <w:t>40</w:t>
          </w:r>
          <w:r>
            <w:fldChar w:fldCharType="end"/>
          </w:r>
          <w:r>
            <w:rPr>
              <w:bCs/>
              <w:color w:val="auto"/>
              <w:lang w:val="zh-CN"/>
            </w:rPr>
            <w:fldChar w:fldCharType="end"/>
          </w:r>
        </w:p>
        <w:p>
          <w:pPr>
            <w:pStyle w:val="2"/>
            <w:tabs>
              <w:tab w:val="right" w:leader="dot" w:pos="8306"/>
            </w:tabs>
          </w:pPr>
          <w:r>
            <w:rPr>
              <w:bCs/>
              <w:color w:val="auto"/>
              <w:lang w:val="zh-CN"/>
            </w:rPr>
            <w:fldChar w:fldCharType="begin"/>
          </w:r>
          <w:r>
            <w:rPr>
              <w:bCs/>
              <w:lang w:val="zh-CN"/>
            </w:rPr>
            <w:instrText xml:space="preserve"> HYPERLINK \l _Toc17885 </w:instrText>
          </w:r>
          <w:r>
            <w:rPr>
              <w:bCs/>
              <w:lang w:val="zh-CN"/>
            </w:rPr>
            <w:fldChar w:fldCharType="separate"/>
          </w:r>
          <w:r>
            <w:rPr>
              <w:rFonts w:hint="eastAsia" w:ascii="黑体" w:hAnsi="黑体" w:eastAsia="黑体" w:cs="仿宋"/>
              <w:szCs w:val="32"/>
            </w:rPr>
            <w:t>第四节 培育海洋新兴产业</w:t>
          </w:r>
          <w:r>
            <w:tab/>
          </w:r>
          <w:r>
            <w:fldChar w:fldCharType="begin"/>
          </w:r>
          <w:r>
            <w:instrText xml:space="preserve"> PAGEREF _Toc17885 </w:instrText>
          </w:r>
          <w:r>
            <w:fldChar w:fldCharType="separate"/>
          </w:r>
          <w:r>
            <w:t>43</w:t>
          </w:r>
          <w:r>
            <w:fldChar w:fldCharType="end"/>
          </w:r>
          <w:r>
            <w:rPr>
              <w:bCs/>
              <w:color w:val="auto"/>
              <w:lang w:val="zh-CN"/>
            </w:rPr>
            <w:fldChar w:fldCharType="end"/>
          </w:r>
        </w:p>
        <w:p>
          <w:pPr>
            <w:pStyle w:val="14"/>
            <w:tabs>
              <w:tab w:val="right" w:leader="dot" w:pos="8306"/>
            </w:tabs>
          </w:pPr>
          <w:r>
            <w:rPr>
              <w:bCs/>
              <w:color w:val="auto"/>
              <w:lang w:val="zh-CN"/>
            </w:rPr>
            <w:fldChar w:fldCharType="begin"/>
          </w:r>
          <w:r>
            <w:rPr>
              <w:bCs/>
              <w:lang w:val="zh-CN"/>
            </w:rPr>
            <w:instrText xml:space="preserve"> HYPERLINK \l _Toc32243 </w:instrText>
          </w:r>
          <w:r>
            <w:rPr>
              <w:bCs/>
              <w:lang w:val="zh-CN"/>
            </w:rPr>
            <w:fldChar w:fldCharType="separate"/>
          </w:r>
          <w:r>
            <w:rPr>
              <w:rFonts w:hint="eastAsia" w:ascii="方正小标宋简体" w:eastAsia="方正小标宋简体" w:cs="仿宋" w:hAnsiTheme="minorEastAsia"/>
              <w:spacing w:val="-12"/>
              <w:szCs w:val="32"/>
            </w:rPr>
            <w:t xml:space="preserve">第六章 </w:t>
          </w:r>
          <w:r>
            <w:rPr>
              <w:rFonts w:hint="eastAsia" w:ascii="方正小标宋简体" w:eastAsia="方正小标宋简体" w:cs="仿宋" w:hAnsiTheme="minorEastAsia"/>
              <w:spacing w:val="-12"/>
              <w:szCs w:val="32"/>
              <w:lang w:eastAsia="zh-CN"/>
            </w:rPr>
            <w:t>高效畅通“内循环”</w:t>
          </w:r>
          <w:r>
            <w:rPr>
              <w:rFonts w:hint="eastAsia" w:ascii="方正小标宋简体" w:eastAsia="方正小标宋简体" w:cs="仿宋" w:hAnsiTheme="minorEastAsia"/>
              <w:spacing w:val="-12"/>
              <w:szCs w:val="32"/>
            </w:rPr>
            <w:t>，</w:t>
          </w:r>
          <w:r>
            <w:rPr>
              <w:rFonts w:hint="eastAsia" w:ascii="方正小标宋简体" w:eastAsia="方正小标宋简体" w:cs="仿宋" w:hAnsiTheme="minorEastAsia"/>
              <w:spacing w:val="-12"/>
              <w:szCs w:val="32"/>
              <w:lang w:eastAsia="zh-CN"/>
            </w:rPr>
            <w:t>加快构建</w:t>
          </w:r>
          <w:r>
            <w:rPr>
              <w:rFonts w:hint="eastAsia" w:ascii="方正小标宋简体" w:eastAsia="方正小标宋简体" w:cs="仿宋" w:hAnsiTheme="minorEastAsia"/>
              <w:spacing w:val="-12"/>
              <w:szCs w:val="32"/>
            </w:rPr>
            <w:t>“双循环”新发展格局</w:t>
          </w:r>
          <w:r>
            <w:tab/>
          </w:r>
          <w:r>
            <w:fldChar w:fldCharType="begin"/>
          </w:r>
          <w:r>
            <w:instrText xml:space="preserve"> PAGEREF _Toc32243 </w:instrText>
          </w:r>
          <w:r>
            <w:fldChar w:fldCharType="separate"/>
          </w:r>
          <w:r>
            <w:t>46</w:t>
          </w:r>
          <w:r>
            <w:fldChar w:fldCharType="end"/>
          </w:r>
          <w:r>
            <w:rPr>
              <w:bCs/>
              <w:color w:val="auto"/>
              <w:lang w:val="zh-CN"/>
            </w:rPr>
            <w:fldChar w:fldCharType="end"/>
          </w:r>
        </w:p>
        <w:p>
          <w:pPr>
            <w:pStyle w:val="2"/>
            <w:tabs>
              <w:tab w:val="right" w:leader="dot" w:pos="8306"/>
            </w:tabs>
          </w:pPr>
          <w:r>
            <w:rPr>
              <w:bCs/>
              <w:color w:val="auto"/>
              <w:lang w:val="zh-CN"/>
            </w:rPr>
            <w:fldChar w:fldCharType="begin"/>
          </w:r>
          <w:r>
            <w:rPr>
              <w:bCs/>
              <w:lang w:val="zh-CN"/>
            </w:rPr>
            <w:instrText xml:space="preserve"> HYPERLINK \l _Toc4734 </w:instrText>
          </w:r>
          <w:r>
            <w:rPr>
              <w:bCs/>
              <w:lang w:val="zh-CN"/>
            </w:rPr>
            <w:fldChar w:fldCharType="separate"/>
          </w:r>
          <w:r>
            <w:rPr>
              <w:rFonts w:hint="eastAsia" w:ascii="黑体" w:hAnsi="黑体" w:eastAsia="黑体" w:cs="仿宋"/>
              <w:szCs w:val="32"/>
            </w:rPr>
            <w:t>第一节 聚力扩大有效投资</w:t>
          </w:r>
          <w:r>
            <w:tab/>
          </w:r>
          <w:r>
            <w:fldChar w:fldCharType="begin"/>
          </w:r>
          <w:r>
            <w:instrText xml:space="preserve"> PAGEREF _Toc4734 </w:instrText>
          </w:r>
          <w:r>
            <w:fldChar w:fldCharType="separate"/>
          </w:r>
          <w:r>
            <w:t>46</w:t>
          </w:r>
          <w:r>
            <w:fldChar w:fldCharType="end"/>
          </w:r>
          <w:r>
            <w:rPr>
              <w:bCs/>
              <w:color w:val="auto"/>
              <w:lang w:val="zh-CN"/>
            </w:rPr>
            <w:fldChar w:fldCharType="end"/>
          </w:r>
        </w:p>
        <w:p>
          <w:pPr>
            <w:pStyle w:val="2"/>
            <w:tabs>
              <w:tab w:val="right" w:leader="dot" w:pos="8306"/>
            </w:tabs>
          </w:pPr>
          <w:r>
            <w:rPr>
              <w:bCs/>
              <w:color w:val="auto"/>
              <w:lang w:val="zh-CN"/>
            </w:rPr>
            <w:fldChar w:fldCharType="begin"/>
          </w:r>
          <w:r>
            <w:rPr>
              <w:bCs/>
              <w:lang w:val="zh-CN"/>
            </w:rPr>
            <w:instrText xml:space="preserve"> HYPERLINK \l _Toc22762 </w:instrText>
          </w:r>
          <w:r>
            <w:rPr>
              <w:bCs/>
              <w:lang w:val="zh-CN"/>
            </w:rPr>
            <w:fldChar w:fldCharType="separate"/>
          </w:r>
          <w:r>
            <w:rPr>
              <w:rFonts w:hint="eastAsia" w:ascii="黑体" w:hAnsi="黑体" w:eastAsia="黑体" w:cs="仿宋"/>
              <w:szCs w:val="32"/>
            </w:rPr>
            <w:t>第二节 稳步扩大消费需求</w:t>
          </w:r>
          <w:r>
            <w:tab/>
          </w:r>
          <w:r>
            <w:fldChar w:fldCharType="begin"/>
          </w:r>
          <w:r>
            <w:instrText xml:space="preserve"> PAGEREF _Toc22762 </w:instrText>
          </w:r>
          <w:r>
            <w:fldChar w:fldCharType="separate"/>
          </w:r>
          <w:r>
            <w:t>48</w:t>
          </w:r>
          <w:r>
            <w:fldChar w:fldCharType="end"/>
          </w:r>
          <w:r>
            <w:rPr>
              <w:bCs/>
              <w:color w:val="auto"/>
              <w:lang w:val="zh-CN"/>
            </w:rPr>
            <w:fldChar w:fldCharType="end"/>
          </w:r>
        </w:p>
        <w:p>
          <w:pPr>
            <w:pStyle w:val="2"/>
            <w:tabs>
              <w:tab w:val="right" w:leader="dot" w:pos="8306"/>
            </w:tabs>
          </w:pPr>
          <w:r>
            <w:rPr>
              <w:bCs/>
              <w:color w:val="auto"/>
              <w:lang w:val="zh-CN"/>
            </w:rPr>
            <w:fldChar w:fldCharType="begin"/>
          </w:r>
          <w:r>
            <w:rPr>
              <w:bCs/>
              <w:lang w:val="zh-CN"/>
            </w:rPr>
            <w:instrText xml:space="preserve"> HYPERLINK \l _Toc2609 </w:instrText>
          </w:r>
          <w:r>
            <w:rPr>
              <w:bCs/>
              <w:lang w:val="zh-CN"/>
            </w:rPr>
            <w:fldChar w:fldCharType="separate"/>
          </w:r>
          <w:r>
            <w:rPr>
              <w:rFonts w:hint="eastAsia" w:ascii="黑体" w:hAnsi="黑体" w:eastAsia="黑体" w:cs="仿宋"/>
              <w:szCs w:val="32"/>
            </w:rPr>
            <w:t>第三节 深度参与国际国内双循环</w:t>
          </w:r>
          <w:r>
            <w:tab/>
          </w:r>
          <w:r>
            <w:fldChar w:fldCharType="begin"/>
          </w:r>
          <w:r>
            <w:instrText xml:space="preserve"> PAGEREF _Toc2609 </w:instrText>
          </w:r>
          <w:r>
            <w:fldChar w:fldCharType="separate"/>
          </w:r>
          <w:r>
            <w:t>49</w:t>
          </w:r>
          <w:r>
            <w:fldChar w:fldCharType="end"/>
          </w:r>
          <w:r>
            <w:rPr>
              <w:bCs/>
              <w:color w:val="auto"/>
              <w:lang w:val="zh-CN"/>
            </w:rPr>
            <w:fldChar w:fldCharType="end"/>
          </w:r>
        </w:p>
        <w:p>
          <w:pPr>
            <w:pStyle w:val="14"/>
            <w:tabs>
              <w:tab w:val="right" w:leader="dot" w:pos="8306"/>
            </w:tabs>
          </w:pPr>
          <w:r>
            <w:rPr>
              <w:bCs/>
              <w:color w:val="auto"/>
              <w:lang w:val="zh-CN"/>
            </w:rPr>
            <w:fldChar w:fldCharType="begin"/>
          </w:r>
          <w:r>
            <w:rPr>
              <w:bCs/>
              <w:lang w:val="zh-CN"/>
            </w:rPr>
            <w:instrText xml:space="preserve"> HYPERLINK \l _Toc30379 </w:instrText>
          </w:r>
          <w:r>
            <w:rPr>
              <w:bCs/>
              <w:lang w:val="zh-CN"/>
            </w:rPr>
            <w:fldChar w:fldCharType="separate"/>
          </w:r>
          <w:r>
            <w:rPr>
              <w:rFonts w:hint="eastAsia" w:ascii="方正小标宋简体" w:eastAsia="方正小标宋简体" w:cs="仿宋" w:hAnsiTheme="minorEastAsia"/>
              <w:spacing w:val="-12"/>
              <w:szCs w:val="32"/>
            </w:rPr>
            <w:t>第七章 推动基础设施建设，夯实经济社会发展基石</w:t>
          </w:r>
          <w:r>
            <w:tab/>
          </w:r>
          <w:r>
            <w:fldChar w:fldCharType="begin"/>
          </w:r>
          <w:r>
            <w:instrText xml:space="preserve"> PAGEREF _Toc30379 </w:instrText>
          </w:r>
          <w:r>
            <w:fldChar w:fldCharType="separate"/>
          </w:r>
          <w:r>
            <w:t>51</w:t>
          </w:r>
          <w:r>
            <w:fldChar w:fldCharType="end"/>
          </w:r>
          <w:r>
            <w:rPr>
              <w:bCs/>
              <w:color w:val="auto"/>
              <w:lang w:val="zh-CN"/>
            </w:rPr>
            <w:fldChar w:fldCharType="end"/>
          </w:r>
        </w:p>
        <w:p>
          <w:pPr>
            <w:pStyle w:val="2"/>
            <w:tabs>
              <w:tab w:val="right" w:leader="dot" w:pos="8306"/>
            </w:tabs>
          </w:pPr>
          <w:r>
            <w:rPr>
              <w:bCs/>
              <w:color w:val="auto"/>
              <w:lang w:val="zh-CN"/>
            </w:rPr>
            <w:fldChar w:fldCharType="begin"/>
          </w:r>
          <w:r>
            <w:rPr>
              <w:bCs/>
              <w:lang w:val="zh-CN"/>
            </w:rPr>
            <w:instrText xml:space="preserve"> HYPERLINK \l _Toc18046 </w:instrText>
          </w:r>
          <w:r>
            <w:rPr>
              <w:bCs/>
              <w:lang w:val="zh-CN"/>
            </w:rPr>
            <w:fldChar w:fldCharType="separate"/>
          </w:r>
          <w:r>
            <w:rPr>
              <w:rFonts w:hint="eastAsia" w:ascii="黑体" w:hAnsi="黑体" w:eastAsia="黑体" w:cs="仿宋"/>
              <w:szCs w:val="32"/>
            </w:rPr>
            <w:t>第一节 建设现代综合交通体系</w:t>
          </w:r>
          <w:r>
            <w:tab/>
          </w:r>
          <w:r>
            <w:fldChar w:fldCharType="begin"/>
          </w:r>
          <w:r>
            <w:instrText xml:space="preserve"> PAGEREF _Toc18046 </w:instrText>
          </w:r>
          <w:r>
            <w:fldChar w:fldCharType="separate"/>
          </w:r>
          <w:r>
            <w:t>51</w:t>
          </w:r>
          <w:r>
            <w:fldChar w:fldCharType="end"/>
          </w:r>
          <w:r>
            <w:rPr>
              <w:bCs/>
              <w:color w:val="auto"/>
              <w:lang w:val="zh-CN"/>
            </w:rPr>
            <w:fldChar w:fldCharType="end"/>
          </w:r>
        </w:p>
        <w:p>
          <w:pPr>
            <w:pStyle w:val="2"/>
            <w:tabs>
              <w:tab w:val="right" w:leader="dot" w:pos="8306"/>
            </w:tabs>
          </w:pPr>
          <w:r>
            <w:rPr>
              <w:bCs/>
              <w:color w:val="auto"/>
              <w:lang w:val="zh-CN"/>
            </w:rPr>
            <w:fldChar w:fldCharType="begin"/>
          </w:r>
          <w:r>
            <w:rPr>
              <w:bCs/>
              <w:lang w:val="zh-CN"/>
            </w:rPr>
            <w:instrText xml:space="preserve"> HYPERLINK \l _Toc5298 </w:instrText>
          </w:r>
          <w:r>
            <w:rPr>
              <w:bCs/>
              <w:lang w:val="zh-CN"/>
            </w:rPr>
            <w:fldChar w:fldCharType="separate"/>
          </w:r>
          <w:r>
            <w:rPr>
              <w:rFonts w:hint="eastAsia" w:ascii="黑体" w:hAnsi="黑体" w:eastAsia="黑体" w:cs="仿宋"/>
              <w:szCs w:val="32"/>
            </w:rPr>
            <w:t>第二节 适度超前部署新型基础设施</w:t>
          </w:r>
          <w:r>
            <w:tab/>
          </w:r>
          <w:r>
            <w:fldChar w:fldCharType="begin"/>
          </w:r>
          <w:r>
            <w:instrText xml:space="preserve"> PAGEREF _Toc5298 </w:instrText>
          </w:r>
          <w:r>
            <w:fldChar w:fldCharType="separate"/>
          </w:r>
          <w:r>
            <w:t>53</w:t>
          </w:r>
          <w:r>
            <w:fldChar w:fldCharType="end"/>
          </w:r>
          <w:r>
            <w:rPr>
              <w:bCs/>
              <w:color w:val="auto"/>
              <w:lang w:val="zh-CN"/>
            </w:rPr>
            <w:fldChar w:fldCharType="end"/>
          </w:r>
        </w:p>
        <w:p>
          <w:pPr>
            <w:pStyle w:val="2"/>
            <w:tabs>
              <w:tab w:val="right" w:leader="dot" w:pos="8306"/>
            </w:tabs>
          </w:pPr>
          <w:r>
            <w:rPr>
              <w:bCs/>
              <w:color w:val="auto"/>
              <w:lang w:val="zh-CN"/>
            </w:rPr>
            <w:fldChar w:fldCharType="begin"/>
          </w:r>
          <w:r>
            <w:rPr>
              <w:bCs/>
              <w:lang w:val="zh-CN"/>
            </w:rPr>
            <w:instrText xml:space="preserve"> HYPERLINK \l _Toc14523 </w:instrText>
          </w:r>
          <w:r>
            <w:rPr>
              <w:bCs/>
              <w:lang w:val="zh-CN"/>
            </w:rPr>
            <w:fldChar w:fldCharType="separate"/>
          </w:r>
          <w:r>
            <w:rPr>
              <w:rFonts w:hint="eastAsia" w:ascii="黑体" w:hAnsi="黑体" w:eastAsia="黑体" w:cs="仿宋"/>
              <w:szCs w:val="32"/>
            </w:rPr>
            <w:t>第三节 完善能源基础设施保障体系</w:t>
          </w:r>
          <w:r>
            <w:tab/>
          </w:r>
          <w:r>
            <w:fldChar w:fldCharType="begin"/>
          </w:r>
          <w:r>
            <w:instrText xml:space="preserve"> PAGEREF _Toc14523 </w:instrText>
          </w:r>
          <w:r>
            <w:fldChar w:fldCharType="separate"/>
          </w:r>
          <w:r>
            <w:t>55</w:t>
          </w:r>
          <w:r>
            <w:fldChar w:fldCharType="end"/>
          </w:r>
          <w:r>
            <w:rPr>
              <w:bCs/>
              <w:color w:val="auto"/>
              <w:lang w:val="zh-CN"/>
            </w:rPr>
            <w:fldChar w:fldCharType="end"/>
          </w:r>
        </w:p>
        <w:p>
          <w:pPr>
            <w:pStyle w:val="2"/>
            <w:tabs>
              <w:tab w:val="right" w:leader="dot" w:pos="8306"/>
            </w:tabs>
          </w:pPr>
          <w:r>
            <w:rPr>
              <w:bCs/>
              <w:color w:val="auto"/>
              <w:lang w:val="zh-CN"/>
            </w:rPr>
            <w:fldChar w:fldCharType="begin"/>
          </w:r>
          <w:r>
            <w:rPr>
              <w:bCs/>
              <w:lang w:val="zh-CN"/>
            </w:rPr>
            <w:instrText xml:space="preserve"> HYPERLINK \l _Toc2463 </w:instrText>
          </w:r>
          <w:r>
            <w:rPr>
              <w:bCs/>
              <w:lang w:val="zh-CN"/>
            </w:rPr>
            <w:fldChar w:fldCharType="separate"/>
          </w:r>
          <w:r>
            <w:rPr>
              <w:rFonts w:hint="eastAsia" w:ascii="仿宋" w:hAnsi="仿宋" w:eastAsia="仿宋" w:cs="仿宋_GB2312"/>
              <w:bCs/>
              <w:kern w:val="0"/>
              <w:szCs w:val="32"/>
              <w:lang w:bidi="ar"/>
            </w:rPr>
            <w:t xml:space="preserve">第四节 </w:t>
          </w:r>
          <w:r>
            <w:rPr>
              <w:rFonts w:hint="eastAsia" w:ascii="黑体" w:hAnsi="黑体" w:eastAsia="黑体" w:cs="仿宋"/>
              <w:szCs w:val="32"/>
            </w:rPr>
            <w:t>完善水利基础设施保障体系</w:t>
          </w:r>
          <w:r>
            <w:tab/>
          </w:r>
          <w:r>
            <w:fldChar w:fldCharType="begin"/>
          </w:r>
          <w:r>
            <w:instrText xml:space="preserve"> PAGEREF _Toc2463 </w:instrText>
          </w:r>
          <w:r>
            <w:fldChar w:fldCharType="separate"/>
          </w:r>
          <w:r>
            <w:t>56</w:t>
          </w:r>
          <w:r>
            <w:fldChar w:fldCharType="end"/>
          </w:r>
          <w:r>
            <w:rPr>
              <w:bCs/>
              <w:color w:val="auto"/>
              <w:lang w:val="zh-CN"/>
            </w:rPr>
            <w:fldChar w:fldCharType="end"/>
          </w:r>
        </w:p>
        <w:p>
          <w:pPr>
            <w:pStyle w:val="14"/>
            <w:tabs>
              <w:tab w:val="right" w:leader="dot" w:pos="8306"/>
            </w:tabs>
          </w:pPr>
          <w:r>
            <w:rPr>
              <w:bCs/>
              <w:color w:val="auto"/>
              <w:lang w:val="zh-CN"/>
            </w:rPr>
            <w:fldChar w:fldCharType="begin"/>
          </w:r>
          <w:r>
            <w:rPr>
              <w:bCs/>
              <w:lang w:val="zh-CN"/>
            </w:rPr>
            <w:instrText xml:space="preserve"> HYPERLINK \l _Toc25893 </w:instrText>
          </w:r>
          <w:r>
            <w:rPr>
              <w:bCs/>
              <w:lang w:val="zh-CN"/>
            </w:rPr>
            <w:fldChar w:fldCharType="separate"/>
          </w:r>
          <w:r>
            <w:rPr>
              <w:rFonts w:hint="eastAsia" w:ascii="方正小标宋简体" w:eastAsia="方正小标宋简体" w:cs="仿宋" w:hAnsiTheme="minorEastAsia"/>
              <w:spacing w:val="-12"/>
              <w:szCs w:val="32"/>
            </w:rPr>
            <w:t>第八章 坚持全面深化改革，打造一流营商环境</w:t>
          </w:r>
          <w:r>
            <w:tab/>
          </w:r>
          <w:r>
            <w:fldChar w:fldCharType="begin"/>
          </w:r>
          <w:r>
            <w:instrText xml:space="preserve"> PAGEREF _Toc25893 </w:instrText>
          </w:r>
          <w:r>
            <w:fldChar w:fldCharType="separate"/>
          </w:r>
          <w:r>
            <w:t>57</w:t>
          </w:r>
          <w:r>
            <w:fldChar w:fldCharType="end"/>
          </w:r>
          <w:r>
            <w:rPr>
              <w:bCs/>
              <w:color w:val="auto"/>
              <w:lang w:val="zh-CN"/>
            </w:rPr>
            <w:fldChar w:fldCharType="end"/>
          </w:r>
        </w:p>
        <w:p>
          <w:pPr>
            <w:pStyle w:val="2"/>
            <w:tabs>
              <w:tab w:val="right" w:leader="dot" w:pos="8306"/>
            </w:tabs>
          </w:pPr>
          <w:r>
            <w:rPr>
              <w:bCs/>
              <w:color w:val="auto"/>
              <w:lang w:val="zh-CN"/>
            </w:rPr>
            <w:fldChar w:fldCharType="begin"/>
          </w:r>
          <w:r>
            <w:rPr>
              <w:bCs/>
              <w:lang w:val="zh-CN"/>
            </w:rPr>
            <w:instrText xml:space="preserve"> HYPERLINK \l _Toc6255 </w:instrText>
          </w:r>
          <w:r>
            <w:rPr>
              <w:bCs/>
              <w:lang w:val="zh-CN"/>
            </w:rPr>
            <w:fldChar w:fldCharType="separate"/>
          </w:r>
          <w:r>
            <w:rPr>
              <w:rFonts w:hint="eastAsia" w:ascii="黑体" w:hAnsi="黑体" w:eastAsia="黑体" w:cs="仿宋"/>
              <w:szCs w:val="32"/>
              <w:lang w:val="zh-CN"/>
            </w:rPr>
            <w:t>第一节 全面优化营商环境</w:t>
          </w:r>
          <w:r>
            <w:tab/>
          </w:r>
          <w:r>
            <w:fldChar w:fldCharType="begin"/>
          </w:r>
          <w:r>
            <w:instrText xml:space="preserve"> PAGEREF _Toc6255 </w:instrText>
          </w:r>
          <w:r>
            <w:fldChar w:fldCharType="separate"/>
          </w:r>
          <w:r>
            <w:t>58</w:t>
          </w:r>
          <w:r>
            <w:fldChar w:fldCharType="end"/>
          </w:r>
          <w:r>
            <w:rPr>
              <w:bCs/>
              <w:color w:val="auto"/>
              <w:lang w:val="zh-CN"/>
            </w:rPr>
            <w:fldChar w:fldCharType="end"/>
          </w:r>
        </w:p>
        <w:p>
          <w:pPr>
            <w:pStyle w:val="2"/>
            <w:tabs>
              <w:tab w:val="right" w:leader="dot" w:pos="8306"/>
            </w:tabs>
          </w:pPr>
          <w:r>
            <w:rPr>
              <w:bCs/>
              <w:color w:val="auto"/>
              <w:lang w:val="zh-CN"/>
            </w:rPr>
            <w:fldChar w:fldCharType="begin"/>
          </w:r>
          <w:r>
            <w:rPr>
              <w:bCs/>
              <w:lang w:val="zh-CN"/>
            </w:rPr>
            <w:instrText xml:space="preserve"> HYPERLINK \l _Toc23470 </w:instrText>
          </w:r>
          <w:r>
            <w:rPr>
              <w:bCs/>
              <w:lang w:val="zh-CN"/>
            </w:rPr>
            <w:fldChar w:fldCharType="separate"/>
          </w:r>
          <w:r>
            <w:rPr>
              <w:rFonts w:hint="eastAsia" w:ascii="黑体" w:hAnsi="黑体" w:eastAsia="黑体" w:cs="仿宋"/>
              <w:szCs w:val="32"/>
              <w:lang w:val="zh-CN"/>
            </w:rPr>
            <w:t>第二节 创新完善政府管理</w:t>
          </w:r>
          <w:r>
            <w:tab/>
          </w:r>
          <w:r>
            <w:fldChar w:fldCharType="begin"/>
          </w:r>
          <w:r>
            <w:instrText xml:space="preserve"> PAGEREF _Toc23470 </w:instrText>
          </w:r>
          <w:r>
            <w:fldChar w:fldCharType="separate"/>
          </w:r>
          <w:r>
            <w:t>58</w:t>
          </w:r>
          <w:r>
            <w:fldChar w:fldCharType="end"/>
          </w:r>
          <w:r>
            <w:rPr>
              <w:bCs/>
              <w:color w:val="auto"/>
              <w:lang w:val="zh-CN"/>
            </w:rPr>
            <w:fldChar w:fldCharType="end"/>
          </w:r>
        </w:p>
        <w:p>
          <w:pPr>
            <w:pStyle w:val="2"/>
            <w:tabs>
              <w:tab w:val="right" w:leader="dot" w:pos="8306"/>
            </w:tabs>
          </w:pPr>
          <w:r>
            <w:rPr>
              <w:bCs/>
              <w:color w:val="auto"/>
              <w:lang w:val="zh-CN"/>
            </w:rPr>
            <w:fldChar w:fldCharType="begin"/>
          </w:r>
          <w:r>
            <w:rPr>
              <w:bCs/>
              <w:lang w:val="zh-CN"/>
            </w:rPr>
            <w:instrText xml:space="preserve"> HYPERLINK \l _Toc11916 </w:instrText>
          </w:r>
          <w:r>
            <w:rPr>
              <w:bCs/>
              <w:lang w:val="zh-CN"/>
            </w:rPr>
            <w:fldChar w:fldCharType="separate"/>
          </w:r>
          <w:r>
            <w:rPr>
              <w:rFonts w:hint="eastAsia" w:ascii="黑体" w:hAnsi="黑体" w:eastAsia="黑体" w:cs="仿宋"/>
              <w:szCs w:val="32"/>
              <w:lang w:val="zh-CN"/>
            </w:rPr>
            <w:t>第三节 推进要素市场化配置改革</w:t>
          </w:r>
          <w:r>
            <w:tab/>
          </w:r>
          <w:r>
            <w:fldChar w:fldCharType="begin"/>
          </w:r>
          <w:r>
            <w:instrText xml:space="preserve"> PAGEREF _Toc11916 </w:instrText>
          </w:r>
          <w:r>
            <w:fldChar w:fldCharType="separate"/>
          </w:r>
          <w:r>
            <w:t>60</w:t>
          </w:r>
          <w:r>
            <w:fldChar w:fldCharType="end"/>
          </w:r>
          <w:r>
            <w:rPr>
              <w:bCs/>
              <w:color w:val="auto"/>
              <w:lang w:val="zh-CN"/>
            </w:rPr>
            <w:fldChar w:fldCharType="end"/>
          </w:r>
        </w:p>
        <w:p>
          <w:pPr>
            <w:pStyle w:val="2"/>
            <w:tabs>
              <w:tab w:val="right" w:leader="dot" w:pos="8306"/>
            </w:tabs>
          </w:pPr>
          <w:r>
            <w:rPr>
              <w:bCs/>
              <w:color w:val="auto"/>
              <w:lang w:val="zh-CN"/>
            </w:rPr>
            <w:fldChar w:fldCharType="begin"/>
          </w:r>
          <w:r>
            <w:rPr>
              <w:bCs/>
              <w:lang w:val="zh-CN"/>
            </w:rPr>
            <w:instrText xml:space="preserve"> HYPERLINK \l _Toc1103 </w:instrText>
          </w:r>
          <w:r>
            <w:rPr>
              <w:bCs/>
              <w:lang w:val="zh-CN"/>
            </w:rPr>
            <w:fldChar w:fldCharType="separate"/>
          </w:r>
          <w:r>
            <w:rPr>
              <w:rFonts w:hint="eastAsia" w:ascii="黑体" w:hAnsi="黑体" w:eastAsia="黑体" w:cs="仿宋"/>
              <w:szCs w:val="32"/>
              <w:lang w:val="zh-CN"/>
            </w:rPr>
            <w:t>第四节 激发各类市场主体活力</w:t>
          </w:r>
          <w:r>
            <w:tab/>
          </w:r>
          <w:r>
            <w:fldChar w:fldCharType="begin"/>
          </w:r>
          <w:r>
            <w:instrText xml:space="preserve"> PAGEREF _Toc1103 </w:instrText>
          </w:r>
          <w:r>
            <w:fldChar w:fldCharType="separate"/>
          </w:r>
          <w:r>
            <w:t>61</w:t>
          </w:r>
          <w:r>
            <w:fldChar w:fldCharType="end"/>
          </w:r>
          <w:r>
            <w:rPr>
              <w:bCs/>
              <w:color w:val="auto"/>
              <w:lang w:val="zh-CN"/>
            </w:rPr>
            <w:fldChar w:fldCharType="end"/>
          </w:r>
        </w:p>
        <w:p>
          <w:pPr>
            <w:pStyle w:val="14"/>
            <w:tabs>
              <w:tab w:val="right" w:leader="dot" w:pos="8306"/>
            </w:tabs>
          </w:pPr>
          <w:r>
            <w:rPr>
              <w:bCs/>
              <w:color w:val="auto"/>
              <w:lang w:val="zh-CN"/>
            </w:rPr>
            <w:fldChar w:fldCharType="begin"/>
          </w:r>
          <w:r>
            <w:rPr>
              <w:bCs/>
              <w:lang w:val="zh-CN"/>
            </w:rPr>
            <w:instrText xml:space="preserve"> HYPERLINK \l _Toc27484 </w:instrText>
          </w:r>
          <w:r>
            <w:rPr>
              <w:bCs/>
              <w:lang w:val="zh-CN"/>
            </w:rPr>
            <w:fldChar w:fldCharType="separate"/>
          </w:r>
          <w:r>
            <w:rPr>
              <w:rFonts w:hint="eastAsia" w:ascii="方正小标宋简体" w:eastAsia="方正小标宋简体" w:cs="仿宋" w:hAnsiTheme="minorEastAsia"/>
              <w:spacing w:val="-12"/>
              <w:szCs w:val="32"/>
            </w:rPr>
            <w:t>第九章 坚持农业农村优先，深入实施乡村振兴战略</w:t>
          </w:r>
          <w:r>
            <w:tab/>
          </w:r>
          <w:r>
            <w:fldChar w:fldCharType="begin"/>
          </w:r>
          <w:r>
            <w:instrText xml:space="preserve"> PAGEREF _Toc27484 </w:instrText>
          </w:r>
          <w:r>
            <w:fldChar w:fldCharType="separate"/>
          </w:r>
          <w:r>
            <w:t>61</w:t>
          </w:r>
          <w:r>
            <w:fldChar w:fldCharType="end"/>
          </w:r>
          <w:r>
            <w:rPr>
              <w:bCs/>
              <w:color w:val="auto"/>
              <w:lang w:val="zh-CN"/>
            </w:rPr>
            <w:fldChar w:fldCharType="end"/>
          </w:r>
        </w:p>
        <w:p>
          <w:pPr>
            <w:pStyle w:val="2"/>
            <w:tabs>
              <w:tab w:val="right" w:leader="dot" w:pos="8306"/>
            </w:tabs>
          </w:pPr>
          <w:r>
            <w:rPr>
              <w:bCs/>
              <w:color w:val="auto"/>
              <w:lang w:val="zh-CN"/>
            </w:rPr>
            <w:fldChar w:fldCharType="begin"/>
          </w:r>
          <w:r>
            <w:rPr>
              <w:bCs/>
              <w:lang w:val="zh-CN"/>
            </w:rPr>
            <w:instrText xml:space="preserve"> HYPERLINK \l _Toc17124 </w:instrText>
          </w:r>
          <w:r>
            <w:rPr>
              <w:bCs/>
              <w:lang w:val="zh-CN"/>
            </w:rPr>
            <w:fldChar w:fldCharType="separate"/>
          </w:r>
          <w:r>
            <w:rPr>
              <w:rFonts w:hint="eastAsia" w:ascii="黑体" w:hAnsi="黑体" w:eastAsia="黑体" w:cs="仿宋"/>
              <w:szCs w:val="32"/>
              <w:lang w:val="zh-CN"/>
            </w:rPr>
            <w:t>第一节 推动农村面貌改善</w:t>
          </w:r>
          <w:r>
            <w:tab/>
          </w:r>
          <w:r>
            <w:fldChar w:fldCharType="begin"/>
          </w:r>
          <w:r>
            <w:instrText xml:space="preserve"> PAGEREF _Toc17124 </w:instrText>
          </w:r>
          <w:r>
            <w:fldChar w:fldCharType="separate"/>
          </w:r>
          <w:r>
            <w:t>62</w:t>
          </w:r>
          <w:r>
            <w:fldChar w:fldCharType="end"/>
          </w:r>
          <w:r>
            <w:rPr>
              <w:bCs/>
              <w:color w:val="auto"/>
              <w:lang w:val="zh-CN"/>
            </w:rPr>
            <w:fldChar w:fldCharType="end"/>
          </w:r>
        </w:p>
        <w:p>
          <w:pPr>
            <w:pStyle w:val="2"/>
            <w:tabs>
              <w:tab w:val="right" w:leader="dot" w:pos="8306"/>
            </w:tabs>
          </w:pPr>
          <w:r>
            <w:rPr>
              <w:bCs/>
              <w:color w:val="auto"/>
              <w:lang w:val="zh-CN"/>
            </w:rPr>
            <w:fldChar w:fldCharType="begin"/>
          </w:r>
          <w:r>
            <w:rPr>
              <w:bCs/>
              <w:lang w:val="zh-CN"/>
            </w:rPr>
            <w:instrText xml:space="preserve"> HYPERLINK \l _Toc1328 </w:instrText>
          </w:r>
          <w:r>
            <w:rPr>
              <w:bCs/>
              <w:lang w:val="zh-CN"/>
            </w:rPr>
            <w:fldChar w:fldCharType="separate"/>
          </w:r>
          <w:r>
            <w:rPr>
              <w:rFonts w:hint="eastAsia" w:ascii="黑体" w:hAnsi="黑体" w:eastAsia="黑体" w:cs="仿宋"/>
              <w:szCs w:val="32"/>
              <w:lang w:val="zh-CN"/>
            </w:rPr>
            <w:t>第二节 促进农民生活富裕</w:t>
          </w:r>
          <w:r>
            <w:tab/>
          </w:r>
          <w:r>
            <w:fldChar w:fldCharType="begin"/>
          </w:r>
          <w:r>
            <w:instrText xml:space="preserve"> PAGEREF _Toc1328 </w:instrText>
          </w:r>
          <w:r>
            <w:fldChar w:fldCharType="separate"/>
          </w:r>
          <w:r>
            <w:t>63</w:t>
          </w:r>
          <w:r>
            <w:fldChar w:fldCharType="end"/>
          </w:r>
          <w:r>
            <w:rPr>
              <w:bCs/>
              <w:color w:val="auto"/>
              <w:lang w:val="zh-CN"/>
            </w:rPr>
            <w:fldChar w:fldCharType="end"/>
          </w:r>
        </w:p>
        <w:p>
          <w:pPr>
            <w:pStyle w:val="14"/>
            <w:tabs>
              <w:tab w:val="right" w:leader="dot" w:pos="8306"/>
            </w:tabs>
          </w:pPr>
          <w:r>
            <w:rPr>
              <w:bCs/>
              <w:color w:val="auto"/>
              <w:lang w:val="zh-CN"/>
            </w:rPr>
            <w:fldChar w:fldCharType="begin"/>
          </w:r>
          <w:r>
            <w:rPr>
              <w:bCs/>
              <w:lang w:val="zh-CN"/>
            </w:rPr>
            <w:instrText xml:space="preserve"> HYPERLINK \l _Toc22228 </w:instrText>
          </w:r>
          <w:r>
            <w:rPr>
              <w:bCs/>
              <w:lang w:val="zh-CN"/>
            </w:rPr>
            <w:fldChar w:fldCharType="separate"/>
          </w:r>
          <w:r>
            <w:rPr>
              <w:rFonts w:hint="eastAsia" w:ascii="方正小标宋简体" w:eastAsia="方正小标宋简体" w:cs="仿宋" w:hAnsiTheme="minorEastAsia"/>
              <w:spacing w:val="-12"/>
              <w:szCs w:val="32"/>
            </w:rPr>
            <w:t>第十章 优</w:t>
          </w:r>
          <w:r>
            <w:rPr>
              <w:rFonts w:hint="eastAsia" w:ascii="方正小标宋简体" w:eastAsia="方正小标宋简体" w:cs="仿宋" w:hAnsiTheme="minorEastAsia"/>
              <w:spacing w:val="-12"/>
              <w:szCs w:val="32"/>
              <w:lang w:eastAsia="zh-CN"/>
            </w:rPr>
            <w:t>化</w:t>
          </w:r>
          <w:r>
            <w:rPr>
              <w:rFonts w:hint="eastAsia" w:ascii="方正小标宋简体" w:eastAsia="方正小标宋简体" w:cs="仿宋" w:hAnsiTheme="minorEastAsia"/>
              <w:spacing w:val="-12"/>
              <w:szCs w:val="32"/>
            </w:rPr>
            <w:t>城市空间布局，推进新型城镇化建设</w:t>
          </w:r>
          <w:r>
            <w:tab/>
          </w:r>
          <w:r>
            <w:fldChar w:fldCharType="begin"/>
          </w:r>
          <w:r>
            <w:instrText xml:space="preserve"> PAGEREF _Toc22228 </w:instrText>
          </w:r>
          <w:r>
            <w:fldChar w:fldCharType="separate"/>
          </w:r>
          <w:r>
            <w:t>66</w:t>
          </w:r>
          <w:r>
            <w:fldChar w:fldCharType="end"/>
          </w:r>
          <w:r>
            <w:rPr>
              <w:bCs/>
              <w:color w:val="auto"/>
              <w:lang w:val="zh-CN"/>
            </w:rPr>
            <w:fldChar w:fldCharType="end"/>
          </w:r>
        </w:p>
        <w:p>
          <w:pPr>
            <w:pStyle w:val="2"/>
            <w:tabs>
              <w:tab w:val="right" w:leader="dot" w:pos="8306"/>
            </w:tabs>
          </w:pPr>
          <w:r>
            <w:rPr>
              <w:bCs/>
              <w:color w:val="auto"/>
              <w:lang w:val="zh-CN"/>
            </w:rPr>
            <w:fldChar w:fldCharType="begin"/>
          </w:r>
          <w:r>
            <w:rPr>
              <w:bCs/>
              <w:lang w:val="zh-CN"/>
            </w:rPr>
            <w:instrText xml:space="preserve"> HYPERLINK \l _Toc32449 </w:instrText>
          </w:r>
          <w:r>
            <w:rPr>
              <w:bCs/>
              <w:lang w:val="zh-CN"/>
            </w:rPr>
            <w:fldChar w:fldCharType="separate"/>
          </w:r>
          <w:r>
            <w:rPr>
              <w:rFonts w:hint="eastAsia" w:ascii="黑体" w:hAnsi="黑体" w:eastAsia="黑体" w:cs="仿宋"/>
              <w:szCs w:val="32"/>
            </w:rPr>
            <w:t>第一节 打造“一核一带一轴四点六片”总体空间格局</w:t>
          </w:r>
          <w:r>
            <w:tab/>
          </w:r>
          <w:r>
            <w:fldChar w:fldCharType="begin"/>
          </w:r>
          <w:r>
            <w:instrText xml:space="preserve"> PAGEREF _Toc32449 </w:instrText>
          </w:r>
          <w:r>
            <w:fldChar w:fldCharType="separate"/>
          </w:r>
          <w:r>
            <w:t>66</w:t>
          </w:r>
          <w:r>
            <w:fldChar w:fldCharType="end"/>
          </w:r>
          <w:r>
            <w:rPr>
              <w:bCs/>
              <w:color w:val="auto"/>
              <w:lang w:val="zh-CN"/>
            </w:rPr>
            <w:fldChar w:fldCharType="end"/>
          </w:r>
        </w:p>
        <w:p>
          <w:pPr>
            <w:pStyle w:val="2"/>
            <w:tabs>
              <w:tab w:val="right" w:leader="dot" w:pos="8306"/>
            </w:tabs>
          </w:pPr>
          <w:r>
            <w:rPr>
              <w:bCs/>
              <w:color w:val="auto"/>
              <w:lang w:val="zh-CN"/>
            </w:rPr>
            <w:fldChar w:fldCharType="begin"/>
          </w:r>
          <w:r>
            <w:rPr>
              <w:bCs/>
              <w:lang w:val="zh-CN"/>
            </w:rPr>
            <w:instrText xml:space="preserve"> HYPERLINK \l _Toc15640 </w:instrText>
          </w:r>
          <w:r>
            <w:rPr>
              <w:bCs/>
              <w:lang w:val="zh-CN"/>
            </w:rPr>
            <w:fldChar w:fldCharType="separate"/>
          </w:r>
          <w:r>
            <w:rPr>
              <w:rFonts w:hint="eastAsia" w:ascii="黑体" w:hAnsi="黑体" w:eastAsia="黑体" w:cs="仿宋"/>
              <w:szCs w:val="32"/>
            </w:rPr>
            <w:t>第二节 营造生产生活生态“三生”共赢空间格局</w:t>
          </w:r>
          <w:r>
            <w:tab/>
          </w:r>
          <w:r>
            <w:fldChar w:fldCharType="begin"/>
          </w:r>
          <w:r>
            <w:instrText xml:space="preserve"> PAGEREF _Toc15640 </w:instrText>
          </w:r>
          <w:r>
            <w:fldChar w:fldCharType="separate"/>
          </w:r>
          <w:r>
            <w:t>68</w:t>
          </w:r>
          <w:r>
            <w:fldChar w:fldCharType="end"/>
          </w:r>
          <w:r>
            <w:rPr>
              <w:bCs/>
              <w:color w:val="auto"/>
              <w:lang w:val="zh-CN"/>
            </w:rPr>
            <w:fldChar w:fldCharType="end"/>
          </w:r>
        </w:p>
        <w:p>
          <w:pPr>
            <w:pStyle w:val="2"/>
            <w:tabs>
              <w:tab w:val="right" w:leader="dot" w:pos="8306"/>
            </w:tabs>
          </w:pPr>
          <w:r>
            <w:rPr>
              <w:bCs/>
              <w:color w:val="auto"/>
              <w:lang w:val="zh-CN"/>
            </w:rPr>
            <w:fldChar w:fldCharType="begin"/>
          </w:r>
          <w:r>
            <w:rPr>
              <w:bCs/>
              <w:lang w:val="zh-CN"/>
            </w:rPr>
            <w:instrText xml:space="preserve"> HYPERLINK \l _Toc31147 </w:instrText>
          </w:r>
          <w:r>
            <w:rPr>
              <w:bCs/>
              <w:lang w:val="zh-CN"/>
            </w:rPr>
            <w:fldChar w:fldCharType="separate"/>
          </w:r>
          <w:r>
            <w:rPr>
              <w:rFonts w:hint="eastAsia" w:ascii="黑体" w:hAnsi="黑体" w:eastAsia="黑体" w:cs="仿宋"/>
              <w:szCs w:val="32"/>
              <w:lang w:val="zh-CN"/>
            </w:rPr>
            <w:t>第三节</w:t>
          </w:r>
          <w:r>
            <w:rPr>
              <w:rFonts w:hint="eastAsia" w:ascii="黑体" w:hAnsi="黑体" w:eastAsia="黑体" w:cs="仿宋"/>
              <w:szCs w:val="32"/>
            </w:rPr>
            <w:t xml:space="preserve"> 推动</w:t>
          </w:r>
          <w:r>
            <w:rPr>
              <w:rFonts w:hint="eastAsia" w:ascii="黑体" w:hAnsi="黑体" w:eastAsia="黑体" w:cs="仿宋"/>
              <w:szCs w:val="32"/>
              <w:lang w:eastAsia="zh-CN"/>
            </w:rPr>
            <w:t>城乡</w:t>
          </w:r>
          <w:r>
            <w:rPr>
              <w:rFonts w:hint="eastAsia" w:ascii="黑体" w:hAnsi="黑体" w:eastAsia="黑体" w:cs="仿宋"/>
              <w:szCs w:val="32"/>
            </w:rPr>
            <w:t>经济高质量发展</w:t>
          </w:r>
          <w:r>
            <w:tab/>
          </w:r>
          <w:r>
            <w:fldChar w:fldCharType="begin"/>
          </w:r>
          <w:r>
            <w:instrText xml:space="preserve"> PAGEREF _Toc31147 </w:instrText>
          </w:r>
          <w:r>
            <w:fldChar w:fldCharType="separate"/>
          </w:r>
          <w:r>
            <w:t>69</w:t>
          </w:r>
          <w:r>
            <w:fldChar w:fldCharType="end"/>
          </w:r>
          <w:r>
            <w:rPr>
              <w:bCs/>
              <w:color w:val="auto"/>
              <w:lang w:val="zh-CN"/>
            </w:rPr>
            <w:fldChar w:fldCharType="end"/>
          </w:r>
        </w:p>
        <w:p>
          <w:pPr>
            <w:pStyle w:val="14"/>
            <w:tabs>
              <w:tab w:val="right" w:leader="dot" w:pos="8306"/>
            </w:tabs>
          </w:pPr>
          <w:r>
            <w:rPr>
              <w:bCs/>
              <w:color w:val="auto"/>
              <w:lang w:val="zh-CN"/>
            </w:rPr>
            <w:fldChar w:fldCharType="begin"/>
          </w:r>
          <w:r>
            <w:rPr>
              <w:bCs/>
              <w:lang w:val="zh-CN"/>
            </w:rPr>
            <w:instrText xml:space="preserve"> HYPERLINK \l _Toc20317 </w:instrText>
          </w:r>
          <w:r>
            <w:rPr>
              <w:bCs/>
              <w:lang w:val="zh-CN"/>
            </w:rPr>
            <w:fldChar w:fldCharType="separate"/>
          </w:r>
          <w:r>
            <w:rPr>
              <w:rFonts w:hint="eastAsia" w:ascii="方正小标宋简体" w:eastAsia="方正小标宋简体" w:cs="仿宋" w:hAnsiTheme="minorEastAsia"/>
              <w:spacing w:val="-12"/>
              <w:szCs w:val="32"/>
            </w:rPr>
            <w:t>第十一章 加强生态文明建设，推动海陵岛绿色发展</w:t>
          </w:r>
          <w:r>
            <w:tab/>
          </w:r>
          <w:r>
            <w:fldChar w:fldCharType="begin"/>
          </w:r>
          <w:r>
            <w:instrText xml:space="preserve"> PAGEREF _Toc20317 </w:instrText>
          </w:r>
          <w:r>
            <w:fldChar w:fldCharType="separate"/>
          </w:r>
          <w:r>
            <w:t>69</w:t>
          </w:r>
          <w:r>
            <w:fldChar w:fldCharType="end"/>
          </w:r>
          <w:r>
            <w:rPr>
              <w:bCs/>
              <w:color w:val="auto"/>
              <w:lang w:val="zh-CN"/>
            </w:rPr>
            <w:fldChar w:fldCharType="end"/>
          </w:r>
        </w:p>
        <w:p>
          <w:pPr>
            <w:pStyle w:val="2"/>
            <w:tabs>
              <w:tab w:val="right" w:leader="dot" w:pos="8306"/>
            </w:tabs>
          </w:pPr>
          <w:r>
            <w:rPr>
              <w:bCs/>
              <w:color w:val="auto"/>
              <w:lang w:val="zh-CN"/>
            </w:rPr>
            <w:fldChar w:fldCharType="begin"/>
          </w:r>
          <w:r>
            <w:rPr>
              <w:bCs/>
              <w:lang w:val="zh-CN"/>
            </w:rPr>
            <w:instrText xml:space="preserve"> HYPERLINK \l _Toc5493 </w:instrText>
          </w:r>
          <w:r>
            <w:rPr>
              <w:bCs/>
              <w:lang w:val="zh-CN"/>
            </w:rPr>
            <w:fldChar w:fldCharType="separate"/>
          </w:r>
          <w:r>
            <w:rPr>
              <w:rFonts w:hint="eastAsia" w:ascii="黑体" w:hAnsi="黑体" w:eastAsia="黑体" w:cs="仿宋"/>
              <w:szCs w:val="32"/>
              <w:lang w:val="zh-CN"/>
            </w:rPr>
            <w:t>第一节 加大生态环境保护力度</w:t>
          </w:r>
          <w:r>
            <w:tab/>
          </w:r>
          <w:r>
            <w:fldChar w:fldCharType="begin"/>
          </w:r>
          <w:r>
            <w:instrText xml:space="preserve"> PAGEREF _Toc5493 </w:instrText>
          </w:r>
          <w:r>
            <w:fldChar w:fldCharType="separate"/>
          </w:r>
          <w:r>
            <w:t>70</w:t>
          </w:r>
          <w:r>
            <w:fldChar w:fldCharType="end"/>
          </w:r>
          <w:r>
            <w:rPr>
              <w:bCs/>
              <w:color w:val="auto"/>
              <w:lang w:val="zh-CN"/>
            </w:rPr>
            <w:fldChar w:fldCharType="end"/>
          </w:r>
        </w:p>
        <w:p>
          <w:pPr>
            <w:pStyle w:val="2"/>
            <w:tabs>
              <w:tab w:val="right" w:leader="dot" w:pos="8306"/>
            </w:tabs>
          </w:pPr>
          <w:r>
            <w:rPr>
              <w:bCs/>
              <w:color w:val="auto"/>
              <w:lang w:val="zh-CN"/>
            </w:rPr>
            <w:fldChar w:fldCharType="begin"/>
          </w:r>
          <w:r>
            <w:rPr>
              <w:bCs/>
              <w:lang w:val="zh-CN"/>
            </w:rPr>
            <w:instrText xml:space="preserve"> HYPERLINK \l _Toc29013 </w:instrText>
          </w:r>
          <w:r>
            <w:rPr>
              <w:bCs/>
              <w:lang w:val="zh-CN"/>
            </w:rPr>
            <w:fldChar w:fldCharType="separate"/>
          </w:r>
          <w:r>
            <w:rPr>
              <w:rFonts w:hint="eastAsia" w:ascii="黑体" w:hAnsi="黑体" w:eastAsia="黑体" w:cs="仿宋"/>
              <w:szCs w:val="32"/>
              <w:lang w:val="zh-CN"/>
            </w:rPr>
            <w:t>第二节 大力推动绿色循环低碳发展</w:t>
          </w:r>
          <w:r>
            <w:tab/>
          </w:r>
          <w:r>
            <w:fldChar w:fldCharType="begin"/>
          </w:r>
          <w:r>
            <w:instrText xml:space="preserve"> PAGEREF _Toc29013 </w:instrText>
          </w:r>
          <w:r>
            <w:fldChar w:fldCharType="separate"/>
          </w:r>
          <w:r>
            <w:t>71</w:t>
          </w:r>
          <w:r>
            <w:fldChar w:fldCharType="end"/>
          </w:r>
          <w:r>
            <w:rPr>
              <w:bCs/>
              <w:color w:val="auto"/>
              <w:lang w:val="zh-CN"/>
            </w:rPr>
            <w:fldChar w:fldCharType="end"/>
          </w:r>
        </w:p>
        <w:p>
          <w:pPr>
            <w:pStyle w:val="2"/>
            <w:tabs>
              <w:tab w:val="right" w:leader="dot" w:pos="8306"/>
            </w:tabs>
          </w:pPr>
          <w:r>
            <w:rPr>
              <w:bCs/>
              <w:color w:val="auto"/>
              <w:lang w:val="zh-CN"/>
            </w:rPr>
            <w:fldChar w:fldCharType="begin"/>
          </w:r>
          <w:r>
            <w:rPr>
              <w:bCs/>
              <w:lang w:val="zh-CN"/>
            </w:rPr>
            <w:instrText xml:space="preserve"> HYPERLINK \l _Toc2091 </w:instrText>
          </w:r>
          <w:r>
            <w:rPr>
              <w:bCs/>
              <w:lang w:val="zh-CN"/>
            </w:rPr>
            <w:fldChar w:fldCharType="separate"/>
          </w:r>
          <w:r>
            <w:rPr>
              <w:rFonts w:hint="eastAsia" w:ascii="黑体" w:hAnsi="黑体" w:eastAsia="黑体" w:cs="仿宋"/>
              <w:szCs w:val="32"/>
              <w:lang w:val="zh-CN"/>
            </w:rPr>
            <w:t>第三节 全面推进生态建设</w:t>
          </w:r>
          <w:r>
            <w:tab/>
          </w:r>
          <w:r>
            <w:fldChar w:fldCharType="begin"/>
          </w:r>
          <w:r>
            <w:instrText xml:space="preserve"> PAGEREF _Toc2091 </w:instrText>
          </w:r>
          <w:r>
            <w:fldChar w:fldCharType="separate"/>
          </w:r>
          <w:r>
            <w:t>72</w:t>
          </w:r>
          <w:r>
            <w:fldChar w:fldCharType="end"/>
          </w:r>
          <w:r>
            <w:rPr>
              <w:bCs/>
              <w:color w:val="auto"/>
              <w:lang w:val="zh-CN"/>
            </w:rPr>
            <w:fldChar w:fldCharType="end"/>
          </w:r>
        </w:p>
        <w:p>
          <w:pPr>
            <w:pStyle w:val="14"/>
            <w:tabs>
              <w:tab w:val="right" w:leader="dot" w:pos="8306"/>
            </w:tabs>
          </w:pPr>
          <w:r>
            <w:rPr>
              <w:bCs/>
              <w:color w:val="auto"/>
              <w:lang w:val="zh-CN"/>
            </w:rPr>
            <w:fldChar w:fldCharType="begin"/>
          </w:r>
          <w:r>
            <w:rPr>
              <w:bCs/>
              <w:lang w:val="zh-CN"/>
            </w:rPr>
            <w:instrText xml:space="preserve"> HYPERLINK \l _Toc25974 </w:instrText>
          </w:r>
          <w:r>
            <w:rPr>
              <w:bCs/>
              <w:lang w:val="zh-CN"/>
            </w:rPr>
            <w:fldChar w:fldCharType="separate"/>
          </w:r>
          <w:r>
            <w:rPr>
              <w:rFonts w:hint="eastAsia" w:ascii="方正小标宋简体" w:eastAsia="方正小标宋简体" w:cs="仿宋" w:hAnsiTheme="minorEastAsia"/>
              <w:spacing w:val="-12"/>
              <w:szCs w:val="32"/>
            </w:rPr>
            <w:t>第十二章  着力增进民生福祉，建设幸福海陵</w:t>
          </w:r>
          <w:r>
            <w:tab/>
          </w:r>
          <w:r>
            <w:fldChar w:fldCharType="begin"/>
          </w:r>
          <w:r>
            <w:instrText xml:space="preserve"> PAGEREF _Toc25974 </w:instrText>
          </w:r>
          <w:r>
            <w:fldChar w:fldCharType="separate"/>
          </w:r>
          <w:r>
            <w:t>73</w:t>
          </w:r>
          <w:r>
            <w:fldChar w:fldCharType="end"/>
          </w:r>
          <w:r>
            <w:rPr>
              <w:bCs/>
              <w:color w:val="auto"/>
              <w:lang w:val="zh-CN"/>
            </w:rPr>
            <w:fldChar w:fldCharType="end"/>
          </w:r>
        </w:p>
        <w:p>
          <w:pPr>
            <w:pStyle w:val="2"/>
            <w:tabs>
              <w:tab w:val="right" w:leader="dot" w:pos="8306"/>
            </w:tabs>
          </w:pPr>
          <w:r>
            <w:rPr>
              <w:bCs/>
              <w:color w:val="auto"/>
              <w:lang w:val="zh-CN"/>
            </w:rPr>
            <w:fldChar w:fldCharType="begin"/>
          </w:r>
          <w:r>
            <w:rPr>
              <w:bCs/>
              <w:lang w:val="zh-CN"/>
            </w:rPr>
            <w:instrText xml:space="preserve"> HYPERLINK \l _Toc17569 </w:instrText>
          </w:r>
          <w:r>
            <w:rPr>
              <w:bCs/>
              <w:lang w:val="zh-CN"/>
            </w:rPr>
            <w:fldChar w:fldCharType="separate"/>
          </w:r>
          <w:r>
            <w:rPr>
              <w:rFonts w:hint="eastAsia" w:ascii="黑体" w:hAnsi="黑体" w:eastAsia="黑体" w:cs="仿宋"/>
              <w:szCs w:val="32"/>
              <w:lang w:val="zh-CN"/>
            </w:rPr>
            <w:t>第一节 完善社会保障体系</w:t>
          </w:r>
          <w:r>
            <w:tab/>
          </w:r>
          <w:r>
            <w:fldChar w:fldCharType="begin"/>
          </w:r>
          <w:r>
            <w:instrText xml:space="preserve"> PAGEREF _Toc17569 </w:instrText>
          </w:r>
          <w:r>
            <w:fldChar w:fldCharType="separate"/>
          </w:r>
          <w:r>
            <w:t>73</w:t>
          </w:r>
          <w:r>
            <w:fldChar w:fldCharType="end"/>
          </w:r>
          <w:r>
            <w:rPr>
              <w:bCs/>
              <w:color w:val="auto"/>
              <w:lang w:val="zh-CN"/>
            </w:rPr>
            <w:fldChar w:fldCharType="end"/>
          </w:r>
        </w:p>
        <w:p>
          <w:pPr>
            <w:pStyle w:val="2"/>
            <w:tabs>
              <w:tab w:val="right" w:leader="dot" w:pos="8306"/>
            </w:tabs>
          </w:pPr>
          <w:r>
            <w:rPr>
              <w:bCs/>
              <w:color w:val="auto"/>
              <w:lang w:val="zh-CN"/>
            </w:rPr>
            <w:fldChar w:fldCharType="begin"/>
          </w:r>
          <w:r>
            <w:rPr>
              <w:bCs/>
              <w:lang w:val="zh-CN"/>
            </w:rPr>
            <w:instrText xml:space="preserve"> HYPERLINK \l _Toc27822 </w:instrText>
          </w:r>
          <w:r>
            <w:rPr>
              <w:bCs/>
              <w:lang w:val="zh-CN"/>
            </w:rPr>
            <w:fldChar w:fldCharType="separate"/>
          </w:r>
          <w:r>
            <w:rPr>
              <w:rFonts w:hint="eastAsia" w:ascii="黑体" w:hAnsi="黑体" w:eastAsia="黑体" w:cs="仿宋"/>
              <w:szCs w:val="32"/>
              <w:lang w:val="zh-CN"/>
            </w:rPr>
            <w:t>第二节 提升基础教育综合发展水平</w:t>
          </w:r>
          <w:r>
            <w:tab/>
          </w:r>
          <w:r>
            <w:fldChar w:fldCharType="begin"/>
          </w:r>
          <w:r>
            <w:instrText xml:space="preserve"> PAGEREF _Toc27822 </w:instrText>
          </w:r>
          <w:r>
            <w:fldChar w:fldCharType="separate"/>
          </w:r>
          <w:r>
            <w:t>75</w:t>
          </w:r>
          <w:r>
            <w:fldChar w:fldCharType="end"/>
          </w:r>
          <w:r>
            <w:rPr>
              <w:bCs/>
              <w:color w:val="auto"/>
              <w:lang w:val="zh-CN"/>
            </w:rPr>
            <w:fldChar w:fldCharType="end"/>
          </w:r>
        </w:p>
        <w:p>
          <w:pPr>
            <w:pStyle w:val="2"/>
            <w:tabs>
              <w:tab w:val="right" w:leader="dot" w:pos="8306"/>
            </w:tabs>
          </w:pPr>
          <w:r>
            <w:rPr>
              <w:bCs/>
              <w:color w:val="auto"/>
              <w:lang w:val="zh-CN"/>
            </w:rPr>
            <w:fldChar w:fldCharType="begin"/>
          </w:r>
          <w:r>
            <w:rPr>
              <w:bCs/>
              <w:lang w:val="zh-CN"/>
            </w:rPr>
            <w:instrText xml:space="preserve"> HYPERLINK \l _Toc25544 </w:instrText>
          </w:r>
          <w:r>
            <w:rPr>
              <w:bCs/>
              <w:lang w:val="zh-CN"/>
            </w:rPr>
            <w:fldChar w:fldCharType="separate"/>
          </w:r>
          <w:r>
            <w:rPr>
              <w:rFonts w:hint="eastAsia" w:ascii="黑体" w:hAnsi="黑体" w:eastAsia="黑体" w:cs="仿宋"/>
              <w:szCs w:val="32"/>
              <w:lang w:val="zh-CN"/>
            </w:rPr>
            <w:t>第三节 完善医疗服务体系</w:t>
          </w:r>
          <w:r>
            <w:tab/>
          </w:r>
          <w:r>
            <w:fldChar w:fldCharType="begin"/>
          </w:r>
          <w:r>
            <w:instrText xml:space="preserve"> PAGEREF _Toc25544 </w:instrText>
          </w:r>
          <w:r>
            <w:fldChar w:fldCharType="separate"/>
          </w:r>
          <w:r>
            <w:t>76</w:t>
          </w:r>
          <w:r>
            <w:fldChar w:fldCharType="end"/>
          </w:r>
          <w:r>
            <w:rPr>
              <w:bCs/>
              <w:color w:val="auto"/>
              <w:lang w:val="zh-CN"/>
            </w:rPr>
            <w:fldChar w:fldCharType="end"/>
          </w:r>
        </w:p>
        <w:p>
          <w:pPr>
            <w:pStyle w:val="14"/>
            <w:tabs>
              <w:tab w:val="right" w:leader="dot" w:pos="8306"/>
            </w:tabs>
          </w:pPr>
          <w:r>
            <w:rPr>
              <w:bCs/>
              <w:color w:val="auto"/>
              <w:lang w:val="zh-CN"/>
            </w:rPr>
            <w:fldChar w:fldCharType="begin"/>
          </w:r>
          <w:r>
            <w:rPr>
              <w:bCs/>
              <w:lang w:val="zh-CN"/>
            </w:rPr>
            <w:instrText xml:space="preserve"> HYPERLINK \l _Toc12516 </w:instrText>
          </w:r>
          <w:r>
            <w:rPr>
              <w:bCs/>
              <w:lang w:val="zh-CN"/>
            </w:rPr>
            <w:fldChar w:fldCharType="separate"/>
          </w:r>
          <w:r>
            <w:rPr>
              <w:rFonts w:hint="eastAsia" w:ascii="方正小标宋简体" w:eastAsia="方正小标宋简体" w:cs="仿宋" w:hAnsiTheme="minorEastAsia"/>
              <w:spacing w:val="-12"/>
              <w:szCs w:val="32"/>
            </w:rPr>
            <w:t>第十三章 推动文化繁荣发展，彰显海陵岛特色文化</w:t>
          </w:r>
          <w:r>
            <w:tab/>
          </w:r>
          <w:r>
            <w:fldChar w:fldCharType="begin"/>
          </w:r>
          <w:r>
            <w:instrText xml:space="preserve"> PAGEREF _Toc12516 </w:instrText>
          </w:r>
          <w:r>
            <w:fldChar w:fldCharType="separate"/>
          </w:r>
          <w:r>
            <w:t>77</w:t>
          </w:r>
          <w:r>
            <w:fldChar w:fldCharType="end"/>
          </w:r>
          <w:r>
            <w:rPr>
              <w:bCs/>
              <w:color w:val="auto"/>
              <w:lang w:val="zh-CN"/>
            </w:rPr>
            <w:fldChar w:fldCharType="end"/>
          </w:r>
        </w:p>
        <w:p>
          <w:pPr>
            <w:pStyle w:val="2"/>
            <w:tabs>
              <w:tab w:val="right" w:leader="dot" w:pos="8306"/>
            </w:tabs>
          </w:pPr>
          <w:r>
            <w:rPr>
              <w:bCs/>
              <w:color w:val="auto"/>
              <w:lang w:val="zh-CN"/>
            </w:rPr>
            <w:fldChar w:fldCharType="begin"/>
          </w:r>
          <w:r>
            <w:rPr>
              <w:bCs/>
              <w:lang w:val="zh-CN"/>
            </w:rPr>
            <w:instrText xml:space="preserve"> HYPERLINK \l _Toc29126 </w:instrText>
          </w:r>
          <w:r>
            <w:rPr>
              <w:bCs/>
              <w:lang w:val="zh-CN"/>
            </w:rPr>
            <w:fldChar w:fldCharType="separate"/>
          </w:r>
          <w:r>
            <w:rPr>
              <w:rFonts w:hint="eastAsia" w:ascii="黑体" w:hAnsi="黑体" w:eastAsia="黑体" w:cs="仿宋"/>
              <w:szCs w:val="32"/>
              <w:lang w:val="zh-CN"/>
            </w:rPr>
            <w:t>第一节 提升社会文明程度</w:t>
          </w:r>
          <w:r>
            <w:tab/>
          </w:r>
          <w:r>
            <w:fldChar w:fldCharType="begin"/>
          </w:r>
          <w:r>
            <w:instrText xml:space="preserve"> PAGEREF _Toc29126 </w:instrText>
          </w:r>
          <w:r>
            <w:fldChar w:fldCharType="separate"/>
          </w:r>
          <w:r>
            <w:t>77</w:t>
          </w:r>
          <w:r>
            <w:fldChar w:fldCharType="end"/>
          </w:r>
          <w:r>
            <w:rPr>
              <w:bCs/>
              <w:color w:val="auto"/>
              <w:lang w:val="zh-CN"/>
            </w:rPr>
            <w:fldChar w:fldCharType="end"/>
          </w:r>
        </w:p>
        <w:p>
          <w:pPr>
            <w:pStyle w:val="2"/>
            <w:tabs>
              <w:tab w:val="right" w:leader="dot" w:pos="8306"/>
            </w:tabs>
          </w:pPr>
          <w:r>
            <w:rPr>
              <w:bCs/>
              <w:color w:val="auto"/>
              <w:lang w:val="zh-CN"/>
            </w:rPr>
            <w:fldChar w:fldCharType="begin"/>
          </w:r>
          <w:r>
            <w:rPr>
              <w:bCs/>
              <w:lang w:val="zh-CN"/>
            </w:rPr>
            <w:instrText xml:space="preserve"> HYPERLINK \l _Toc14384 </w:instrText>
          </w:r>
          <w:r>
            <w:rPr>
              <w:bCs/>
              <w:lang w:val="zh-CN"/>
            </w:rPr>
            <w:fldChar w:fldCharType="separate"/>
          </w:r>
          <w:r>
            <w:rPr>
              <w:rFonts w:hint="eastAsia" w:ascii="黑体" w:hAnsi="黑体" w:eastAsia="黑体" w:cs="仿宋"/>
              <w:szCs w:val="32"/>
              <w:lang w:val="zh-CN"/>
            </w:rPr>
            <w:t>第二节 传承弘扬海陵岛特色文化</w:t>
          </w:r>
          <w:r>
            <w:tab/>
          </w:r>
          <w:r>
            <w:fldChar w:fldCharType="begin"/>
          </w:r>
          <w:r>
            <w:instrText xml:space="preserve"> PAGEREF _Toc14384 </w:instrText>
          </w:r>
          <w:r>
            <w:fldChar w:fldCharType="separate"/>
          </w:r>
          <w:r>
            <w:t>78</w:t>
          </w:r>
          <w:r>
            <w:fldChar w:fldCharType="end"/>
          </w:r>
          <w:r>
            <w:rPr>
              <w:bCs/>
              <w:color w:val="auto"/>
              <w:lang w:val="zh-CN"/>
            </w:rPr>
            <w:fldChar w:fldCharType="end"/>
          </w:r>
        </w:p>
        <w:p>
          <w:pPr>
            <w:pStyle w:val="2"/>
            <w:tabs>
              <w:tab w:val="right" w:leader="dot" w:pos="8306"/>
            </w:tabs>
          </w:pPr>
          <w:r>
            <w:rPr>
              <w:bCs/>
              <w:color w:val="auto"/>
              <w:lang w:val="zh-CN"/>
            </w:rPr>
            <w:fldChar w:fldCharType="begin"/>
          </w:r>
          <w:r>
            <w:rPr>
              <w:bCs/>
              <w:lang w:val="zh-CN"/>
            </w:rPr>
            <w:instrText xml:space="preserve"> HYPERLINK \l _Toc1197 </w:instrText>
          </w:r>
          <w:r>
            <w:rPr>
              <w:bCs/>
              <w:lang w:val="zh-CN"/>
            </w:rPr>
            <w:fldChar w:fldCharType="separate"/>
          </w:r>
          <w:r>
            <w:rPr>
              <w:rFonts w:hint="eastAsia" w:ascii="黑体" w:hAnsi="黑体" w:eastAsia="黑体" w:cs="仿宋"/>
              <w:szCs w:val="32"/>
              <w:lang w:val="zh-CN"/>
            </w:rPr>
            <w:t>第三节 提升公共文化服务能力</w:t>
          </w:r>
          <w:r>
            <w:tab/>
          </w:r>
          <w:r>
            <w:fldChar w:fldCharType="begin"/>
          </w:r>
          <w:r>
            <w:instrText xml:space="preserve"> PAGEREF _Toc1197 </w:instrText>
          </w:r>
          <w:r>
            <w:fldChar w:fldCharType="separate"/>
          </w:r>
          <w:r>
            <w:t>79</w:t>
          </w:r>
          <w:r>
            <w:fldChar w:fldCharType="end"/>
          </w:r>
          <w:r>
            <w:rPr>
              <w:bCs/>
              <w:color w:val="auto"/>
              <w:lang w:val="zh-CN"/>
            </w:rPr>
            <w:fldChar w:fldCharType="end"/>
          </w:r>
        </w:p>
        <w:p>
          <w:pPr>
            <w:pStyle w:val="2"/>
            <w:tabs>
              <w:tab w:val="right" w:leader="dot" w:pos="8306"/>
            </w:tabs>
          </w:pPr>
          <w:r>
            <w:rPr>
              <w:bCs/>
              <w:color w:val="auto"/>
              <w:lang w:val="zh-CN"/>
            </w:rPr>
            <w:fldChar w:fldCharType="begin"/>
          </w:r>
          <w:r>
            <w:rPr>
              <w:bCs/>
              <w:lang w:val="zh-CN"/>
            </w:rPr>
            <w:instrText xml:space="preserve"> HYPERLINK \l _Toc20280 </w:instrText>
          </w:r>
          <w:r>
            <w:rPr>
              <w:bCs/>
              <w:lang w:val="zh-CN"/>
            </w:rPr>
            <w:fldChar w:fldCharType="separate"/>
          </w:r>
          <w:r>
            <w:rPr>
              <w:rFonts w:hint="eastAsia" w:ascii="黑体" w:hAnsi="黑体" w:eastAsia="黑体" w:cs="仿宋"/>
              <w:szCs w:val="32"/>
              <w:lang w:val="zh-CN"/>
            </w:rPr>
            <w:t>第四节 加快发展文化产业</w:t>
          </w:r>
          <w:r>
            <w:tab/>
          </w:r>
          <w:r>
            <w:fldChar w:fldCharType="begin"/>
          </w:r>
          <w:r>
            <w:instrText xml:space="preserve"> PAGEREF _Toc20280 </w:instrText>
          </w:r>
          <w:r>
            <w:fldChar w:fldCharType="separate"/>
          </w:r>
          <w:r>
            <w:t>80</w:t>
          </w:r>
          <w:r>
            <w:fldChar w:fldCharType="end"/>
          </w:r>
          <w:r>
            <w:rPr>
              <w:bCs/>
              <w:color w:val="auto"/>
              <w:lang w:val="zh-CN"/>
            </w:rPr>
            <w:fldChar w:fldCharType="end"/>
          </w:r>
        </w:p>
        <w:p>
          <w:pPr>
            <w:pStyle w:val="14"/>
            <w:tabs>
              <w:tab w:val="right" w:leader="dot" w:pos="8306"/>
            </w:tabs>
          </w:pPr>
          <w:r>
            <w:rPr>
              <w:bCs/>
              <w:color w:val="auto"/>
              <w:lang w:val="zh-CN"/>
            </w:rPr>
            <w:fldChar w:fldCharType="begin"/>
          </w:r>
          <w:r>
            <w:rPr>
              <w:bCs/>
              <w:lang w:val="zh-CN"/>
            </w:rPr>
            <w:instrText xml:space="preserve"> HYPERLINK \l _Toc29186 </w:instrText>
          </w:r>
          <w:r>
            <w:rPr>
              <w:bCs/>
              <w:lang w:val="zh-CN"/>
            </w:rPr>
            <w:fldChar w:fldCharType="separate"/>
          </w:r>
          <w:r>
            <w:rPr>
              <w:rFonts w:hint="eastAsia" w:ascii="方正小标宋简体" w:eastAsia="方正小标宋简体" w:cs="仿宋" w:hAnsiTheme="minorEastAsia"/>
              <w:spacing w:val="-12"/>
              <w:szCs w:val="32"/>
            </w:rPr>
            <w:t>第十四章 全面加强治理能力，构建现代化治理体系</w:t>
          </w:r>
          <w:r>
            <w:tab/>
          </w:r>
          <w:r>
            <w:fldChar w:fldCharType="begin"/>
          </w:r>
          <w:r>
            <w:instrText xml:space="preserve"> PAGEREF _Toc29186 </w:instrText>
          </w:r>
          <w:r>
            <w:fldChar w:fldCharType="separate"/>
          </w:r>
          <w:r>
            <w:t>81</w:t>
          </w:r>
          <w:r>
            <w:fldChar w:fldCharType="end"/>
          </w:r>
          <w:r>
            <w:rPr>
              <w:bCs/>
              <w:color w:val="auto"/>
              <w:lang w:val="zh-CN"/>
            </w:rPr>
            <w:fldChar w:fldCharType="end"/>
          </w:r>
        </w:p>
        <w:p>
          <w:pPr>
            <w:pStyle w:val="2"/>
            <w:tabs>
              <w:tab w:val="right" w:leader="dot" w:pos="8306"/>
            </w:tabs>
          </w:pPr>
          <w:r>
            <w:rPr>
              <w:bCs/>
              <w:color w:val="auto"/>
              <w:lang w:val="zh-CN"/>
            </w:rPr>
            <w:fldChar w:fldCharType="begin"/>
          </w:r>
          <w:r>
            <w:rPr>
              <w:bCs/>
              <w:lang w:val="zh-CN"/>
            </w:rPr>
            <w:instrText xml:space="preserve"> HYPERLINK \l _Toc2837 </w:instrText>
          </w:r>
          <w:r>
            <w:rPr>
              <w:bCs/>
              <w:lang w:val="zh-CN"/>
            </w:rPr>
            <w:fldChar w:fldCharType="separate"/>
          </w:r>
          <w:r>
            <w:rPr>
              <w:rFonts w:hint="eastAsia" w:ascii="黑体" w:hAnsi="黑体" w:eastAsia="黑体" w:cs="仿宋"/>
              <w:szCs w:val="32"/>
              <w:lang w:val="zh-CN"/>
            </w:rPr>
            <w:t>第一节 加快推进法治政府建设</w:t>
          </w:r>
          <w:r>
            <w:tab/>
          </w:r>
          <w:r>
            <w:fldChar w:fldCharType="begin"/>
          </w:r>
          <w:r>
            <w:instrText xml:space="preserve"> PAGEREF _Toc2837 </w:instrText>
          </w:r>
          <w:r>
            <w:fldChar w:fldCharType="separate"/>
          </w:r>
          <w:r>
            <w:t>81</w:t>
          </w:r>
          <w:r>
            <w:fldChar w:fldCharType="end"/>
          </w:r>
          <w:r>
            <w:rPr>
              <w:bCs/>
              <w:color w:val="auto"/>
              <w:lang w:val="zh-CN"/>
            </w:rPr>
            <w:fldChar w:fldCharType="end"/>
          </w:r>
        </w:p>
        <w:p>
          <w:pPr>
            <w:pStyle w:val="2"/>
            <w:tabs>
              <w:tab w:val="right" w:leader="dot" w:pos="8306"/>
            </w:tabs>
          </w:pPr>
          <w:r>
            <w:rPr>
              <w:bCs/>
              <w:color w:val="auto"/>
              <w:lang w:val="zh-CN"/>
            </w:rPr>
            <w:fldChar w:fldCharType="begin"/>
          </w:r>
          <w:r>
            <w:rPr>
              <w:bCs/>
              <w:lang w:val="zh-CN"/>
            </w:rPr>
            <w:instrText xml:space="preserve"> HYPERLINK \l _Toc24953 </w:instrText>
          </w:r>
          <w:r>
            <w:rPr>
              <w:bCs/>
              <w:lang w:val="zh-CN"/>
            </w:rPr>
            <w:fldChar w:fldCharType="separate"/>
          </w:r>
          <w:r>
            <w:rPr>
              <w:rFonts w:hint="eastAsia" w:ascii="黑体" w:hAnsi="黑体" w:eastAsia="黑体" w:cs="仿宋"/>
              <w:szCs w:val="32"/>
              <w:lang w:val="zh-CN"/>
            </w:rPr>
            <w:t>第二节 全面推进法治社会建设</w:t>
          </w:r>
          <w:r>
            <w:tab/>
          </w:r>
          <w:r>
            <w:fldChar w:fldCharType="begin"/>
          </w:r>
          <w:r>
            <w:instrText xml:space="preserve"> PAGEREF _Toc24953 </w:instrText>
          </w:r>
          <w:r>
            <w:fldChar w:fldCharType="separate"/>
          </w:r>
          <w:r>
            <w:t>83</w:t>
          </w:r>
          <w:r>
            <w:fldChar w:fldCharType="end"/>
          </w:r>
          <w:r>
            <w:rPr>
              <w:bCs/>
              <w:color w:val="auto"/>
              <w:lang w:val="zh-CN"/>
            </w:rPr>
            <w:fldChar w:fldCharType="end"/>
          </w:r>
        </w:p>
        <w:p>
          <w:pPr>
            <w:pStyle w:val="2"/>
            <w:tabs>
              <w:tab w:val="right" w:leader="dot" w:pos="8306"/>
            </w:tabs>
          </w:pPr>
          <w:r>
            <w:rPr>
              <w:bCs/>
              <w:color w:val="auto"/>
              <w:lang w:val="zh-CN"/>
            </w:rPr>
            <w:fldChar w:fldCharType="begin"/>
          </w:r>
          <w:r>
            <w:rPr>
              <w:bCs/>
              <w:lang w:val="zh-CN"/>
            </w:rPr>
            <w:instrText xml:space="preserve"> HYPERLINK \l _Toc18340 </w:instrText>
          </w:r>
          <w:r>
            <w:rPr>
              <w:bCs/>
              <w:lang w:val="zh-CN"/>
            </w:rPr>
            <w:fldChar w:fldCharType="separate"/>
          </w:r>
          <w:r>
            <w:rPr>
              <w:rFonts w:hint="eastAsia" w:ascii="黑体" w:hAnsi="黑体" w:eastAsia="黑体" w:cs="仿宋"/>
              <w:szCs w:val="32"/>
              <w:lang w:val="zh-CN"/>
            </w:rPr>
            <w:t>第三节 加强和创新社会治理</w:t>
          </w:r>
          <w:r>
            <w:tab/>
          </w:r>
          <w:r>
            <w:fldChar w:fldCharType="begin"/>
          </w:r>
          <w:r>
            <w:instrText xml:space="preserve"> PAGEREF _Toc18340 </w:instrText>
          </w:r>
          <w:r>
            <w:fldChar w:fldCharType="separate"/>
          </w:r>
          <w:r>
            <w:t>83</w:t>
          </w:r>
          <w:r>
            <w:fldChar w:fldCharType="end"/>
          </w:r>
          <w:r>
            <w:rPr>
              <w:bCs/>
              <w:color w:val="auto"/>
              <w:lang w:val="zh-CN"/>
            </w:rPr>
            <w:fldChar w:fldCharType="end"/>
          </w:r>
        </w:p>
        <w:p>
          <w:pPr>
            <w:pStyle w:val="14"/>
            <w:tabs>
              <w:tab w:val="right" w:leader="dot" w:pos="8306"/>
            </w:tabs>
          </w:pPr>
          <w:r>
            <w:rPr>
              <w:bCs/>
              <w:color w:val="auto"/>
              <w:lang w:val="zh-CN"/>
            </w:rPr>
            <w:fldChar w:fldCharType="begin"/>
          </w:r>
          <w:r>
            <w:rPr>
              <w:bCs/>
              <w:lang w:val="zh-CN"/>
            </w:rPr>
            <w:instrText xml:space="preserve"> HYPERLINK \l _Toc11919 </w:instrText>
          </w:r>
          <w:r>
            <w:rPr>
              <w:bCs/>
              <w:lang w:val="zh-CN"/>
            </w:rPr>
            <w:fldChar w:fldCharType="separate"/>
          </w:r>
          <w:r>
            <w:rPr>
              <w:rFonts w:hint="eastAsia" w:ascii="方正小标宋简体" w:eastAsia="方正小标宋简体" w:cs="仿宋" w:hAnsiTheme="minorEastAsia"/>
              <w:spacing w:val="-12"/>
              <w:szCs w:val="32"/>
            </w:rPr>
            <w:t>第十五章 统筹发展和安全，建设更高水平的平安海陵</w:t>
          </w:r>
          <w:r>
            <w:tab/>
          </w:r>
          <w:r>
            <w:fldChar w:fldCharType="begin"/>
          </w:r>
          <w:r>
            <w:instrText xml:space="preserve"> PAGEREF _Toc11919 </w:instrText>
          </w:r>
          <w:r>
            <w:fldChar w:fldCharType="separate"/>
          </w:r>
          <w:r>
            <w:t>84</w:t>
          </w:r>
          <w:r>
            <w:fldChar w:fldCharType="end"/>
          </w:r>
          <w:r>
            <w:rPr>
              <w:bCs/>
              <w:color w:val="auto"/>
              <w:lang w:val="zh-CN"/>
            </w:rPr>
            <w:fldChar w:fldCharType="end"/>
          </w:r>
        </w:p>
        <w:p>
          <w:pPr>
            <w:pStyle w:val="2"/>
            <w:tabs>
              <w:tab w:val="right" w:leader="dot" w:pos="8306"/>
            </w:tabs>
          </w:pPr>
          <w:r>
            <w:rPr>
              <w:bCs/>
              <w:color w:val="auto"/>
              <w:lang w:val="zh-CN"/>
            </w:rPr>
            <w:fldChar w:fldCharType="begin"/>
          </w:r>
          <w:r>
            <w:rPr>
              <w:bCs/>
              <w:lang w:val="zh-CN"/>
            </w:rPr>
            <w:instrText xml:space="preserve"> HYPERLINK \l _Toc27962 </w:instrText>
          </w:r>
          <w:r>
            <w:rPr>
              <w:bCs/>
              <w:lang w:val="zh-CN"/>
            </w:rPr>
            <w:fldChar w:fldCharType="separate"/>
          </w:r>
          <w:r>
            <w:rPr>
              <w:rFonts w:hint="eastAsia" w:ascii="黑体" w:hAnsi="黑体" w:eastAsia="黑体" w:cs="仿宋"/>
              <w:szCs w:val="32"/>
              <w:lang w:val="zh-CN"/>
            </w:rPr>
            <w:t>第一节 加强国家安全体系和能力建设</w:t>
          </w:r>
          <w:r>
            <w:tab/>
          </w:r>
          <w:r>
            <w:fldChar w:fldCharType="begin"/>
          </w:r>
          <w:r>
            <w:instrText xml:space="preserve"> PAGEREF _Toc27962 </w:instrText>
          </w:r>
          <w:r>
            <w:fldChar w:fldCharType="separate"/>
          </w:r>
          <w:r>
            <w:t>84</w:t>
          </w:r>
          <w:r>
            <w:fldChar w:fldCharType="end"/>
          </w:r>
          <w:r>
            <w:rPr>
              <w:bCs/>
              <w:color w:val="auto"/>
              <w:lang w:val="zh-CN"/>
            </w:rPr>
            <w:fldChar w:fldCharType="end"/>
          </w:r>
        </w:p>
        <w:p>
          <w:pPr>
            <w:pStyle w:val="2"/>
            <w:tabs>
              <w:tab w:val="right" w:leader="dot" w:pos="8306"/>
            </w:tabs>
          </w:pPr>
          <w:r>
            <w:rPr>
              <w:bCs/>
              <w:color w:val="auto"/>
              <w:lang w:val="zh-CN"/>
            </w:rPr>
            <w:fldChar w:fldCharType="begin"/>
          </w:r>
          <w:r>
            <w:rPr>
              <w:bCs/>
              <w:lang w:val="zh-CN"/>
            </w:rPr>
            <w:instrText xml:space="preserve"> HYPERLINK \l _Toc22501 </w:instrText>
          </w:r>
          <w:r>
            <w:rPr>
              <w:bCs/>
              <w:lang w:val="zh-CN"/>
            </w:rPr>
            <w:fldChar w:fldCharType="separate"/>
          </w:r>
          <w:r>
            <w:rPr>
              <w:rFonts w:hint="eastAsia" w:ascii="黑体" w:hAnsi="黑体" w:eastAsia="黑体" w:cs="仿宋"/>
              <w:szCs w:val="32"/>
              <w:lang w:val="zh-CN"/>
            </w:rPr>
            <w:t>第二节 保障经济安全</w:t>
          </w:r>
          <w:r>
            <w:tab/>
          </w:r>
          <w:r>
            <w:fldChar w:fldCharType="begin"/>
          </w:r>
          <w:r>
            <w:instrText xml:space="preserve"> PAGEREF _Toc22501 </w:instrText>
          </w:r>
          <w:r>
            <w:fldChar w:fldCharType="separate"/>
          </w:r>
          <w:r>
            <w:t>85</w:t>
          </w:r>
          <w:r>
            <w:fldChar w:fldCharType="end"/>
          </w:r>
          <w:r>
            <w:rPr>
              <w:bCs/>
              <w:color w:val="auto"/>
              <w:lang w:val="zh-CN"/>
            </w:rPr>
            <w:fldChar w:fldCharType="end"/>
          </w:r>
        </w:p>
        <w:p>
          <w:pPr>
            <w:pStyle w:val="2"/>
            <w:tabs>
              <w:tab w:val="right" w:leader="dot" w:pos="8306"/>
            </w:tabs>
          </w:pPr>
          <w:r>
            <w:rPr>
              <w:bCs/>
              <w:color w:val="auto"/>
              <w:lang w:val="zh-CN"/>
            </w:rPr>
            <w:fldChar w:fldCharType="begin"/>
          </w:r>
          <w:r>
            <w:rPr>
              <w:bCs/>
              <w:lang w:val="zh-CN"/>
            </w:rPr>
            <w:instrText xml:space="preserve"> HYPERLINK \l _Toc24846 </w:instrText>
          </w:r>
          <w:r>
            <w:rPr>
              <w:bCs/>
              <w:lang w:val="zh-CN"/>
            </w:rPr>
            <w:fldChar w:fldCharType="separate"/>
          </w:r>
          <w:r>
            <w:rPr>
              <w:rFonts w:hint="eastAsia" w:ascii="黑体" w:hAnsi="黑体" w:eastAsia="黑体" w:cs="仿宋"/>
              <w:szCs w:val="32"/>
              <w:lang w:val="zh-CN"/>
            </w:rPr>
            <w:t>第三节 保障城市公共安全</w:t>
          </w:r>
          <w:r>
            <w:tab/>
          </w:r>
          <w:r>
            <w:fldChar w:fldCharType="begin"/>
          </w:r>
          <w:r>
            <w:instrText xml:space="preserve"> PAGEREF _Toc24846 </w:instrText>
          </w:r>
          <w:r>
            <w:fldChar w:fldCharType="separate"/>
          </w:r>
          <w:r>
            <w:t>86</w:t>
          </w:r>
          <w:r>
            <w:fldChar w:fldCharType="end"/>
          </w:r>
          <w:r>
            <w:rPr>
              <w:bCs/>
              <w:color w:val="auto"/>
              <w:lang w:val="zh-CN"/>
            </w:rPr>
            <w:fldChar w:fldCharType="end"/>
          </w:r>
        </w:p>
        <w:p>
          <w:pPr>
            <w:pStyle w:val="2"/>
            <w:tabs>
              <w:tab w:val="right" w:leader="dot" w:pos="8306"/>
            </w:tabs>
          </w:pPr>
          <w:r>
            <w:rPr>
              <w:bCs/>
              <w:color w:val="auto"/>
              <w:lang w:val="zh-CN"/>
            </w:rPr>
            <w:fldChar w:fldCharType="begin"/>
          </w:r>
          <w:r>
            <w:rPr>
              <w:bCs/>
              <w:lang w:val="zh-CN"/>
            </w:rPr>
            <w:instrText xml:space="preserve"> HYPERLINK \l _Toc29324 </w:instrText>
          </w:r>
          <w:r>
            <w:rPr>
              <w:bCs/>
              <w:lang w:val="zh-CN"/>
            </w:rPr>
            <w:fldChar w:fldCharType="separate"/>
          </w:r>
          <w:r>
            <w:rPr>
              <w:rFonts w:hint="eastAsia" w:ascii="黑体" w:hAnsi="黑体" w:eastAsia="黑体" w:cs="仿宋"/>
              <w:szCs w:val="32"/>
              <w:lang w:val="zh-CN"/>
            </w:rPr>
            <w:t>第四节 维护社会稳定和安全</w:t>
          </w:r>
          <w:r>
            <w:tab/>
          </w:r>
          <w:r>
            <w:fldChar w:fldCharType="begin"/>
          </w:r>
          <w:r>
            <w:instrText xml:space="preserve"> PAGEREF _Toc29324 </w:instrText>
          </w:r>
          <w:r>
            <w:fldChar w:fldCharType="separate"/>
          </w:r>
          <w:r>
            <w:t>90</w:t>
          </w:r>
          <w:r>
            <w:fldChar w:fldCharType="end"/>
          </w:r>
          <w:r>
            <w:rPr>
              <w:bCs/>
              <w:color w:val="auto"/>
              <w:lang w:val="zh-CN"/>
            </w:rPr>
            <w:fldChar w:fldCharType="end"/>
          </w:r>
        </w:p>
        <w:p>
          <w:pPr>
            <w:pStyle w:val="14"/>
            <w:tabs>
              <w:tab w:val="right" w:leader="dot" w:pos="8306"/>
            </w:tabs>
          </w:pPr>
          <w:r>
            <w:rPr>
              <w:bCs/>
              <w:color w:val="auto"/>
              <w:lang w:val="zh-CN"/>
            </w:rPr>
            <w:fldChar w:fldCharType="begin"/>
          </w:r>
          <w:r>
            <w:rPr>
              <w:bCs/>
              <w:lang w:val="zh-CN"/>
            </w:rPr>
            <w:instrText xml:space="preserve"> HYPERLINK \l _Toc24020 </w:instrText>
          </w:r>
          <w:r>
            <w:rPr>
              <w:bCs/>
              <w:lang w:val="zh-CN"/>
            </w:rPr>
            <w:fldChar w:fldCharType="separate"/>
          </w:r>
          <w:r>
            <w:rPr>
              <w:rFonts w:hint="eastAsia" w:ascii="方正小标宋简体" w:eastAsia="方正小标宋简体" w:cs="仿宋" w:hAnsiTheme="minorEastAsia"/>
              <w:spacing w:val="-12"/>
              <w:szCs w:val="32"/>
            </w:rPr>
            <w:t>第十六章 完善规划实施保障机制</w:t>
          </w:r>
          <w:r>
            <w:tab/>
          </w:r>
          <w:r>
            <w:fldChar w:fldCharType="begin"/>
          </w:r>
          <w:r>
            <w:instrText xml:space="preserve"> PAGEREF _Toc24020 </w:instrText>
          </w:r>
          <w:r>
            <w:fldChar w:fldCharType="separate"/>
          </w:r>
          <w:r>
            <w:t>92</w:t>
          </w:r>
          <w:r>
            <w:fldChar w:fldCharType="end"/>
          </w:r>
          <w:r>
            <w:rPr>
              <w:bCs/>
              <w:color w:val="auto"/>
              <w:lang w:val="zh-CN"/>
            </w:rPr>
            <w:fldChar w:fldCharType="end"/>
          </w:r>
        </w:p>
        <w:p>
          <w:pPr>
            <w:pStyle w:val="2"/>
            <w:tabs>
              <w:tab w:val="right" w:leader="dot" w:pos="8306"/>
            </w:tabs>
          </w:pPr>
          <w:r>
            <w:rPr>
              <w:bCs/>
              <w:color w:val="auto"/>
              <w:lang w:val="zh-CN"/>
            </w:rPr>
            <w:fldChar w:fldCharType="begin"/>
          </w:r>
          <w:r>
            <w:rPr>
              <w:bCs/>
              <w:lang w:val="zh-CN"/>
            </w:rPr>
            <w:instrText xml:space="preserve"> HYPERLINK \l _Toc2214 </w:instrText>
          </w:r>
          <w:r>
            <w:rPr>
              <w:bCs/>
              <w:lang w:val="zh-CN"/>
            </w:rPr>
            <w:fldChar w:fldCharType="separate"/>
          </w:r>
          <w:r>
            <w:rPr>
              <w:rFonts w:hint="eastAsia" w:ascii="黑体" w:hAnsi="黑体" w:eastAsia="黑体" w:cs="仿宋"/>
              <w:szCs w:val="32"/>
              <w:lang w:val="zh-CN"/>
            </w:rPr>
            <w:t>第一节 加强党的全面领导</w:t>
          </w:r>
          <w:r>
            <w:tab/>
          </w:r>
          <w:r>
            <w:fldChar w:fldCharType="begin"/>
          </w:r>
          <w:r>
            <w:instrText xml:space="preserve"> PAGEREF _Toc2214 </w:instrText>
          </w:r>
          <w:r>
            <w:fldChar w:fldCharType="separate"/>
          </w:r>
          <w:r>
            <w:t>92</w:t>
          </w:r>
          <w:r>
            <w:fldChar w:fldCharType="end"/>
          </w:r>
          <w:r>
            <w:rPr>
              <w:bCs/>
              <w:color w:val="auto"/>
              <w:lang w:val="zh-CN"/>
            </w:rPr>
            <w:fldChar w:fldCharType="end"/>
          </w:r>
        </w:p>
        <w:p>
          <w:pPr>
            <w:pStyle w:val="2"/>
            <w:tabs>
              <w:tab w:val="right" w:leader="dot" w:pos="8306"/>
            </w:tabs>
          </w:pPr>
          <w:r>
            <w:rPr>
              <w:bCs/>
              <w:color w:val="auto"/>
              <w:lang w:val="zh-CN"/>
            </w:rPr>
            <w:fldChar w:fldCharType="begin"/>
          </w:r>
          <w:r>
            <w:rPr>
              <w:bCs/>
              <w:lang w:val="zh-CN"/>
            </w:rPr>
            <w:instrText xml:space="preserve"> HYPERLINK \l _Toc7779 </w:instrText>
          </w:r>
          <w:r>
            <w:rPr>
              <w:bCs/>
              <w:lang w:val="zh-CN"/>
            </w:rPr>
            <w:fldChar w:fldCharType="separate"/>
          </w:r>
          <w:r>
            <w:rPr>
              <w:rFonts w:hint="eastAsia" w:ascii="黑体" w:hAnsi="黑体" w:eastAsia="黑体" w:cs="仿宋"/>
              <w:szCs w:val="32"/>
              <w:lang w:val="zh-CN"/>
            </w:rPr>
            <w:t>第二节 加强规划衔接</w:t>
          </w:r>
          <w:r>
            <w:tab/>
          </w:r>
          <w:r>
            <w:fldChar w:fldCharType="begin"/>
          </w:r>
          <w:r>
            <w:instrText xml:space="preserve"> PAGEREF _Toc7779 </w:instrText>
          </w:r>
          <w:r>
            <w:fldChar w:fldCharType="separate"/>
          </w:r>
          <w:r>
            <w:t>92</w:t>
          </w:r>
          <w:r>
            <w:fldChar w:fldCharType="end"/>
          </w:r>
          <w:r>
            <w:rPr>
              <w:bCs/>
              <w:color w:val="auto"/>
              <w:lang w:val="zh-CN"/>
            </w:rPr>
            <w:fldChar w:fldCharType="end"/>
          </w:r>
        </w:p>
        <w:p>
          <w:pPr>
            <w:pStyle w:val="2"/>
            <w:tabs>
              <w:tab w:val="right" w:leader="dot" w:pos="8306"/>
            </w:tabs>
          </w:pPr>
          <w:r>
            <w:rPr>
              <w:bCs/>
              <w:color w:val="auto"/>
              <w:lang w:val="zh-CN"/>
            </w:rPr>
            <w:fldChar w:fldCharType="begin"/>
          </w:r>
          <w:r>
            <w:rPr>
              <w:bCs/>
              <w:lang w:val="zh-CN"/>
            </w:rPr>
            <w:instrText xml:space="preserve"> HYPERLINK \l _Toc17920 </w:instrText>
          </w:r>
          <w:r>
            <w:rPr>
              <w:bCs/>
              <w:lang w:val="zh-CN"/>
            </w:rPr>
            <w:fldChar w:fldCharType="separate"/>
          </w:r>
          <w:r>
            <w:rPr>
              <w:rFonts w:hint="eastAsia" w:ascii="黑体" w:hAnsi="黑体" w:eastAsia="黑体" w:cs="仿宋"/>
              <w:szCs w:val="32"/>
              <w:lang w:val="zh-CN"/>
            </w:rPr>
            <w:t>第三节 加强责任分解和任务落实</w:t>
          </w:r>
          <w:r>
            <w:tab/>
          </w:r>
          <w:r>
            <w:fldChar w:fldCharType="begin"/>
          </w:r>
          <w:r>
            <w:instrText xml:space="preserve"> PAGEREF _Toc17920 </w:instrText>
          </w:r>
          <w:r>
            <w:fldChar w:fldCharType="separate"/>
          </w:r>
          <w:r>
            <w:t>92</w:t>
          </w:r>
          <w:r>
            <w:fldChar w:fldCharType="end"/>
          </w:r>
          <w:r>
            <w:rPr>
              <w:bCs/>
              <w:color w:val="auto"/>
              <w:lang w:val="zh-CN"/>
            </w:rPr>
            <w:fldChar w:fldCharType="end"/>
          </w:r>
        </w:p>
        <w:p>
          <w:pPr>
            <w:pStyle w:val="2"/>
            <w:tabs>
              <w:tab w:val="right" w:leader="dot" w:pos="8306"/>
            </w:tabs>
          </w:pPr>
          <w:r>
            <w:rPr>
              <w:bCs/>
              <w:color w:val="auto"/>
              <w:lang w:val="zh-CN"/>
            </w:rPr>
            <w:fldChar w:fldCharType="begin"/>
          </w:r>
          <w:r>
            <w:rPr>
              <w:bCs/>
              <w:lang w:val="zh-CN"/>
            </w:rPr>
            <w:instrText xml:space="preserve"> HYPERLINK \l _Toc21086 </w:instrText>
          </w:r>
          <w:r>
            <w:rPr>
              <w:bCs/>
              <w:lang w:val="zh-CN"/>
            </w:rPr>
            <w:fldChar w:fldCharType="separate"/>
          </w:r>
          <w:r>
            <w:rPr>
              <w:rFonts w:hint="eastAsia" w:ascii="黑体" w:hAnsi="黑体" w:eastAsia="黑体" w:cs="仿宋"/>
              <w:szCs w:val="32"/>
              <w:lang w:val="zh-CN"/>
            </w:rPr>
            <w:t>第四节 强化实施保障</w:t>
          </w:r>
          <w:r>
            <w:tab/>
          </w:r>
          <w:r>
            <w:fldChar w:fldCharType="begin"/>
          </w:r>
          <w:r>
            <w:instrText xml:space="preserve"> PAGEREF _Toc21086 </w:instrText>
          </w:r>
          <w:r>
            <w:fldChar w:fldCharType="separate"/>
          </w:r>
          <w:r>
            <w:t>93</w:t>
          </w:r>
          <w:r>
            <w:fldChar w:fldCharType="end"/>
          </w:r>
          <w:r>
            <w:rPr>
              <w:bCs/>
              <w:color w:val="auto"/>
              <w:lang w:val="zh-CN"/>
            </w:rPr>
            <w:fldChar w:fldCharType="end"/>
          </w:r>
        </w:p>
        <w:p>
          <w:pPr>
            <w:pStyle w:val="2"/>
            <w:tabs>
              <w:tab w:val="right" w:leader="dot" w:pos="8306"/>
            </w:tabs>
          </w:pPr>
          <w:r>
            <w:rPr>
              <w:bCs/>
              <w:color w:val="auto"/>
              <w:lang w:val="zh-CN"/>
            </w:rPr>
            <w:fldChar w:fldCharType="begin"/>
          </w:r>
          <w:r>
            <w:rPr>
              <w:bCs/>
              <w:lang w:val="zh-CN"/>
            </w:rPr>
            <w:instrText xml:space="preserve"> HYPERLINK \l _Toc10901 </w:instrText>
          </w:r>
          <w:r>
            <w:rPr>
              <w:bCs/>
              <w:lang w:val="zh-CN"/>
            </w:rPr>
            <w:fldChar w:fldCharType="separate"/>
          </w:r>
          <w:r>
            <w:rPr>
              <w:rFonts w:hint="eastAsia" w:ascii="黑体" w:hAnsi="黑体" w:eastAsia="黑体" w:cs="仿宋"/>
              <w:szCs w:val="32"/>
              <w:lang w:val="zh-CN"/>
            </w:rPr>
            <w:t>第五节 加强监督考核</w:t>
          </w:r>
          <w:r>
            <w:tab/>
          </w:r>
          <w:r>
            <w:fldChar w:fldCharType="begin"/>
          </w:r>
          <w:r>
            <w:instrText xml:space="preserve"> PAGEREF _Toc10901 </w:instrText>
          </w:r>
          <w:r>
            <w:fldChar w:fldCharType="separate"/>
          </w:r>
          <w:r>
            <w:t>93</w:t>
          </w:r>
          <w:r>
            <w:fldChar w:fldCharType="end"/>
          </w:r>
          <w:r>
            <w:rPr>
              <w:bCs/>
              <w:color w:val="auto"/>
              <w:lang w:val="zh-CN"/>
            </w:rPr>
            <w:fldChar w:fldCharType="end"/>
          </w:r>
        </w:p>
        <w:p>
          <w:pPr>
            <w:pStyle w:val="14"/>
            <w:tabs>
              <w:tab w:val="right" w:leader="dot" w:pos="8306"/>
            </w:tabs>
          </w:pPr>
          <w:r>
            <w:rPr>
              <w:bCs/>
              <w:color w:val="auto"/>
              <w:lang w:val="zh-CN"/>
            </w:rPr>
            <w:fldChar w:fldCharType="begin"/>
          </w:r>
          <w:r>
            <w:rPr>
              <w:bCs/>
              <w:lang w:val="zh-CN"/>
            </w:rPr>
            <w:instrText xml:space="preserve"> HYPERLINK \l _Toc21806 </w:instrText>
          </w:r>
          <w:r>
            <w:rPr>
              <w:bCs/>
              <w:lang w:val="zh-CN"/>
            </w:rPr>
            <w:fldChar w:fldCharType="separate"/>
          </w:r>
          <w:r>
            <w:rPr>
              <w:rFonts w:hint="eastAsia" w:ascii="方正小标宋简体" w:eastAsia="方正小标宋简体" w:cs="仿宋" w:hAnsiTheme="minorEastAsia"/>
              <w:spacing w:val="-12"/>
              <w:szCs w:val="32"/>
            </w:rPr>
            <w:t>附件</w:t>
          </w:r>
          <w:r>
            <w:rPr>
              <w:rFonts w:hint="eastAsia" w:ascii="方正小标宋简体" w:eastAsia="方正小标宋简体" w:cs="仿宋" w:hAnsiTheme="minorEastAsia"/>
              <w:spacing w:val="-12"/>
              <w:szCs w:val="32"/>
              <w:lang w:val="en-US" w:eastAsia="zh-CN"/>
            </w:rPr>
            <w:t>：海陵试验区“十四五”规划重大建设项目汇总表</w:t>
          </w:r>
          <w:r>
            <w:tab/>
          </w:r>
          <w:r>
            <w:fldChar w:fldCharType="begin"/>
          </w:r>
          <w:r>
            <w:instrText xml:space="preserve"> PAGEREF _Toc21806 </w:instrText>
          </w:r>
          <w:r>
            <w:fldChar w:fldCharType="separate"/>
          </w:r>
          <w:r>
            <w:t>95</w:t>
          </w:r>
          <w:r>
            <w:fldChar w:fldCharType="end"/>
          </w:r>
          <w:r>
            <w:rPr>
              <w:bCs/>
              <w:color w:val="auto"/>
              <w:lang w:val="zh-CN"/>
            </w:rPr>
            <w:fldChar w:fldCharType="end"/>
          </w:r>
        </w:p>
        <w:p>
          <w:pPr>
            <w:adjustRightInd w:val="0"/>
            <w:snapToGrid w:val="0"/>
            <w:spacing w:line="600" w:lineRule="exact"/>
            <w:rPr>
              <w:color w:val="auto"/>
            </w:rPr>
          </w:pPr>
          <w:r>
            <w:rPr>
              <w:bCs/>
              <w:color w:val="auto"/>
              <w:lang w:val="zh-CN"/>
            </w:rPr>
            <w:fldChar w:fldCharType="end"/>
          </w:r>
        </w:p>
      </w:sdtContent>
    </w:sdt>
    <w:p>
      <w:pPr>
        <w:adjustRightInd w:val="0"/>
        <w:snapToGrid w:val="0"/>
        <w:spacing w:line="600" w:lineRule="exact"/>
        <w:ind w:firstLine="643" w:firstLineChars="200"/>
        <w:rPr>
          <w:rFonts w:ascii="仿宋" w:hAnsi="仿宋" w:eastAsia="仿宋" w:cs="仿宋"/>
          <w:b/>
          <w:bCs/>
          <w:color w:val="FF0000"/>
          <w:sz w:val="32"/>
          <w:szCs w:val="32"/>
        </w:rPr>
      </w:pPr>
    </w:p>
    <w:p>
      <w:pPr>
        <w:adjustRightInd w:val="0"/>
        <w:snapToGrid w:val="0"/>
        <w:spacing w:line="600" w:lineRule="exact"/>
        <w:ind w:firstLine="640" w:firstLineChars="200"/>
        <w:rPr>
          <w:rFonts w:ascii="仿宋" w:hAnsi="仿宋" w:eastAsia="仿宋" w:cs="仿宋"/>
          <w:color w:val="auto"/>
          <w:sz w:val="32"/>
          <w:szCs w:val="32"/>
        </w:rPr>
      </w:pPr>
    </w:p>
    <w:p>
      <w:pPr>
        <w:adjustRightInd w:val="0"/>
        <w:snapToGrid w:val="0"/>
        <w:spacing w:line="600" w:lineRule="exact"/>
        <w:ind w:firstLine="640" w:firstLineChars="200"/>
        <w:rPr>
          <w:rFonts w:ascii="仿宋" w:hAnsi="仿宋" w:eastAsia="仿宋" w:cs="仿宋"/>
          <w:color w:val="auto"/>
          <w:sz w:val="32"/>
          <w:szCs w:val="32"/>
        </w:rPr>
      </w:pPr>
    </w:p>
    <w:p>
      <w:pPr>
        <w:tabs>
          <w:tab w:val="left" w:pos="7312"/>
        </w:tabs>
        <w:adjustRightInd w:val="0"/>
        <w:snapToGrid w:val="0"/>
        <w:spacing w:line="600" w:lineRule="exact"/>
        <w:rPr>
          <w:rFonts w:ascii="仿宋" w:hAnsi="仿宋" w:eastAsia="仿宋" w:cs="仿宋"/>
          <w:color w:val="auto"/>
          <w:sz w:val="32"/>
          <w:szCs w:val="32"/>
        </w:rPr>
        <w:sectPr>
          <w:pgSz w:w="11906" w:h="16838"/>
          <w:pgMar w:top="1440" w:right="1800" w:bottom="1440" w:left="1800" w:header="851" w:footer="992" w:gutter="0"/>
          <w:cols w:space="720" w:num="1"/>
          <w:docGrid w:type="lines" w:linePitch="312" w:charSpace="0"/>
        </w:sectPr>
      </w:pPr>
      <w:bookmarkStart w:id="2" w:name="OLE_LINK27"/>
    </w:p>
    <w:p>
      <w:pPr>
        <w:widowControl/>
        <w:adjustRightInd w:val="0"/>
        <w:snapToGrid w:val="0"/>
        <w:spacing w:line="6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本规划纲要根据《中共</w:t>
      </w:r>
      <w:r>
        <w:rPr>
          <w:rFonts w:hint="eastAsia" w:ascii="仿宋" w:hAnsi="仿宋" w:eastAsia="仿宋" w:cs="仿宋_GB2312"/>
          <w:color w:val="auto"/>
          <w:sz w:val="32"/>
          <w:szCs w:val="32"/>
          <w:lang w:eastAsia="zh-CN"/>
        </w:rPr>
        <w:t>中央</w:t>
      </w:r>
      <w:r>
        <w:rPr>
          <w:rFonts w:hint="eastAsia" w:ascii="仿宋" w:hAnsi="仿宋" w:eastAsia="仿宋" w:cs="仿宋_GB2312"/>
          <w:color w:val="auto"/>
          <w:sz w:val="32"/>
          <w:szCs w:val="32"/>
        </w:rPr>
        <w:t>关于制定国民经济和社会发展第十四个五年规划的建议》</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《中共广东省委关于制定国民经济和社会发展第十四个五年规划的建议》</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中共阳江市委关于制定国民经济和社会发展第十四个五年规划的建议》编制，主要明确“十四五”时期我区经济社会发展的指导思想、基本原则、发展目标、主要任务，是战略性、纲领性、综合性规划，是区管委会履行经济发展、社会治理、公共服务、环境保护等职责的重要依据，是未来五年我区经济社会发展的宏伟蓝图。</w:t>
      </w:r>
    </w:p>
    <w:p>
      <w:pPr>
        <w:pStyle w:val="3"/>
        <w:rPr>
          <w:color w:val="auto"/>
        </w:rPr>
      </w:pPr>
      <w:bookmarkStart w:id="3" w:name="_Toc27963"/>
      <w:bookmarkStart w:id="4" w:name="_Toc59624825"/>
      <w:bookmarkStart w:id="5" w:name="_Toc17134"/>
    </w:p>
    <w:p>
      <w:pPr>
        <w:adjustRightInd w:val="0"/>
        <w:snapToGrid w:val="0"/>
        <w:spacing w:line="600" w:lineRule="exact"/>
        <w:jc w:val="center"/>
        <w:outlineLvl w:val="0"/>
        <w:rPr>
          <w:rFonts w:ascii="方正小标宋简体" w:eastAsia="方正小标宋简体" w:cs="仿宋" w:hAnsiTheme="minorEastAsia"/>
          <w:color w:val="auto"/>
          <w:spacing w:val="-12"/>
          <w:sz w:val="32"/>
          <w:szCs w:val="32"/>
        </w:rPr>
      </w:pPr>
      <w:bookmarkStart w:id="6" w:name="_Toc3798"/>
      <w:r>
        <w:rPr>
          <w:rFonts w:hint="eastAsia" w:ascii="方正小标宋简体" w:eastAsia="方正小标宋简体" w:cs="仿宋" w:hAnsiTheme="minorEastAsia"/>
          <w:color w:val="auto"/>
          <w:spacing w:val="-12"/>
          <w:sz w:val="32"/>
          <w:szCs w:val="32"/>
        </w:rPr>
        <w:t>第一章 发展基础与环境</w:t>
      </w:r>
      <w:bookmarkEnd w:id="3"/>
      <w:bookmarkEnd w:id="4"/>
      <w:bookmarkEnd w:id="5"/>
      <w:bookmarkEnd w:id="6"/>
    </w:p>
    <w:p>
      <w:pPr>
        <w:topLinePunct/>
        <w:adjustRightInd w:val="0"/>
        <w:snapToGrid w:val="0"/>
        <w:spacing w:line="600" w:lineRule="exact"/>
        <w:ind w:firstLine="640" w:firstLineChars="200"/>
        <w:rPr>
          <w:rFonts w:hint="eastAsia" w:ascii="仿宋" w:hAnsi="仿宋" w:eastAsia="仿宋" w:cs="方正仿宋简体"/>
          <w:color w:val="auto"/>
          <w:sz w:val="32"/>
          <w:szCs w:val="32"/>
        </w:rPr>
      </w:pPr>
      <w:r>
        <w:rPr>
          <w:rFonts w:hint="eastAsia" w:ascii="仿宋" w:hAnsi="仿宋" w:eastAsia="仿宋" w:cs="方正仿宋简体"/>
          <w:color w:val="auto"/>
          <w:sz w:val="32"/>
          <w:szCs w:val="32"/>
        </w:rPr>
        <w:t>“十四五”时期（2021—2025年），是我国由全面建设小康社会向基本实现社会主义现代化迈进的关键时期，“两个一百年”奋斗目标的历史交汇期，也是全面开启社会主义现代化强国建设新征程的重要机遇期。同时，也是海陵岛抢抓重大历史机遇，主动接受粤港澳大湾区、广东沿海经济带、湛茂都市圈等重大区域战略叠加的辐射带动效应，奋力打造国家全域旅游示范区的重要转型发展期。科学编制“海陵岛经济开发试验区国民经济和社会发展第十四个五年规划纲要”，对于海陵岛积极适应以国内大循环为主、国际国内双循环的发展新格局，开创全面深化改革开放新局面，实现经济社会高质量发展具有重大意义。</w:t>
      </w:r>
    </w:p>
    <w:p>
      <w:pPr>
        <w:pStyle w:val="2"/>
      </w:pPr>
    </w:p>
    <w:p>
      <w:pPr>
        <w:adjustRightInd w:val="0"/>
        <w:snapToGrid w:val="0"/>
        <w:spacing w:line="600" w:lineRule="exact"/>
        <w:jc w:val="center"/>
        <w:outlineLvl w:val="1"/>
        <w:rPr>
          <w:rFonts w:ascii="黑体" w:hAnsi="黑体" w:eastAsia="黑体" w:cs="仿宋"/>
          <w:color w:val="auto"/>
          <w:sz w:val="32"/>
          <w:szCs w:val="32"/>
        </w:rPr>
      </w:pPr>
      <w:bookmarkStart w:id="7" w:name="_Toc59624826"/>
      <w:bookmarkStart w:id="8" w:name="_Toc5085"/>
      <w:bookmarkStart w:id="9" w:name="_Toc23215"/>
      <w:bookmarkStart w:id="10" w:name="_Toc27219"/>
      <w:r>
        <w:rPr>
          <w:rFonts w:hint="eastAsia" w:ascii="黑体" w:hAnsi="黑体" w:eastAsia="黑体" w:cs="仿宋"/>
          <w:color w:val="auto"/>
          <w:sz w:val="32"/>
          <w:szCs w:val="32"/>
        </w:rPr>
        <w:t xml:space="preserve">第一节 </w:t>
      </w:r>
      <w:bookmarkEnd w:id="7"/>
      <w:bookmarkEnd w:id="8"/>
      <w:bookmarkEnd w:id="9"/>
      <w:r>
        <w:rPr>
          <w:rFonts w:hint="eastAsia" w:ascii="黑体" w:hAnsi="黑体" w:eastAsia="黑体" w:cs="仿宋"/>
          <w:color w:val="auto"/>
          <w:sz w:val="32"/>
          <w:szCs w:val="32"/>
        </w:rPr>
        <w:t>“十三五”时期取得的发展成就</w:t>
      </w:r>
      <w:bookmarkEnd w:id="10"/>
    </w:p>
    <w:p>
      <w:pPr>
        <w:topLinePunct/>
        <w:adjustRightInd w:val="0"/>
        <w:snapToGrid w:val="0"/>
        <w:spacing w:line="600" w:lineRule="exact"/>
        <w:ind w:firstLine="640" w:firstLineChars="200"/>
        <w:rPr>
          <w:rFonts w:hint="eastAsia" w:ascii="仿宋" w:hAnsi="仿宋" w:eastAsia="仿宋" w:cs="方正仿宋简体"/>
          <w:color w:val="auto"/>
          <w:sz w:val="32"/>
          <w:szCs w:val="32"/>
        </w:rPr>
      </w:pPr>
      <w:r>
        <w:rPr>
          <w:rFonts w:hint="eastAsia" w:ascii="仿宋" w:hAnsi="仿宋" w:eastAsia="仿宋" w:cs="方正仿宋简体"/>
          <w:color w:val="auto"/>
          <w:sz w:val="32"/>
          <w:szCs w:val="32"/>
        </w:rPr>
        <w:t>“十三五”时期，我区坚持以习近平新时代中国特色社会主义思想为指导，抢抓粤港澳大湾区和深圳中国特色社会主义先行示范区建设的重大机遇，坚持“创新、协调、绿色、开放、共享”发展理念，全力推动经济社会高质量发展，严格落实“十三五”规划纲要确定的各项指标目标、重点任务和重大项目，顺利实现全面建成“小康社会”任务目标，为“十四五”发展奠定了坚实基础。</w:t>
      </w:r>
    </w:p>
    <w:p>
      <w:pPr>
        <w:pStyle w:val="17"/>
        <w:adjustRightInd w:val="0"/>
        <w:snapToGrid w:val="0"/>
        <w:spacing w:line="600" w:lineRule="exact"/>
        <w:ind w:left="0" w:leftChars="0" w:firstLine="643" w:firstLineChars="200"/>
        <w:rPr>
          <w:rFonts w:ascii="仿宋" w:hAnsi="仿宋" w:eastAsia="仿宋" w:cs="方正仿宋简体"/>
          <w:color w:val="auto"/>
          <w:sz w:val="32"/>
          <w:szCs w:val="32"/>
        </w:rPr>
      </w:pPr>
      <w:bookmarkStart w:id="11" w:name="_Toc48602241"/>
      <w:bookmarkStart w:id="12" w:name="_Toc51244352"/>
      <w:bookmarkStart w:id="13" w:name="_Toc29197"/>
      <w:r>
        <w:rPr>
          <w:rFonts w:hint="eastAsia" w:ascii="仿宋" w:hAnsi="仿宋" w:eastAsia="仿宋"/>
          <w:b/>
          <w:color w:val="auto"/>
          <w:sz w:val="32"/>
          <w:szCs w:val="32"/>
        </w:rPr>
        <w:t>——产业发展实现突破</w:t>
      </w:r>
      <w:bookmarkEnd w:id="11"/>
      <w:bookmarkEnd w:id="12"/>
      <w:bookmarkEnd w:id="13"/>
      <w:r>
        <w:rPr>
          <w:rFonts w:hint="eastAsia" w:ascii="仿宋" w:hAnsi="仿宋" w:eastAsia="仿宋"/>
          <w:b/>
          <w:color w:val="auto"/>
          <w:sz w:val="32"/>
          <w:szCs w:val="32"/>
        </w:rPr>
        <w:t>。</w:t>
      </w:r>
      <w:r>
        <w:rPr>
          <w:rFonts w:hint="eastAsia" w:ascii="仿宋" w:hAnsi="仿宋" w:eastAsia="仿宋"/>
          <w:b w:val="0"/>
          <w:bCs/>
          <w:color w:val="auto"/>
          <w:sz w:val="32"/>
          <w:szCs w:val="32"/>
        </w:rPr>
        <w:t>2019年全年实现GDP56.65亿元，全年人均GDP为7.06万元</w:t>
      </w:r>
      <w:r>
        <w:rPr>
          <w:rFonts w:hint="eastAsia" w:ascii="仿宋" w:hAnsi="仿宋" w:eastAsia="仿宋"/>
          <w:b w:val="0"/>
          <w:bCs/>
          <w:color w:val="auto"/>
          <w:sz w:val="32"/>
          <w:szCs w:val="32"/>
          <w:lang w:eastAsia="zh-CN"/>
        </w:rPr>
        <w:t>，</w:t>
      </w:r>
      <w:r>
        <w:rPr>
          <w:rFonts w:hint="eastAsia" w:ascii="仿宋" w:hAnsi="仿宋" w:eastAsia="仿宋" w:cs="方正仿宋简体"/>
          <w:color w:val="auto"/>
          <w:sz w:val="32"/>
          <w:szCs w:val="32"/>
        </w:rPr>
        <w:t>三次产业结构从2015年的45.1：4：50.9调整至2019年的47:2.5:50.5。旅游业取得长足发展，2019年接待进岛游客首次突破千万大关，共1000.21万人次，旅游总收入60.81亿元，被认定为广东省第三批全域旅游示范区、“全国十大美丽海岛</w:t>
      </w:r>
      <w:r>
        <w:rPr>
          <w:rFonts w:ascii="仿宋" w:hAnsi="仿宋" w:eastAsia="仿宋" w:cs="方正仿宋简体"/>
          <w:color w:val="auto"/>
          <w:sz w:val="32"/>
          <w:szCs w:val="32"/>
        </w:rPr>
        <w:t>”</w:t>
      </w:r>
      <w:r>
        <w:rPr>
          <w:rFonts w:hint="eastAsia" w:ascii="仿宋" w:hAnsi="仿宋" w:eastAsia="仿宋" w:cs="方正仿宋简体"/>
          <w:color w:val="auto"/>
          <w:sz w:val="32"/>
          <w:szCs w:val="32"/>
        </w:rPr>
        <w:t>。渔业经济成绩斐然，按照“夯实海洋渔业支柱产业、做大海洋渔业品牌”的战略部署，狠抓海水养殖，力促水产品深加工和流通，推广和应用先进海洋渔业科学技术，促进海洋渔业健康、可持续发展。“十三五”期间，全区水产品总产量91.21万吨，</w:t>
      </w:r>
      <w:r>
        <w:rPr>
          <w:rFonts w:hint="eastAsia" w:ascii="仿宋" w:hAnsi="仿宋" w:eastAsia="仿宋" w:cs="方正仿宋简体"/>
          <w:color w:val="auto"/>
          <w:sz w:val="32"/>
          <w:szCs w:val="32"/>
          <w:lang w:eastAsia="zh-CN"/>
        </w:rPr>
        <w:t>年均增长率</w:t>
      </w:r>
      <w:r>
        <w:rPr>
          <w:rFonts w:hint="eastAsia" w:ascii="仿宋" w:hAnsi="仿宋" w:eastAsia="仿宋" w:cs="方正仿宋简体"/>
          <w:color w:val="auto"/>
          <w:sz w:val="32"/>
          <w:szCs w:val="32"/>
        </w:rPr>
        <w:t>2.5%；渔业经济总产值103.65亿元，</w:t>
      </w:r>
      <w:r>
        <w:rPr>
          <w:rFonts w:hint="eastAsia" w:ascii="仿宋" w:hAnsi="仿宋" w:eastAsia="仿宋" w:cs="方正仿宋简体"/>
          <w:color w:val="auto"/>
          <w:sz w:val="32"/>
          <w:szCs w:val="32"/>
          <w:lang w:eastAsia="zh-CN"/>
        </w:rPr>
        <w:t>年均增长率</w:t>
      </w:r>
      <w:r>
        <w:rPr>
          <w:rFonts w:hint="eastAsia" w:ascii="仿宋" w:hAnsi="仿宋" w:eastAsia="仿宋" w:cs="方正仿宋简体"/>
          <w:color w:val="auto"/>
          <w:sz w:val="32"/>
          <w:szCs w:val="32"/>
        </w:rPr>
        <w:t>2.5%。</w:t>
      </w:r>
    </w:p>
    <w:p>
      <w:pPr>
        <w:adjustRightInd w:val="0"/>
        <w:snapToGrid w:val="0"/>
        <w:spacing w:line="600" w:lineRule="exact"/>
        <w:ind w:firstLine="643" w:firstLineChars="200"/>
        <w:rPr>
          <w:rFonts w:ascii="仿宋" w:hAnsi="仿宋" w:eastAsia="仿宋" w:cs="方正仿宋简体"/>
          <w:color w:val="auto"/>
          <w:sz w:val="32"/>
          <w:szCs w:val="32"/>
        </w:rPr>
      </w:pPr>
      <w:r>
        <w:rPr>
          <w:rFonts w:hint="eastAsia" w:ascii="仿宋" w:hAnsi="仿宋" w:eastAsia="仿宋"/>
          <w:b/>
          <w:color w:val="auto"/>
          <w:sz w:val="32"/>
          <w:szCs w:val="32"/>
        </w:rPr>
        <w:t>——社会治理取得实效。</w:t>
      </w:r>
      <w:r>
        <w:rPr>
          <w:rFonts w:hint="eastAsia" w:ascii="仿宋" w:hAnsi="仿宋" w:eastAsia="仿宋" w:cs="方正仿宋简体"/>
          <w:color w:val="auto"/>
          <w:sz w:val="32"/>
          <w:szCs w:val="32"/>
        </w:rPr>
        <w:t>营商环境进一步优化。全区持续深化“放管服”改革，深入推进“一门式一网式”政府服务模式改革。全面推开“证照分离”“多证合一”改革，开办企业便利度有效提升；“数字政府”改革建设不断创新。全覆盖式开展“粤省事”平台宣传推广工作，正式启用阳江市电子公文交换系统，实现完成区、镇、村三级政务服务网门户的配置实施工作以及政务服务事项标准化工作；“平安海陵”建设取得显著成效。加强景点景区隐患排查和治理力度，深入开展渔业安全生产管理。加强地方储备粮管理，稳定粮食正常供应流通。加强食品药品安全监管。大力打击食品药品生产经营违法犯罪行为，加强食品安全检查工作。全面开展扫黑除恶行动，坚决打赢扫黑除恶专项斗争的攻坚战。扎实推进信访维稳，深入排查化解社会涉各领域矛盾问题及涉国家政治安全隐患问题；“法治海陵”建设深入推进。全区全面推进智慧新警务服务建设，积极推动闸坡现代化智慧派出所、敏捷黄金海岸旅游警察服务中心、视频综合治理项目建设，突出智慧新警务建设成果应用，全力构建智慧新警务。</w:t>
      </w:r>
    </w:p>
    <w:p>
      <w:pPr>
        <w:adjustRightInd w:val="0"/>
        <w:snapToGrid w:val="0"/>
        <w:spacing w:line="600" w:lineRule="exact"/>
        <w:ind w:firstLine="643" w:firstLineChars="200"/>
        <w:rPr>
          <w:rFonts w:ascii="仿宋" w:hAnsi="仿宋" w:eastAsia="仿宋" w:cs="方正仿宋简体"/>
          <w:color w:val="auto"/>
          <w:sz w:val="32"/>
          <w:szCs w:val="32"/>
        </w:rPr>
      </w:pPr>
      <w:r>
        <w:rPr>
          <w:rFonts w:hint="eastAsia" w:ascii="仿宋" w:hAnsi="仿宋" w:eastAsia="仿宋"/>
          <w:b/>
          <w:color w:val="auto"/>
          <w:sz w:val="32"/>
          <w:szCs w:val="32"/>
        </w:rPr>
        <w:t>——区域合作取得新突破。</w:t>
      </w:r>
      <w:r>
        <w:rPr>
          <w:rFonts w:hint="eastAsia" w:ascii="仿宋" w:hAnsi="仿宋" w:eastAsia="仿宋" w:cs="方正仿宋简体"/>
          <w:color w:val="auto"/>
          <w:sz w:val="32"/>
          <w:szCs w:val="32"/>
        </w:rPr>
        <w:t>深入贯彻落实省市关于对口帮扶工作决策部署，主动配合横琴新区开展结对合作，积极探索横琴新区可复制可推广经验政策在海陵实施。狠抓产业招商工作，推动两地多渠道交流合作。结合海陵经济社会发展的需要及现有资源禀赋，编制海陵区招商手册，广泛收集各方面项目资源，先后开展重点企业拜访、邀请企业到海陵考察及接待投资者来访等招商活动60余个批次。加快推进产业共建项目，其中包括红树林国家湿地公园访客中心项目、汽车营地乐园项目、东湾景区、石井村、谷寮村等特色乡村旅游等项目建设。有序推进民生共建项目。主动配合横琴加快区人民医院建设，推动医院及时启用，提高海陵人民群众的公共卫生保障水平。投入300万元帮扶资金用于滨海栈道的步道提升、观景亭建设、景观亮化等。</w:t>
      </w:r>
    </w:p>
    <w:p>
      <w:pPr>
        <w:pStyle w:val="17"/>
        <w:adjustRightInd w:val="0"/>
        <w:snapToGrid w:val="0"/>
        <w:spacing w:line="600" w:lineRule="exact"/>
        <w:ind w:left="0" w:leftChars="0" w:firstLine="643" w:firstLineChars="200"/>
        <w:rPr>
          <w:rFonts w:ascii="仿宋" w:hAnsi="仿宋" w:eastAsia="仿宋" w:cs="方正仿宋简体"/>
          <w:color w:val="auto"/>
          <w:sz w:val="32"/>
          <w:szCs w:val="32"/>
        </w:rPr>
      </w:pPr>
      <w:r>
        <w:rPr>
          <w:rFonts w:hint="eastAsia" w:ascii="仿宋" w:hAnsi="仿宋" w:eastAsia="仿宋"/>
          <w:b/>
          <w:color w:val="auto"/>
          <w:sz w:val="32"/>
          <w:szCs w:val="32"/>
        </w:rPr>
        <w:t>——城市发展展现新貌。</w:t>
      </w:r>
      <w:r>
        <w:rPr>
          <w:rFonts w:hint="eastAsia" w:ascii="仿宋" w:hAnsi="仿宋" w:eastAsia="仿宋" w:cs="方正仿宋简体"/>
          <w:color w:val="auto"/>
          <w:sz w:val="32"/>
          <w:szCs w:val="32"/>
        </w:rPr>
        <w:t>市容环境秩序明显改善。常态化开展了占道经营、乱摆乱卖整治工作，城市环境得到明显规范。强化违建查处，管控违建数量。建立健全“发现、制止、处置、监督、问责”部门联动防控查处工作机制，严控我区偷建、抢建、违建行为，开展环境卫生整治工程，强化城区垃圾清理、道路保洁工作，夯实环卫排污设施，推动白蒲旧澳中转站硬件基础设施、白圩王屋巷公厕、辖区两座污水处理厂进行升级改造。强化市政公用设施维护，推动入岛圆盘、双丰圆盘、南海I号大道等景观工程实施。强化路灯管护，实施道路管道检修，及时平整路面，清理疏通排污管道。</w:t>
      </w:r>
    </w:p>
    <w:p>
      <w:pPr>
        <w:adjustRightInd w:val="0"/>
        <w:snapToGrid w:val="0"/>
        <w:spacing w:line="600" w:lineRule="exact"/>
        <w:ind w:firstLine="643" w:firstLineChars="200"/>
        <w:rPr>
          <w:rFonts w:ascii="仿宋" w:hAnsi="仿宋" w:eastAsia="仿宋"/>
          <w:color w:val="auto"/>
          <w:sz w:val="32"/>
          <w:szCs w:val="32"/>
        </w:rPr>
      </w:pPr>
      <w:r>
        <w:rPr>
          <w:rFonts w:hint="eastAsia" w:ascii="仿宋" w:hAnsi="仿宋" w:eastAsia="仿宋"/>
          <w:b/>
          <w:color w:val="auto"/>
          <w:sz w:val="32"/>
          <w:szCs w:val="32"/>
        </w:rPr>
        <w:t>——乡村振兴有序推进。</w:t>
      </w:r>
      <w:r>
        <w:rPr>
          <w:rFonts w:hint="eastAsia" w:ascii="仿宋" w:hAnsi="仿宋" w:eastAsia="仿宋"/>
          <w:color w:val="auto"/>
          <w:sz w:val="32"/>
          <w:szCs w:val="32"/>
        </w:rPr>
        <w:t>深入推进精准扶贫精准脱贫工作，及时落实各项强农惠民政策</w:t>
      </w:r>
      <w:r>
        <w:rPr>
          <w:rFonts w:hint="eastAsia" w:ascii="仿宋" w:hAnsi="仿宋" w:eastAsia="仿宋"/>
          <w:color w:val="auto"/>
          <w:sz w:val="32"/>
          <w:szCs w:val="32"/>
          <w:lang w:eastAsia="zh-CN"/>
        </w:rPr>
        <w:t>，</w:t>
      </w:r>
      <w:r>
        <w:rPr>
          <w:rFonts w:hint="eastAsia" w:ascii="仿宋" w:hAnsi="仿宋" w:eastAsia="仿宋"/>
          <w:b w:val="0"/>
          <w:bCs w:val="0"/>
          <w:strike w:val="0"/>
          <w:dstrike w:val="0"/>
          <w:color w:val="auto"/>
          <w:sz w:val="32"/>
          <w:szCs w:val="32"/>
          <w:highlight w:val="none"/>
          <w:lang w:val="en-US" w:eastAsia="zh-CN"/>
        </w:rPr>
        <w:t>5个行政村</w:t>
      </w:r>
      <w:r>
        <w:rPr>
          <w:rFonts w:hint="eastAsia" w:ascii="仿宋" w:hAnsi="仿宋" w:eastAsia="仿宋"/>
          <w:color w:val="auto"/>
          <w:sz w:val="32"/>
          <w:szCs w:val="32"/>
        </w:rPr>
        <w:t>“省级新农村连片示范片”工程建设顺利</w:t>
      </w:r>
      <w:r>
        <w:rPr>
          <w:rFonts w:hint="eastAsia" w:ascii="仿宋" w:hAnsi="仿宋" w:eastAsia="仿宋"/>
          <w:color w:val="auto"/>
          <w:sz w:val="32"/>
          <w:szCs w:val="32"/>
          <w:lang w:eastAsia="zh-CN"/>
        </w:rPr>
        <w:t>完成</w:t>
      </w:r>
      <w:r>
        <w:rPr>
          <w:rFonts w:hint="eastAsia" w:ascii="仿宋" w:hAnsi="仿宋" w:eastAsia="仿宋"/>
          <w:color w:val="auto"/>
          <w:sz w:val="32"/>
          <w:szCs w:val="32"/>
        </w:rPr>
        <w:t>。“一村一品、一村一特”的乡村振兴模式逐步形成，乡村民宿经济初具规模，旅游产业扶贫成效显著。全域推进农村人居生态环境综合整治，省级新农村示范片和美丽乡村建设稳步进行，多条自然村完成了文化公园建设、巷道硬体化、生产污水处理和生活垃圾收集等项目。</w:t>
      </w:r>
    </w:p>
    <w:p>
      <w:pPr>
        <w:adjustRightInd w:val="0"/>
        <w:snapToGrid w:val="0"/>
        <w:spacing w:line="600" w:lineRule="exact"/>
        <w:ind w:firstLine="643" w:firstLineChars="200"/>
        <w:rPr>
          <w:rFonts w:ascii="仿宋" w:hAnsi="仿宋" w:eastAsia="仿宋"/>
          <w:color w:val="auto"/>
          <w:sz w:val="32"/>
          <w:szCs w:val="32"/>
        </w:rPr>
      </w:pPr>
      <w:r>
        <w:rPr>
          <w:rFonts w:hint="eastAsia" w:ascii="仿宋" w:hAnsi="仿宋" w:eastAsia="仿宋"/>
          <w:b/>
          <w:bCs/>
          <w:color w:val="auto"/>
          <w:sz w:val="32"/>
          <w:szCs w:val="32"/>
        </w:rPr>
        <w:t>——生态环境优势巩固。</w:t>
      </w:r>
      <w:r>
        <w:rPr>
          <w:rFonts w:hint="eastAsia" w:ascii="仿宋" w:hAnsi="仿宋" w:eastAsia="仿宋" w:cs="方正仿宋简体"/>
          <w:color w:val="auto"/>
          <w:sz w:val="32"/>
          <w:szCs w:val="32"/>
        </w:rPr>
        <w:t>大气环境质量持续提升。全区积极开展了“清洁空气行动”，对五围沟、雪流河及11宗水库加强沿河“散乱污”专项整治，对我区餐饮行业开展油烟污染排查。加强森林植被、湿地、沙滩和海水等自然资源的保护力度，推动完成沿海防护林、乡村美化绿化、生态景观林带、特色景观林等林业生态工程以及红树林湿地公园建设；建立了全区企业排污设施实时监控平台，实现了环卫工作市场化管理，全区生活垃圾无害化处理率达100%。建设项目环保审批、环境影响评价、建设项目“三同时”指标执行率均达到100%。</w:t>
      </w:r>
    </w:p>
    <w:p>
      <w:pPr>
        <w:adjustRightInd w:val="0"/>
        <w:snapToGrid w:val="0"/>
        <w:spacing w:line="600" w:lineRule="exact"/>
        <w:ind w:firstLine="643" w:firstLineChars="200"/>
        <w:rPr>
          <w:rFonts w:hint="eastAsia" w:ascii="仿宋" w:hAnsi="仿宋" w:eastAsia="仿宋" w:cs="仿宋"/>
          <w:color w:val="auto"/>
          <w:sz w:val="32"/>
          <w:szCs w:val="32"/>
        </w:rPr>
      </w:pPr>
      <w:r>
        <w:rPr>
          <w:rFonts w:hint="eastAsia" w:ascii="仿宋" w:hAnsi="仿宋" w:eastAsia="仿宋"/>
          <w:b/>
          <w:color w:val="auto"/>
          <w:sz w:val="32"/>
          <w:szCs w:val="32"/>
        </w:rPr>
        <w:t>——民生事业持续提升。</w:t>
      </w:r>
      <w:r>
        <w:rPr>
          <w:rFonts w:hint="eastAsia" w:ascii="仿宋" w:hAnsi="仿宋" w:eastAsia="仿宋" w:cs="方正仿宋简体"/>
          <w:color w:val="auto"/>
          <w:sz w:val="32"/>
          <w:szCs w:val="32"/>
        </w:rPr>
        <w:t>新冠肺炎疫情阻击战取得重大胜利，打赢海陵岛保卫战，常态化防控持续加强。覆盖城乡的社会保险制度初步建成，社会保险覆盖面进一步扩大，各项社保待遇按时足额发放。社保扶贫实现动态清零，城乡居民养老保险应保尽保、应发尽发。积极推进广东省义务教育强镇建设和义务教育现代化建设，不断深化教育体制改革，加强教师队伍建设，改善办学条件，教育教学质量持续提升。全区就业形势基本稳定，先后举办“就业援助月”、“春风行动”、“民营企业招聘周”和高校毕业生“网上招聘月”等招聘活动，千方百计推动创业就业。“十三五”期间，全区城镇累计新增就业0.75万人，失业人员再就业0.09万人，城镇登记失业率控制在3%以内。和谐劳动关系更加稳固，基本建立企业劳动用工备案制度与“劳动关系三方协调机制”，重拳打击恶意欠薪，推动劳动人事争议调解仲裁，依法维护劳动者合法权益。工资收入分配制度改革稳步推进，两次调整机关津补贴和事业单位基本工资和绩效工资标准，扎实推动最低工资标准落实。全区基层公共文化服务水平不断提高，完成莳元、北极、北汀、南村、新盐、白圩社区、白蒲、白雪、山白等行政村（社区）综合性文化服务中心建设有序升级。推动闸坡镇文化站选址搬迁及升级改造，完成海陵岛270</w:t>
      </w:r>
      <w:r>
        <w:rPr>
          <w:rFonts w:hint="eastAsia" w:ascii="微软雅黑" w:hAnsi="微软雅黑" w:eastAsia="微软雅黑" w:cs="微软雅黑"/>
          <w:color w:val="auto"/>
          <w:sz w:val="32"/>
          <w:szCs w:val="32"/>
        </w:rPr>
        <w:t>◦</w:t>
      </w:r>
      <w:r>
        <w:rPr>
          <w:rFonts w:hint="eastAsia" w:ascii="仿宋" w:hAnsi="仿宋" w:eastAsia="仿宋" w:cs="仿宋"/>
          <w:color w:val="auto"/>
          <w:sz w:val="32"/>
          <w:szCs w:val="32"/>
        </w:rPr>
        <w:t>海上书吧阶段性升级改造，区文明实践站建设落地。</w:t>
      </w:r>
    </w:p>
    <w:p>
      <w:pPr>
        <w:widowControl/>
        <w:shd w:val="clear" w:color="auto" w:fill="FFFFFF"/>
        <w:spacing w:line="600" w:lineRule="exact"/>
        <w:jc w:val="center"/>
        <w:rPr>
          <w:rFonts w:hint="eastAsia" w:eastAsia="方正小标宋简体"/>
          <w:b/>
          <w:bCs/>
          <w:color w:val="auto"/>
          <w:kern w:val="0"/>
          <w:sz w:val="28"/>
          <w:szCs w:val="28"/>
        </w:rPr>
      </w:pPr>
      <w:bookmarkStart w:id="14" w:name="_Toc20200"/>
      <w:bookmarkStart w:id="15" w:name="_Toc57125516"/>
      <w:r>
        <w:rPr>
          <w:rFonts w:hint="eastAsia" w:eastAsia="方正小标宋简体"/>
          <w:b/>
          <w:bCs/>
          <w:color w:val="auto"/>
          <w:kern w:val="0"/>
          <w:sz w:val="28"/>
          <w:szCs w:val="28"/>
        </w:rPr>
        <w:t>表1 海陵岛经济开发试验区“十三五”规划主要指标完成情况</w:t>
      </w:r>
      <w:bookmarkEnd w:id="14"/>
      <w:bookmarkEnd w:id="15"/>
      <w:r>
        <w:rPr>
          <w:rFonts w:hint="eastAsia" w:eastAsia="方正小标宋简体"/>
          <w:b/>
          <w:bCs/>
          <w:color w:val="auto"/>
          <w:kern w:val="0"/>
          <w:sz w:val="28"/>
          <w:szCs w:val="28"/>
        </w:rPr>
        <w:t>表</w:t>
      </w:r>
    </w:p>
    <w:tbl>
      <w:tblPr>
        <w:tblStyle w:val="18"/>
        <w:tblW w:w="10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4"/>
        <w:gridCol w:w="982"/>
        <w:gridCol w:w="1145"/>
        <w:gridCol w:w="1309"/>
        <w:gridCol w:w="1064"/>
        <w:gridCol w:w="1364"/>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blHeader/>
          <w:jc w:val="center"/>
        </w:trPr>
        <w:tc>
          <w:tcPr>
            <w:tcW w:w="3164" w:type="dxa"/>
            <w:vMerge w:val="restart"/>
            <w:noWrap w:val="0"/>
            <w:vAlign w:val="center"/>
          </w:tcPr>
          <w:p>
            <w:pPr>
              <w:widowControl/>
              <w:jc w:val="center"/>
              <w:rPr>
                <w:rFonts w:hint="eastAsia" w:ascii="Times New Roman" w:hAnsi="Times New Roman" w:eastAsia="黑体" w:cs="Times New Roman"/>
                <w:color w:val="000000"/>
                <w:kern w:val="0"/>
                <w:sz w:val="22"/>
                <w:lang w:val="en-US" w:eastAsia="zh-CN"/>
              </w:rPr>
            </w:pPr>
            <w:r>
              <w:rPr>
                <w:rFonts w:hint="eastAsia" w:ascii="Times New Roman" w:hAnsi="Times New Roman" w:eastAsia="黑体" w:cs="Times New Roman"/>
                <w:color w:val="000000"/>
                <w:kern w:val="0"/>
                <w:sz w:val="22"/>
                <w:lang w:val="en-US" w:eastAsia="zh-CN"/>
              </w:rPr>
              <w:t>指标</w:t>
            </w:r>
          </w:p>
        </w:tc>
        <w:tc>
          <w:tcPr>
            <w:tcW w:w="982" w:type="dxa"/>
            <w:vMerge w:val="restart"/>
            <w:noWrap w:val="0"/>
            <w:vAlign w:val="center"/>
          </w:tcPr>
          <w:p>
            <w:pPr>
              <w:widowControl/>
              <w:jc w:val="center"/>
              <w:rPr>
                <w:rFonts w:hint="eastAsia" w:ascii="Times New Roman" w:hAnsi="Times New Roman" w:eastAsia="黑体" w:cs="Times New Roman"/>
                <w:color w:val="000000"/>
                <w:kern w:val="0"/>
                <w:sz w:val="22"/>
                <w:lang w:val="en-US" w:eastAsia="zh-CN"/>
              </w:rPr>
            </w:pPr>
            <w:r>
              <w:rPr>
                <w:rFonts w:hint="eastAsia" w:ascii="Times New Roman" w:hAnsi="Times New Roman" w:eastAsia="黑体" w:cs="Times New Roman"/>
                <w:color w:val="000000"/>
                <w:kern w:val="0"/>
                <w:sz w:val="22"/>
                <w:lang w:val="en-US" w:eastAsia="zh-CN"/>
              </w:rPr>
              <w:t>2015年</w:t>
            </w:r>
          </w:p>
        </w:tc>
        <w:tc>
          <w:tcPr>
            <w:tcW w:w="2454" w:type="dxa"/>
            <w:gridSpan w:val="2"/>
            <w:noWrap w:val="0"/>
            <w:vAlign w:val="center"/>
          </w:tcPr>
          <w:p>
            <w:pPr>
              <w:widowControl/>
              <w:jc w:val="center"/>
              <w:rPr>
                <w:rFonts w:hint="eastAsia" w:ascii="Times New Roman" w:hAnsi="Times New Roman" w:eastAsia="黑体" w:cs="Times New Roman"/>
                <w:color w:val="000000"/>
                <w:kern w:val="0"/>
                <w:sz w:val="22"/>
                <w:lang w:val="en-US" w:eastAsia="zh-CN"/>
              </w:rPr>
            </w:pPr>
            <w:r>
              <w:rPr>
                <w:rFonts w:hint="eastAsia" w:ascii="Times New Roman" w:hAnsi="Times New Roman" w:eastAsia="黑体" w:cs="Times New Roman"/>
                <w:color w:val="000000"/>
                <w:kern w:val="0"/>
                <w:sz w:val="22"/>
                <w:lang w:val="en-US" w:eastAsia="zh-CN"/>
              </w:rPr>
              <w:t>“十三五”目标</w:t>
            </w:r>
          </w:p>
        </w:tc>
        <w:tc>
          <w:tcPr>
            <w:tcW w:w="2428" w:type="dxa"/>
            <w:gridSpan w:val="2"/>
            <w:noWrap w:val="0"/>
            <w:vAlign w:val="center"/>
          </w:tcPr>
          <w:p>
            <w:pPr>
              <w:widowControl/>
              <w:jc w:val="center"/>
              <w:rPr>
                <w:rFonts w:hint="eastAsia" w:ascii="Times New Roman" w:hAnsi="Times New Roman" w:eastAsia="黑体" w:cs="Times New Roman"/>
                <w:color w:val="000000"/>
                <w:kern w:val="0"/>
                <w:sz w:val="22"/>
                <w:lang w:val="en-US" w:eastAsia="zh-CN"/>
              </w:rPr>
            </w:pPr>
            <w:r>
              <w:rPr>
                <w:rFonts w:hint="eastAsia" w:ascii="Times New Roman" w:hAnsi="Times New Roman" w:eastAsia="黑体" w:cs="Times New Roman"/>
                <w:color w:val="000000"/>
                <w:kern w:val="0"/>
                <w:sz w:val="22"/>
                <w:lang w:val="en-US" w:eastAsia="zh-CN"/>
              </w:rPr>
              <w:t>“十三五”完成情况</w:t>
            </w:r>
          </w:p>
        </w:tc>
        <w:tc>
          <w:tcPr>
            <w:tcW w:w="1002" w:type="dxa"/>
            <w:vMerge w:val="restart"/>
            <w:noWrap w:val="0"/>
            <w:vAlign w:val="center"/>
          </w:tcPr>
          <w:p>
            <w:pPr>
              <w:widowControl/>
              <w:adjustRightInd w:val="0"/>
              <w:snapToGrid w:val="0"/>
              <w:jc w:val="center"/>
              <w:rPr>
                <w:rFonts w:hint="eastAsia" w:ascii="Times New Roman" w:hAnsi="Times New Roman" w:eastAsia="黑体" w:cs="Times New Roman"/>
                <w:color w:val="000000"/>
                <w:kern w:val="0"/>
                <w:sz w:val="22"/>
                <w:lang w:val="en-US" w:eastAsia="zh-CN"/>
              </w:rPr>
            </w:pPr>
            <w:r>
              <w:rPr>
                <w:rFonts w:hint="eastAsia" w:ascii="Times New Roman" w:hAnsi="Times New Roman" w:eastAsia="黑体" w:cs="Times New Roman"/>
                <w:color w:val="000000"/>
                <w:kern w:val="0"/>
                <w:sz w:val="22"/>
                <w:lang w:val="en-US" w:eastAsia="zh-CN"/>
              </w:rPr>
              <w:t>增速</w:t>
            </w:r>
          </w:p>
          <w:p>
            <w:pPr>
              <w:widowControl/>
              <w:adjustRightInd w:val="0"/>
              <w:snapToGrid w:val="0"/>
              <w:jc w:val="center"/>
              <w:rPr>
                <w:rFonts w:hint="eastAsia" w:ascii="Times New Roman" w:hAnsi="Times New Roman" w:eastAsia="黑体" w:cs="Times New Roman"/>
                <w:b w:val="0"/>
                <w:bCs w:val="0"/>
                <w:color w:val="000000"/>
                <w:kern w:val="0"/>
                <w:sz w:val="20"/>
                <w:szCs w:val="20"/>
                <w:lang w:eastAsia="zh-CN"/>
              </w:rPr>
            </w:pPr>
            <w:r>
              <w:rPr>
                <w:rFonts w:hint="eastAsia" w:ascii="Times New Roman" w:hAnsi="Times New Roman" w:eastAsia="黑体" w:cs="Times New Roman"/>
                <w:color w:val="000000"/>
                <w:kern w:val="0"/>
                <w:sz w:val="22"/>
                <w:lang w:val="en-US" w:eastAsia="zh-CN"/>
              </w:rPr>
              <w:t>差距（%）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3164" w:type="dxa"/>
            <w:vMerge w:val="continue"/>
            <w:noWrap w:val="0"/>
            <w:vAlign w:val="center"/>
          </w:tcPr>
          <w:p>
            <w:pPr>
              <w:widowControl/>
              <w:jc w:val="center"/>
              <w:rPr>
                <w:rFonts w:hint="eastAsia" w:ascii="Times New Roman" w:hAnsi="Times New Roman" w:eastAsia="黑体" w:cs="Times New Roman"/>
                <w:color w:val="000000"/>
                <w:kern w:val="0"/>
                <w:sz w:val="22"/>
                <w:lang w:val="en-US" w:eastAsia="zh-CN"/>
              </w:rPr>
            </w:pPr>
          </w:p>
        </w:tc>
        <w:tc>
          <w:tcPr>
            <w:tcW w:w="982" w:type="dxa"/>
            <w:vMerge w:val="continue"/>
            <w:noWrap w:val="0"/>
            <w:vAlign w:val="center"/>
          </w:tcPr>
          <w:p>
            <w:pPr>
              <w:widowControl/>
              <w:jc w:val="center"/>
              <w:rPr>
                <w:rFonts w:hint="eastAsia" w:ascii="Times New Roman" w:hAnsi="Times New Roman" w:eastAsia="黑体" w:cs="Times New Roman"/>
                <w:color w:val="000000"/>
                <w:kern w:val="0"/>
                <w:sz w:val="22"/>
                <w:lang w:val="en-US" w:eastAsia="zh-CN"/>
              </w:rPr>
            </w:pPr>
          </w:p>
        </w:tc>
        <w:tc>
          <w:tcPr>
            <w:tcW w:w="1145" w:type="dxa"/>
            <w:noWrap w:val="0"/>
            <w:vAlign w:val="center"/>
          </w:tcPr>
          <w:p>
            <w:pPr>
              <w:widowControl/>
              <w:jc w:val="center"/>
              <w:rPr>
                <w:rFonts w:hint="eastAsia" w:ascii="Times New Roman" w:hAnsi="Times New Roman" w:eastAsia="黑体" w:cs="Times New Roman"/>
                <w:color w:val="000000"/>
                <w:kern w:val="0"/>
                <w:sz w:val="22"/>
                <w:lang w:val="en-US" w:eastAsia="zh-CN"/>
              </w:rPr>
            </w:pPr>
            <w:r>
              <w:rPr>
                <w:rFonts w:hint="eastAsia" w:ascii="Times New Roman" w:hAnsi="Times New Roman" w:eastAsia="黑体" w:cs="Times New Roman"/>
                <w:color w:val="000000"/>
                <w:kern w:val="0"/>
                <w:sz w:val="22"/>
                <w:lang w:val="en-US" w:eastAsia="zh-CN"/>
              </w:rPr>
              <w:t>2020年（预计）</w:t>
            </w:r>
          </w:p>
        </w:tc>
        <w:tc>
          <w:tcPr>
            <w:tcW w:w="1309" w:type="dxa"/>
            <w:noWrap w:val="0"/>
            <w:vAlign w:val="center"/>
          </w:tcPr>
          <w:p>
            <w:pPr>
              <w:widowControl/>
              <w:jc w:val="center"/>
              <w:rPr>
                <w:rFonts w:hint="eastAsia" w:ascii="Times New Roman" w:hAnsi="Times New Roman" w:eastAsia="黑体" w:cs="Times New Roman"/>
                <w:color w:val="000000"/>
                <w:kern w:val="0"/>
                <w:sz w:val="22"/>
                <w:lang w:val="en-US" w:eastAsia="zh-CN"/>
              </w:rPr>
            </w:pPr>
            <w:r>
              <w:rPr>
                <w:rFonts w:hint="eastAsia" w:ascii="Times New Roman" w:hAnsi="Times New Roman" w:eastAsia="黑体" w:cs="Times New Roman"/>
                <w:color w:val="000000"/>
                <w:kern w:val="0"/>
                <w:sz w:val="22"/>
                <w:lang w:val="en-US" w:eastAsia="zh-CN"/>
              </w:rPr>
              <w:t>预计年均增长率（%）</w:t>
            </w:r>
          </w:p>
        </w:tc>
        <w:tc>
          <w:tcPr>
            <w:tcW w:w="1064" w:type="dxa"/>
            <w:noWrap w:val="0"/>
            <w:vAlign w:val="center"/>
          </w:tcPr>
          <w:p>
            <w:pPr>
              <w:widowControl/>
              <w:jc w:val="center"/>
              <w:rPr>
                <w:rFonts w:hint="eastAsia" w:ascii="Times New Roman" w:hAnsi="Times New Roman" w:eastAsia="黑体" w:cs="Times New Roman"/>
                <w:color w:val="000000"/>
                <w:kern w:val="0"/>
                <w:sz w:val="22"/>
                <w:lang w:val="en-US" w:eastAsia="zh-CN"/>
              </w:rPr>
            </w:pPr>
            <w:r>
              <w:rPr>
                <w:rFonts w:hint="eastAsia" w:ascii="Times New Roman" w:hAnsi="Times New Roman" w:eastAsia="黑体" w:cs="Times New Roman"/>
                <w:color w:val="000000"/>
                <w:kern w:val="0"/>
                <w:sz w:val="22"/>
                <w:lang w:val="en-US" w:eastAsia="zh-CN"/>
              </w:rPr>
              <w:t>2020年</w:t>
            </w:r>
          </w:p>
        </w:tc>
        <w:tc>
          <w:tcPr>
            <w:tcW w:w="1364" w:type="dxa"/>
            <w:noWrap w:val="0"/>
            <w:vAlign w:val="center"/>
          </w:tcPr>
          <w:p>
            <w:pPr>
              <w:widowControl/>
              <w:jc w:val="center"/>
              <w:rPr>
                <w:rFonts w:hint="eastAsia" w:ascii="Times New Roman" w:hAnsi="Times New Roman" w:eastAsia="黑体" w:cs="Times New Roman"/>
                <w:color w:val="000000"/>
                <w:kern w:val="0"/>
                <w:sz w:val="22"/>
                <w:lang w:val="en-US" w:eastAsia="zh-CN"/>
              </w:rPr>
            </w:pPr>
            <w:r>
              <w:rPr>
                <w:rFonts w:hint="eastAsia" w:ascii="Times New Roman" w:hAnsi="Times New Roman" w:eastAsia="黑体" w:cs="Times New Roman"/>
                <w:color w:val="000000"/>
                <w:kern w:val="0"/>
                <w:sz w:val="22"/>
                <w:lang w:val="en-US" w:eastAsia="zh-CN"/>
              </w:rPr>
              <w:t>年均增长率（%）</w:t>
            </w:r>
          </w:p>
        </w:tc>
        <w:tc>
          <w:tcPr>
            <w:tcW w:w="1002" w:type="dxa"/>
            <w:vMerge w:val="continue"/>
            <w:noWrap w:val="0"/>
            <w:vAlign w:val="center"/>
          </w:tcPr>
          <w:p>
            <w:pPr>
              <w:widowControl/>
              <w:adjustRightInd w:val="0"/>
              <w:snapToGrid w:val="0"/>
              <w:jc w:val="center"/>
              <w:rPr>
                <w:rFonts w:ascii="Times New Roman" w:hAnsi="Times New Roman" w:eastAsia="黑体" w:cs="Times New Roman"/>
                <w:b w:val="0"/>
                <w:bCs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164" w:type="dxa"/>
            <w:noWrap w:val="0"/>
            <w:vAlign w:val="center"/>
          </w:tcPr>
          <w:p>
            <w:pPr>
              <w:widowControl/>
              <w:rPr>
                <w:rFonts w:hint="eastAsia" w:ascii="Times New Roman" w:hAnsi="Times New Roman" w:eastAsia="宋体" w:cs="Times New Roman"/>
                <w:color w:val="000000"/>
                <w:kern w:val="0"/>
                <w:sz w:val="22"/>
                <w:lang w:val="en-US" w:eastAsia="zh-CN"/>
              </w:rPr>
            </w:pPr>
            <w:r>
              <w:rPr>
                <w:rFonts w:hint="eastAsia" w:ascii="Times New Roman" w:hAnsi="Times New Roman" w:eastAsia="宋体" w:cs="Times New Roman"/>
                <w:color w:val="000000"/>
                <w:kern w:val="0"/>
                <w:sz w:val="22"/>
                <w:lang w:val="en-US" w:eastAsia="zh-CN"/>
              </w:rPr>
              <w:t>地区生产总值（亿元）</w:t>
            </w:r>
          </w:p>
        </w:tc>
        <w:tc>
          <w:tcPr>
            <w:tcW w:w="982" w:type="dxa"/>
            <w:noWrap w:val="0"/>
            <w:vAlign w:val="center"/>
          </w:tcPr>
          <w:p>
            <w:pPr>
              <w:widowControl/>
              <w:jc w:val="center"/>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37.68</w:t>
            </w:r>
          </w:p>
        </w:tc>
        <w:tc>
          <w:tcPr>
            <w:tcW w:w="1145" w:type="dxa"/>
            <w:noWrap w:val="0"/>
            <w:vAlign w:val="center"/>
          </w:tcPr>
          <w:p>
            <w:pPr>
              <w:widowControl/>
              <w:jc w:val="center"/>
              <w:rPr>
                <w:rFonts w:hint="default"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55.36</w:t>
            </w:r>
          </w:p>
        </w:tc>
        <w:tc>
          <w:tcPr>
            <w:tcW w:w="1309" w:type="dxa"/>
            <w:noWrap w:val="0"/>
            <w:vAlign w:val="center"/>
          </w:tcPr>
          <w:p>
            <w:pPr>
              <w:widowControl/>
              <w:jc w:val="center"/>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8</w:t>
            </w:r>
          </w:p>
        </w:tc>
        <w:tc>
          <w:tcPr>
            <w:tcW w:w="1064" w:type="dxa"/>
            <w:noWrap w:val="0"/>
            <w:vAlign w:val="center"/>
          </w:tcPr>
          <w:p>
            <w:pPr>
              <w:widowControl/>
              <w:jc w:val="center"/>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44.71</w:t>
            </w:r>
          </w:p>
        </w:tc>
        <w:tc>
          <w:tcPr>
            <w:tcW w:w="1364" w:type="dxa"/>
            <w:noWrap w:val="0"/>
            <w:vAlign w:val="center"/>
          </w:tcPr>
          <w:p>
            <w:pPr>
              <w:widowControl/>
              <w:jc w:val="center"/>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1.93</w:t>
            </w:r>
          </w:p>
        </w:tc>
        <w:tc>
          <w:tcPr>
            <w:tcW w:w="1002" w:type="dxa"/>
            <w:noWrap w:val="0"/>
            <w:vAlign w:val="center"/>
          </w:tcPr>
          <w:p>
            <w:pPr>
              <w:widowControl/>
              <w:jc w:val="center"/>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164" w:type="dxa"/>
            <w:noWrap w:val="0"/>
            <w:vAlign w:val="center"/>
          </w:tcPr>
          <w:p>
            <w:pPr>
              <w:widowControl/>
              <w:rPr>
                <w:rFonts w:hint="eastAsia" w:ascii="Times New Roman" w:hAnsi="Times New Roman" w:eastAsia="宋体" w:cs="Times New Roman"/>
                <w:color w:val="000000"/>
                <w:kern w:val="0"/>
                <w:sz w:val="22"/>
                <w:lang w:val="en-US" w:eastAsia="zh-CN"/>
              </w:rPr>
            </w:pPr>
            <w:r>
              <w:rPr>
                <w:rFonts w:hint="eastAsia" w:ascii="Times New Roman" w:hAnsi="Times New Roman" w:eastAsia="宋体" w:cs="Times New Roman"/>
                <w:color w:val="000000"/>
                <w:kern w:val="0"/>
                <w:sz w:val="22"/>
                <w:lang w:val="en-US" w:eastAsia="zh-CN"/>
              </w:rPr>
              <w:t>农业总产值（亿元）</w:t>
            </w:r>
          </w:p>
        </w:tc>
        <w:tc>
          <w:tcPr>
            <w:tcW w:w="982" w:type="dxa"/>
            <w:noWrap w:val="0"/>
            <w:vAlign w:val="center"/>
          </w:tcPr>
          <w:p>
            <w:pPr>
              <w:widowControl/>
              <w:jc w:val="center"/>
              <w:rPr>
                <w:rFonts w:hint="default"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26.38</w:t>
            </w:r>
          </w:p>
        </w:tc>
        <w:tc>
          <w:tcPr>
            <w:tcW w:w="1145" w:type="dxa"/>
            <w:noWrap w:val="0"/>
            <w:vAlign w:val="center"/>
          </w:tcPr>
          <w:p>
            <w:pPr>
              <w:widowControl/>
              <w:jc w:val="center"/>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w:t>
            </w:r>
          </w:p>
        </w:tc>
        <w:tc>
          <w:tcPr>
            <w:tcW w:w="1309" w:type="dxa"/>
            <w:noWrap w:val="0"/>
            <w:vAlign w:val="center"/>
          </w:tcPr>
          <w:p>
            <w:pPr>
              <w:widowControl/>
              <w:jc w:val="center"/>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w:t>
            </w:r>
          </w:p>
        </w:tc>
        <w:tc>
          <w:tcPr>
            <w:tcW w:w="1064" w:type="dxa"/>
            <w:noWrap w:val="0"/>
            <w:vAlign w:val="center"/>
          </w:tcPr>
          <w:p>
            <w:pPr>
              <w:widowControl/>
              <w:jc w:val="center"/>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32.91</w:t>
            </w:r>
          </w:p>
        </w:tc>
        <w:tc>
          <w:tcPr>
            <w:tcW w:w="1364" w:type="dxa"/>
            <w:noWrap w:val="0"/>
            <w:vAlign w:val="center"/>
          </w:tcPr>
          <w:p>
            <w:pPr>
              <w:widowControl/>
              <w:jc w:val="center"/>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1.40</w:t>
            </w:r>
          </w:p>
        </w:tc>
        <w:tc>
          <w:tcPr>
            <w:tcW w:w="1002" w:type="dxa"/>
            <w:noWrap w:val="0"/>
            <w:vAlign w:val="center"/>
          </w:tcPr>
          <w:p>
            <w:pPr>
              <w:widowControl/>
              <w:jc w:val="center"/>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164" w:type="dxa"/>
            <w:noWrap w:val="0"/>
            <w:vAlign w:val="center"/>
          </w:tcPr>
          <w:p>
            <w:pPr>
              <w:widowControl/>
              <w:rPr>
                <w:rFonts w:hint="eastAsia" w:ascii="Times New Roman" w:hAnsi="Times New Roman" w:eastAsia="宋体" w:cs="Times New Roman"/>
                <w:color w:val="000000"/>
                <w:kern w:val="0"/>
                <w:sz w:val="22"/>
                <w:lang w:val="en-US" w:eastAsia="zh-CN"/>
              </w:rPr>
            </w:pPr>
            <w:r>
              <w:rPr>
                <w:rFonts w:hint="eastAsia" w:ascii="Times New Roman" w:hAnsi="Times New Roman" w:eastAsia="宋体" w:cs="Times New Roman"/>
                <w:color w:val="000000"/>
                <w:kern w:val="0"/>
                <w:sz w:val="22"/>
                <w:lang w:val="en-US" w:eastAsia="zh-CN"/>
              </w:rPr>
              <w:t>规模以上工业增加值（亿元）</w:t>
            </w:r>
          </w:p>
        </w:tc>
        <w:tc>
          <w:tcPr>
            <w:tcW w:w="982" w:type="dxa"/>
            <w:noWrap w:val="0"/>
            <w:vAlign w:val="center"/>
          </w:tcPr>
          <w:p>
            <w:pPr>
              <w:widowControl/>
              <w:jc w:val="center"/>
              <w:rPr>
                <w:rFonts w:hint="default"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0.795</w:t>
            </w:r>
          </w:p>
        </w:tc>
        <w:tc>
          <w:tcPr>
            <w:tcW w:w="1145" w:type="dxa"/>
            <w:noWrap w:val="0"/>
            <w:vAlign w:val="center"/>
          </w:tcPr>
          <w:p>
            <w:pPr>
              <w:widowControl/>
              <w:jc w:val="center"/>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w:t>
            </w:r>
          </w:p>
        </w:tc>
        <w:tc>
          <w:tcPr>
            <w:tcW w:w="1309" w:type="dxa"/>
            <w:noWrap w:val="0"/>
            <w:vAlign w:val="center"/>
          </w:tcPr>
          <w:p>
            <w:pPr>
              <w:widowControl/>
              <w:jc w:val="center"/>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w:t>
            </w:r>
          </w:p>
        </w:tc>
        <w:tc>
          <w:tcPr>
            <w:tcW w:w="1064" w:type="dxa"/>
            <w:noWrap w:val="0"/>
            <w:vAlign w:val="center"/>
          </w:tcPr>
          <w:p>
            <w:pPr>
              <w:widowControl/>
              <w:jc w:val="center"/>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0.41</w:t>
            </w:r>
          </w:p>
        </w:tc>
        <w:tc>
          <w:tcPr>
            <w:tcW w:w="1364" w:type="dxa"/>
            <w:noWrap w:val="0"/>
            <w:vAlign w:val="center"/>
          </w:tcPr>
          <w:p>
            <w:pPr>
              <w:widowControl/>
              <w:jc w:val="center"/>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-1.60</w:t>
            </w:r>
          </w:p>
        </w:tc>
        <w:tc>
          <w:tcPr>
            <w:tcW w:w="1002" w:type="dxa"/>
            <w:noWrap w:val="0"/>
            <w:vAlign w:val="center"/>
          </w:tcPr>
          <w:p>
            <w:pPr>
              <w:widowControl/>
              <w:jc w:val="center"/>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164" w:type="dxa"/>
            <w:noWrap w:val="0"/>
            <w:vAlign w:val="center"/>
          </w:tcPr>
          <w:p>
            <w:pPr>
              <w:widowControl/>
              <w:rPr>
                <w:rFonts w:hint="eastAsia" w:ascii="Times New Roman" w:hAnsi="Times New Roman" w:eastAsia="宋体" w:cs="Times New Roman"/>
                <w:color w:val="000000"/>
                <w:kern w:val="0"/>
                <w:sz w:val="22"/>
                <w:lang w:val="en-US" w:eastAsia="zh-CN"/>
              </w:rPr>
            </w:pPr>
            <w:r>
              <w:rPr>
                <w:rFonts w:hint="eastAsia" w:ascii="Times New Roman" w:hAnsi="Times New Roman" w:eastAsia="宋体" w:cs="Times New Roman"/>
                <w:color w:val="000000"/>
                <w:kern w:val="0"/>
                <w:sz w:val="22"/>
                <w:lang w:val="en-US" w:eastAsia="zh-CN"/>
              </w:rPr>
              <w:t>固定资产投资（亿元）</w:t>
            </w:r>
          </w:p>
        </w:tc>
        <w:tc>
          <w:tcPr>
            <w:tcW w:w="982" w:type="dxa"/>
            <w:noWrap w:val="0"/>
            <w:vAlign w:val="center"/>
          </w:tcPr>
          <w:p>
            <w:pPr>
              <w:widowControl/>
              <w:jc w:val="center"/>
              <w:rPr>
                <w:rFonts w:hint="default"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29.2</w:t>
            </w:r>
          </w:p>
        </w:tc>
        <w:tc>
          <w:tcPr>
            <w:tcW w:w="1145" w:type="dxa"/>
            <w:noWrap w:val="0"/>
            <w:vAlign w:val="center"/>
          </w:tcPr>
          <w:p>
            <w:pPr>
              <w:widowControl/>
              <w:jc w:val="center"/>
              <w:rPr>
                <w:rFonts w:hint="default"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47.02</w:t>
            </w:r>
          </w:p>
        </w:tc>
        <w:tc>
          <w:tcPr>
            <w:tcW w:w="1309" w:type="dxa"/>
            <w:noWrap w:val="0"/>
            <w:vAlign w:val="center"/>
          </w:tcPr>
          <w:p>
            <w:pPr>
              <w:widowControl/>
              <w:jc w:val="center"/>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10</w:t>
            </w:r>
          </w:p>
        </w:tc>
        <w:tc>
          <w:tcPr>
            <w:tcW w:w="1064" w:type="dxa"/>
            <w:noWrap w:val="0"/>
            <w:vAlign w:val="center"/>
          </w:tcPr>
          <w:p>
            <w:pPr>
              <w:widowControl/>
              <w:jc w:val="center"/>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23.69</w:t>
            </w:r>
          </w:p>
        </w:tc>
        <w:tc>
          <w:tcPr>
            <w:tcW w:w="1364" w:type="dxa"/>
            <w:noWrap w:val="0"/>
            <w:vAlign w:val="center"/>
          </w:tcPr>
          <w:p>
            <w:pPr>
              <w:widowControl/>
              <w:jc w:val="center"/>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-3.24</w:t>
            </w:r>
          </w:p>
        </w:tc>
        <w:tc>
          <w:tcPr>
            <w:tcW w:w="1002" w:type="dxa"/>
            <w:noWrap w:val="0"/>
            <w:vAlign w:val="center"/>
          </w:tcPr>
          <w:p>
            <w:pPr>
              <w:widowControl/>
              <w:jc w:val="center"/>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-13.24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164" w:type="dxa"/>
            <w:noWrap w:val="0"/>
            <w:vAlign w:val="center"/>
          </w:tcPr>
          <w:p>
            <w:pPr>
              <w:widowControl/>
              <w:rPr>
                <w:rFonts w:hint="eastAsia" w:ascii="Times New Roman" w:hAnsi="Times New Roman" w:eastAsia="宋体" w:cs="Times New Roman"/>
                <w:color w:val="000000"/>
                <w:kern w:val="0"/>
                <w:sz w:val="22"/>
                <w:lang w:val="en-US" w:eastAsia="zh-CN"/>
              </w:rPr>
            </w:pPr>
            <w:r>
              <w:rPr>
                <w:rFonts w:hint="eastAsia" w:ascii="Times New Roman" w:hAnsi="Times New Roman" w:eastAsia="宋体" w:cs="Times New Roman"/>
                <w:color w:val="000000"/>
                <w:kern w:val="0"/>
                <w:sz w:val="22"/>
                <w:lang w:val="en-US" w:eastAsia="zh-CN"/>
              </w:rPr>
              <w:t>社会消费品零售总额（亿元）</w:t>
            </w:r>
          </w:p>
        </w:tc>
        <w:tc>
          <w:tcPr>
            <w:tcW w:w="982" w:type="dxa"/>
            <w:noWrap w:val="0"/>
            <w:vAlign w:val="center"/>
          </w:tcPr>
          <w:p>
            <w:pPr>
              <w:widowControl/>
              <w:jc w:val="center"/>
              <w:rPr>
                <w:rFonts w:hint="default"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18.66</w:t>
            </w:r>
          </w:p>
        </w:tc>
        <w:tc>
          <w:tcPr>
            <w:tcW w:w="1145" w:type="dxa"/>
            <w:noWrap w:val="0"/>
            <w:vAlign w:val="center"/>
          </w:tcPr>
          <w:p>
            <w:pPr>
              <w:widowControl/>
              <w:jc w:val="center"/>
              <w:rPr>
                <w:rFonts w:hint="default"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31.44</w:t>
            </w:r>
          </w:p>
        </w:tc>
        <w:tc>
          <w:tcPr>
            <w:tcW w:w="1309" w:type="dxa"/>
            <w:noWrap w:val="0"/>
            <w:vAlign w:val="center"/>
          </w:tcPr>
          <w:p>
            <w:pPr>
              <w:widowControl/>
              <w:jc w:val="center"/>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11</w:t>
            </w:r>
          </w:p>
        </w:tc>
        <w:tc>
          <w:tcPr>
            <w:tcW w:w="1064" w:type="dxa"/>
            <w:noWrap w:val="0"/>
            <w:vAlign w:val="center"/>
          </w:tcPr>
          <w:p>
            <w:pPr>
              <w:widowControl/>
              <w:jc w:val="center"/>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22.22</w:t>
            </w:r>
          </w:p>
        </w:tc>
        <w:tc>
          <w:tcPr>
            <w:tcW w:w="1364" w:type="dxa"/>
            <w:noWrap w:val="0"/>
            <w:vAlign w:val="center"/>
          </w:tcPr>
          <w:p>
            <w:pPr>
              <w:widowControl/>
              <w:jc w:val="center"/>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3.55</w:t>
            </w:r>
          </w:p>
        </w:tc>
        <w:tc>
          <w:tcPr>
            <w:tcW w:w="1002" w:type="dxa"/>
            <w:noWrap w:val="0"/>
            <w:vAlign w:val="center"/>
          </w:tcPr>
          <w:p>
            <w:pPr>
              <w:widowControl/>
              <w:jc w:val="center"/>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164" w:type="dxa"/>
            <w:noWrap w:val="0"/>
            <w:vAlign w:val="center"/>
          </w:tcPr>
          <w:p>
            <w:pPr>
              <w:widowControl/>
              <w:rPr>
                <w:rFonts w:hint="eastAsia" w:ascii="Times New Roman" w:hAnsi="Times New Roman" w:eastAsia="宋体" w:cs="Times New Roman"/>
                <w:color w:val="000000"/>
                <w:kern w:val="0"/>
                <w:sz w:val="22"/>
                <w:lang w:val="en-US" w:eastAsia="zh-CN"/>
              </w:rPr>
            </w:pPr>
            <w:r>
              <w:rPr>
                <w:rFonts w:hint="eastAsia" w:ascii="Times New Roman" w:hAnsi="Times New Roman" w:eastAsia="宋体" w:cs="Times New Roman"/>
                <w:color w:val="000000"/>
                <w:kern w:val="0"/>
                <w:sz w:val="22"/>
                <w:lang w:val="en-US" w:eastAsia="zh-CN"/>
              </w:rPr>
              <w:t>地方公共财政预算收入（亿元）</w:t>
            </w:r>
          </w:p>
        </w:tc>
        <w:tc>
          <w:tcPr>
            <w:tcW w:w="982" w:type="dxa"/>
            <w:noWrap w:val="0"/>
            <w:vAlign w:val="center"/>
          </w:tcPr>
          <w:p>
            <w:pPr>
              <w:widowControl/>
              <w:jc w:val="center"/>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5</w:t>
            </w:r>
          </w:p>
        </w:tc>
        <w:tc>
          <w:tcPr>
            <w:tcW w:w="1145" w:type="dxa"/>
            <w:noWrap w:val="0"/>
            <w:vAlign w:val="center"/>
          </w:tcPr>
          <w:p>
            <w:pPr>
              <w:widowControl/>
              <w:jc w:val="center"/>
              <w:rPr>
                <w:rFonts w:hint="default"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8.05</w:t>
            </w:r>
          </w:p>
        </w:tc>
        <w:tc>
          <w:tcPr>
            <w:tcW w:w="1309" w:type="dxa"/>
            <w:noWrap w:val="0"/>
            <w:vAlign w:val="center"/>
          </w:tcPr>
          <w:p>
            <w:pPr>
              <w:widowControl/>
              <w:jc w:val="center"/>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10</w:t>
            </w:r>
          </w:p>
        </w:tc>
        <w:tc>
          <w:tcPr>
            <w:tcW w:w="1064" w:type="dxa"/>
            <w:noWrap w:val="0"/>
            <w:vAlign w:val="center"/>
          </w:tcPr>
          <w:p>
            <w:pPr>
              <w:widowControl/>
              <w:jc w:val="center"/>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2.42</w:t>
            </w:r>
          </w:p>
        </w:tc>
        <w:tc>
          <w:tcPr>
            <w:tcW w:w="1364" w:type="dxa"/>
            <w:noWrap w:val="0"/>
            <w:vAlign w:val="center"/>
          </w:tcPr>
          <w:p>
            <w:pPr>
              <w:widowControl/>
              <w:jc w:val="center"/>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-13.46</w:t>
            </w:r>
          </w:p>
        </w:tc>
        <w:tc>
          <w:tcPr>
            <w:tcW w:w="1002" w:type="dxa"/>
            <w:noWrap w:val="0"/>
            <w:vAlign w:val="center"/>
          </w:tcPr>
          <w:p>
            <w:pPr>
              <w:widowControl/>
              <w:jc w:val="center"/>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-23.46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164" w:type="dxa"/>
            <w:noWrap w:val="0"/>
            <w:vAlign w:val="center"/>
          </w:tcPr>
          <w:p>
            <w:pPr>
              <w:widowControl/>
              <w:rPr>
                <w:rFonts w:hint="eastAsia" w:ascii="Times New Roman" w:hAnsi="Times New Roman" w:eastAsia="宋体" w:cs="Times New Roman"/>
                <w:color w:val="000000"/>
                <w:kern w:val="0"/>
                <w:sz w:val="22"/>
                <w:lang w:val="en-US" w:eastAsia="zh-CN"/>
              </w:rPr>
            </w:pPr>
            <w:r>
              <w:rPr>
                <w:rFonts w:hint="eastAsia" w:ascii="Times New Roman" w:hAnsi="Times New Roman" w:eastAsia="宋体" w:cs="Times New Roman"/>
                <w:color w:val="000000"/>
                <w:kern w:val="0"/>
                <w:sz w:val="22"/>
                <w:lang w:val="en-US" w:eastAsia="zh-CN"/>
              </w:rPr>
              <w:t>城镇居民人均可支配收入（元）</w:t>
            </w:r>
          </w:p>
        </w:tc>
        <w:tc>
          <w:tcPr>
            <w:tcW w:w="982" w:type="dxa"/>
            <w:noWrap w:val="0"/>
            <w:vAlign w:val="center"/>
          </w:tcPr>
          <w:p>
            <w:pPr>
              <w:widowControl/>
              <w:jc w:val="center"/>
              <w:rPr>
                <w:rFonts w:hint="default"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23780</w:t>
            </w:r>
          </w:p>
        </w:tc>
        <w:tc>
          <w:tcPr>
            <w:tcW w:w="1145" w:type="dxa"/>
            <w:noWrap w:val="0"/>
            <w:vAlign w:val="center"/>
          </w:tcPr>
          <w:p>
            <w:pPr>
              <w:widowControl/>
              <w:jc w:val="center"/>
              <w:rPr>
                <w:rFonts w:hint="default"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41908.5</w:t>
            </w:r>
          </w:p>
        </w:tc>
        <w:tc>
          <w:tcPr>
            <w:tcW w:w="1309" w:type="dxa"/>
            <w:noWrap w:val="0"/>
            <w:vAlign w:val="center"/>
          </w:tcPr>
          <w:p>
            <w:pPr>
              <w:widowControl/>
              <w:jc w:val="center"/>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12</w:t>
            </w:r>
          </w:p>
        </w:tc>
        <w:tc>
          <w:tcPr>
            <w:tcW w:w="1064" w:type="dxa"/>
            <w:noWrap w:val="0"/>
            <w:vAlign w:val="center"/>
          </w:tcPr>
          <w:p>
            <w:pPr>
              <w:widowControl/>
              <w:jc w:val="center"/>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31438</w:t>
            </w:r>
          </w:p>
        </w:tc>
        <w:tc>
          <w:tcPr>
            <w:tcW w:w="1364" w:type="dxa"/>
            <w:noWrap w:val="0"/>
            <w:vAlign w:val="center"/>
          </w:tcPr>
          <w:p>
            <w:pPr>
              <w:widowControl/>
              <w:jc w:val="center"/>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5.73</w:t>
            </w:r>
          </w:p>
        </w:tc>
        <w:tc>
          <w:tcPr>
            <w:tcW w:w="1002" w:type="dxa"/>
            <w:noWrap w:val="0"/>
            <w:vAlign w:val="center"/>
          </w:tcPr>
          <w:p>
            <w:pPr>
              <w:widowControl/>
              <w:jc w:val="center"/>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164" w:type="dxa"/>
            <w:noWrap w:val="0"/>
            <w:vAlign w:val="center"/>
          </w:tcPr>
          <w:p>
            <w:pPr>
              <w:widowControl/>
              <w:rPr>
                <w:rFonts w:hint="eastAsia" w:ascii="Times New Roman" w:hAnsi="Times New Roman" w:eastAsia="宋体" w:cs="Times New Roman"/>
                <w:color w:val="000000"/>
                <w:kern w:val="0"/>
                <w:sz w:val="22"/>
                <w:lang w:val="en-US" w:eastAsia="zh-CN"/>
              </w:rPr>
            </w:pPr>
            <w:r>
              <w:rPr>
                <w:rFonts w:hint="eastAsia" w:ascii="Times New Roman" w:hAnsi="Times New Roman" w:eastAsia="宋体" w:cs="Times New Roman"/>
                <w:color w:val="000000"/>
                <w:kern w:val="0"/>
                <w:sz w:val="22"/>
                <w:lang w:val="en-US" w:eastAsia="zh-CN"/>
              </w:rPr>
              <w:t>农村居民人均纯收入（元）</w:t>
            </w:r>
          </w:p>
        </w:tc>
        <w:tc>
          <w:tcPr>
            <w:tcW w:w="982" w:type="dxa"/>
            <w:noWrap w:val="0"/>
            <w:vAlign w:val="center"/>
          </w:tcPr>
          <w:p>
            <w:pPr>
              <w:widowControl/>
              <w:jc w:val="center"/>
              <w:rPr>
                <w:rFonts w:hint="default"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13051</w:t>
            </w:r>
          </w:p>
        </w:tc>
        <w:tc>
          <w:tcPr>
            <w:tcW w:w="1145" w:type="dxa"/>
            <w:noWrap w:val="0"/>
            <w:vAlign w:val="center"/>
          </w:tcPr>
          <w:p>
            <w:pPr>
              <w:widowControl/>
              <w:jc w:val="center"/>
              <w:rPr>
                <w:rFonts w:hint="default"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24045.6</w:t>
            </w:r>
          </w:p>
        </w:tc>
        <w:tc>
          <w:tcPr>
            <w:tcW w:w="1309" w:type="dxa"/>
            <w:noWrap w:val="0"/>
            <w:vAlign w:val="center"/>
          </w:tcPr>
          <w:p>
            <w:pPr>
              <w:widowControl/>
              <w:jc w:val="center"/>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13</w:t>
            </w:r>
          </w:p>
        </w:tc>
        <w:tc>
          <w:tcPr>
            <w:tcW w:w="1064" w:type="dxa"/>
            <w:noWrap w:val="0"/>
            <w:vAlign w:val="center"/>
          </w:tcPr>
          <w:p>
            <w:pPr>
              <w:widowControl/>
              <w:jc w:val="center"/>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20032</w:t>
            </w:r>
          </w:p>
        </w:tc>
        <w:tc>
          <w:tcPr>
            <w:tcW w:w="1364" w:type="dxa"/>
            <w:noWrap w:val="0"/>
            <w:vAlign w:val="center"/>
          </w:tcPr>
          <w:p>
            <w:pPr>
              <w:widowControl/>
              <w:jc w:val="center"/>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8.93</w:t>
            </w:r>
          </w:p>
        </w:tc>
        <w:tc>
          <w:tcPr>
            <w:tcW w:w="1002" w:type="dxa"/>
            <w:noWrap w:val="0"/>
            <w:vAlign w:val="center"/>
          </w:tcPr>
          <w:p>
            <w:pPr>
              <w:widowControl/>
              <w:jc w:val="center"/>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-4.07</w:t>
            </w:r>
          </w:p>
        </w:tc>
      </w:tr>
    </w:tbl>
    <w:p>
      <w:pPr>
        <w:rPr>
          <w:rFonts w:hint="eastAsia"/>
          <w:lang w:eastAsia="zh-CN"/>
        </w:rPr>
      </w:pPr>
    </w:p>
    <w:p>
      <w:pPr>
        <w:adjustRightInd w:val="0"/>
        <w:snapToGrid w:val="0"/>
        <w:spacing w:line="600" w:lineRule="exact"/>
        <w:jc w:val="center"/>
        <w:outlineLvl w:val="1"/>
        <w:rPr>
          <w:rFonts w:ascii="黑体" w:hAnsi="黑体" w:eastAsia="黑体" w:cs="仿宋"/>
          <w:color w:val="auto"/>
          <w:sz w:val="32"/>
          <w:szCs w:val="32"/>
        </w:rPr>
      </w:pPr>
      <w:bookmarkStart w:id="16" w:name="_Toc59331207"/>
      <w:bookmarkStart w:id="17" w:name="_Toc690"/>
      <w:r>
        <w:rPr>
          <w:rFonts w:hint="eastAsia" w:ascii="黑体" w:hAnsi="黑体" w:eastAsia="黑体" w:cs="仿宋"/>
          <w:color w:val="auto"/>
          <w:sz w:val="32"/>
          <w:szCs w:val="32"/>
        </w:rPr>
        <w:t xml:space="preserve">第二节 </w:t>
      </w:r>
      <w:bookmarkEnd w:id="16"/>
      <w:r>
        <w:rPr>
          <w:rFonts w:hint="eastAsia" w:ascii="黑体" w:hAnsi="黑体" w:eastAsia="黑体" w:cs="仿宋"/>
          <w:color w:val="auto"/>
          <w:sz w:val="32"/>
          <w:szCs w:val="32"/>
        </w:rPr>
        <w:t>“十四五”时期面临的发展形势</w:t>
      </w:r>
      <w:bookmarkEnd w:id="17"/>
    </w:p>
    <w:p>
      <w:pPr>
        <w:adjustRightInd w:val="0"/>
        <w:snapToGrid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“十四五”时期，海陵岛发展环境发生历史性变化，面临重大战略发展机遇和重大外部风险挑战。要深刻认识海陵岛发展内外部环境，于危机中育新机、于变局中开新局。</w:t>
      </w:r>
    </w:p>
    <w:p>
      <w:pPr>
        <w:widowControl/>
        <w:numPr>
          <w:ilvl w:val="0"/>
          <w:numId w:val="1"/>
        </w:numPr>
        <w:topLinePunct/>
        <w:adjustRightInd w:val="0"/>
        <w:snapToGrid w:val="0"/>
        <w:spacing w:line="600" w:lineRule="exact"/>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发展机遇</w:t>
      </w:r>
    </w:p>
    <w:p>
      <w:pPr>
        <w:adjustRightInd w:val="0"/>
        <w:snapToGrid w:val="0"/>
        <w:spacing w:line="600" w:lineRule="exact"/>
        <w:ind w:firstLine="643" w:firstLineChars="200"/>
        <w:rPr>
          <w:rFonts w:ascii="仿宋" w:hAnsi="仿宋" w:eastAsia="仿宋" w:cs="宋体"/>
          <w:b/>
          <w:bCs/>
          <w:color w:val="auto"/>
          <w:sz w:val="32"/>
          <w:szCs w:val="32"/>
        </w:rPr>
      </w:pPr>
      <w:r>
        <w:rPr>
          <w:rFonts w:hint="eastAsia" w:ascii="仿宋" w:hAnsi="仿宋" w:eastAsia="仿宋" w:cs="宋体"/>
          <w:b/>
          <w:bCs/>
          <w:color w:val="auto"/>
          <w:sz w:val="32"/>
          <w:szCs w:val="32"/>
        </w:rPr>
        <w:t>（一）“双循环”新战略下推动“海岛旅游热”，为海陵岛发展提供广阔的空间</w:t>
      </w:r>
    </w:p>
    <w:p>
      <w:pPr>
        <w:adjustRightInd w:val="0"/>
        <w:snapToGrid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随着新一轮科技革命和产业变革蓬勃兴起，中国启动以国内大循环为主体、国内国际双循环相互促进的新发展格局。在逐步形成“以国内大循环为主体、国内国际双循环相互促进的新发展格局”过程中，消费是国内外市场主体的重要连接点，扮演着十分重要的角色。未来，伴随着居民逐渐追求高品质生活，其消费重心将由满足基本需求转向增加生活体验，消费结构也将向服务消费转型。旅游业作为人民群众喜闻乐见、参与度高的幸福产业，发展空间大，未释放的消费需求也很大，是提振消费的主力军地位。随着国内旅游消费开始进入大众化、多样化快速发展阶段，海岛旅游发展潜力不可限量，这将</w:t>
      </w:r>
      <w:bookmarkStart w:id="18" w:name="_Hlk60155949"/>
      <w:r>
        <w:rPr>
          <w:rFonts w:hint="eastAsia" w:ascii="仿宋" w:hAnsi="仿宋" w:eastAsia="仿宋" w:cs="仿宋"/>
          <w:color w:val="auto"/>
          <w:sz w:val="32"/>
          <w:szCs w:val="32"/>
        </w:rPr>
        <w:t>为海陵岛发展提供广阔的空间。</w:t>
      </w:r>
    </w:p>
    <w:bookmarkEnd w:id="18"/>
    <w:p>
      <w:pPr>
        <w:adjustRightInd w:val="0"/>
        <w:snapToGrid w:val="0"/>
        <w:spacing w:line="600" w:lineRule="exact"/>
        <w:ind w:firstLine="643" w:firstLineChars="200"/>
        <w:rPr>
          <w:rFonts w:ascii="仿宋" w:hAnsi="仿宋" w:eastAsia="仿宋" w:cs="宋体"/>
          <w:b/>
          <w:bCs/>
          <w:color w:val="auto"/>
          <w:sz w:val="32"/>
          <w:szCs w:val="32"/>
        </w:rPr>
      </w:pPr>
      <w:r>
        <w:rPr>
          <w:rFonts w:hint="eastAsia" w:ascii="仿宋" w:hAnsi="仿宋" w:eastAsia="仿宋" w:cs="宋体"/>
          <w:b/>
          <w:bCs/>
          <w:color w:val="auto"/>
          <w:sz w:val="32"/>
          <w:szCs w:val="32"/>
        </w:rPr>
        <w:t>（二）</w:t>
      </w:r>
      <w:bookmarkStart w:id="19" w:name="_Hlk60158178"/>
      <w:r>
        <w:rPr>
          <w:rFonts w:hint="eastAsia" w:ascii="仿宋" w:hAnsi="仿宋" w:eastAsia="仿宋" w:cs="宋体"/>
          <w:b/>
          <w:bCs/>
          <w:color w:val="auto"/>
          <w:sz w:val="32"/>
          <w:szCs w:val="32"/>
        </w:rPr>
        <w:t>“双区”建设重大战略实施</w:t>
      </w:r>
      <w:bookmarkEnd w:id="19"/>
      <w:r>
        <w:rPr>
          <w:rFonts w:hint="eastAsia" w:ascii="仿宋" w:hAnsi="仿宋" w:eastAsia="仿宋" w:cs="宋体"/>
          <w:b/>
          <w:bCs/>
          <w:color w:val="auto"/>
          <w:sz w:val="32"/>
          <w:szCs w:val="32"/>
        </w:rPr>
        <w:t>，为海陵岛在主动对接、主动支持、主动服务“双区”中实现新发展</w:t>
      </w:r>
    </w:p>
    <w:p>
      <w:pPr>
        <w:adjustRightInd w:val="0"/>
        <w:snapToGrid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广东正在举全省之力推进粤港澳大湾区和深圳中国特色社会主义先行示范区建设，加快构建“一核一带一区”区域发展格局。海陵岛地处粤港澳大湾区西翼沿海，位于承接珠三角要素外溢的最前沿地区，是粤西城市群与珠三角城市群交接地区的海上支点。“双区”建设重大战略实施，能有效发挥粤港澳大湾区和深圳先行示范区的辐射带动效应，推动海陵岛与广州、深圳、香港、澳门等大湾区核心城市共建宜居宜业宜游优质生活圈，为建设美丽湾区、休闲湾区、健康湾区提供生态和环境支持。海陵岛将紧紧抓住“双区”建设重大历史机遇,充分借力“双区”优质资源,在主动对接、主动支持、主动服务“双区”中拓展新空间、实现新发展。</w:t>
      </w:r>
    </w:p>
    <w:p>
      <w:pPr>
        <w:adjustRightInd w:val="0"/>
        <w:snapToGrid w:val="0"/>
        <w:spacing w:line="600" w:lineRule="exact"/>
        <w:ind w:firstLine="643" w:firstLineChars="200"/>
        <w:rPr>
          <w:rFonts w:ascii="仿宋" w:hAnsi="仿宋" w:eastAsia="仿宋" w:cs="宋体"/>
          <w:b/>
          <w:bCs/>
          <w:color w:val="auto"/>
          <w:sz w:val="32"/>
          <w:szCs w:val="32"/>
        </w:rPr>
      </w:pPr>
      <w:r>
        <w:rPr>
          <w:rFonts w:hint="eastAsia" w:ascii="仿宋" w:hAnsi="仿宋" w:eastAsia="仿宋" w:cs="宋体"/>
          <w:b/>
          <w:bCs/>
          <w:color w:val="auto"/>
          <w:sz w:val="32"/>
          <w:szCs w:val="32"/>
        </w:rPr>
        <w:t>（三）横琴国际休闲旅游岛建设，为带动辐射海陵岛发展</w:t>
      </w:r>
      <w:bookmarkStart w:id="20" w:name="_Hlk60158438"/>
      <w:r>
        <w:rPr>
          <w:rFonts w:hint="eastAsia" w:ascii="仿宋" w:hAnsi="仿宋" w:eastAsia="仿宋" w:cs="宋体"/>
          <w:b/>
          <w:bCs/>
          <w:color w:val="auto"/>
          <w:sz w:val="32"/>
          <w:szCs w:val="32"/>
        </w:rPr>
        <w:t>带来新契机</w:t>
      </w:r>
      <w:bookmarkEnd w:id="20"/>
    </w:p>
    <w:p>
      <w:pPr>
        <w:adjustRightInd w:val="0"/>
        <w:snapToGrid w:val="0"/>
        <w:spacing w:line="60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珠海横琴新区与阳江海陵岛有着很深的渊源。珠海对口帮扶阳江以来，横琴新区一直是海陵岛的帮扶方，双方已经在旅游深度合作方面进行了一系列富有成效的探索。在广东举全省之力推进粤港澳大湾区建设的大背景下，海陵岛将乘着横琴岛建设国际休闲旅游岛的东风，承接珠海的旅游资源外溢，与珠海横琴岛加强合作，实现“双岛联动”，共同提升珠江西岸旅游资源的吸引力，建设具有国际竞争力的海岛旅游黄金带，这将成为海陵岛加快发展的新契机。</w:t>
      </w:r>
    </w:p>
    <w:p>
      <w:pPr>
        <w:adjustRightInd w:val="0"/>
        <w:snapToGrid w:val="0"/>
        <w:spacing w:line="600" w:lineRule="exact"/>
        <w:ind w:firstLine="643" w:firstLineChars="200"/>
        <w:rPr>
          <w:rFonts w:ascii="仿宋" w:hAnsi="仿宋" w:eastAsia="仿宋"/>
          <w:b/>
          <w:bCs/>
          <w:color w:val="auto"/>
          <w:sz w:val="32"/>
          <w:szCs w:val="32"/>
        </w:rPr>
      </w:pPr>
      <w:bookmarkStart w:id="21" w:name="_Toc31026"/>
      <w:r>
        <w:rPr>
          <w:rFonts w:hint="eastAsia" w:ascii="仿宋" w:hAnsi="仿宋" w:eastAsia="仿宋"/>
          <w:b/>
          <w:bCs/>
          <w:color w:val="auto"/>
          <w:sz w:val="32"/>
          <w:szCs w:val="32"/>
        </w:rPr>
        <w:t>（四）后疫情时代下“健康中国”建设，为海陵岛发展提供重要机遇</w:t>
      </w:r>
      <w:bookmarkEnd w:id="21"/>
    </w:p>
    <w:p>
      <w:pPr>
        <w:ind w:firstLine="800" w:firstLineChars="250"/>
        <w:rPr>
          <w:rFonts w:ascii="仿宋" w:hAnsi="仿宋" w:eastAsia="仿宋"/>
          <w:color w:val="auto"/>
          <w:sz w:val="32"/>
          <w:szCs w:val="32"/>
        </w:rPr>
      </w:pPr>
      <w:r>
        <w:rPr>
          <w:rFonts w:hint="eastAsia" w:ascii="仿宋" w:hAnsi="仿宋" w:eastAsia="仿宋"/>
          <w:color w:val="auto"/>
          <w:sz w:val="32"/>
          <w:szCs w:val="32"/>
        </w:rPr>
        <w:t xml:space="preserve">党和国家高度重视全民健康工作，党的十八届五中全会将“健康中国”上升为国家战略，党的十九大进一步明确提出实施健康中国战略。国家先后印发《“健康中国2030”规划纲要》《中医药发展战略规划纲要（2016-2030年）》《国民营养计划（2017-2030年）》等政策文件，为大健康产业发展创造了良好的环境。同时，全球新冠肺炎疫情的爆发,让人们意识到健康的重要性,随着后疫情时代的到来,以健康为主题的旅游将更加受到人们的欢迎,并成为旅游行业的新增长点。在健康旅游蓬勃发展、方兴未艾的市场大背景下，海陵岛将海岛旅游与健康有机结合发展独具特色的大健康海岛旅游产业，实现错位、特色发展，必将推动海陵岛发展思维的大创新和发展格局的大提升。 </w:t>
      </w:r>
    </w:p>
    <w:p>
      <w:pPr>
        <w:adjustRightInd w:val="0"/>
        <w:snapToGrid w:val="0"/>
        <w:spacing w:line="600" w:lineRule="exact"/>
        <w:ind w:firstLine="643" w:firstLineChars="200"/>
        <w:rPr>
          <w:rFonts w:ascii="仿宋" w:hAnsi="仿宋" w:eastAsia="仿宋"/>
          <w:b/>
          <w:bCs/>
          <w:color w:val="auto"/>
          <w:sz w:val="32"/>
          <w:szCs w:val="32"/>
        </w:rPr>
      </w:pPr>
      <w:r>
        <w:rPr>
          <w:rFonts w:hint="eastAsia" w:ascii="仿宋" w:hAnsi="仿宋" w:eastAsia="仿宋"/>
          <w:b/>
          <w:bCs/>
          <w:color w:val="auto"/>
          <w:sz w:val="32"/>
          <w:szCs w:val="32"/>
        </w:rPr>
        <w:t>（五）阳江政府系列政策红利将进一步释放，为海陵岛加快发展助力添翼</w:t>
      </w:r>
    </w:p>
    <w:p>
      <w:pPr>
        <w:adjustRightInd w:val="0"/>
        <w:snapToGrid w:val="0"/>
        <w:spacing w:line="600" w:lineRule="exact"/>
        <w:ind w:firstLine="640" w:firstLineChars="200"/>
        <w:rPr>
          <w:color w:val="auto"/>
        </w:rPr>
      </w:pPr>
      <w:r>
        <w:rPr>
          <w:rFonts w:hint="eastAsia" w:ascii="仿宋" w:hAnsi="仿宋" w:eastAsia="仿宋"/>
          <w:color w:val="auto"/>
          <w:sz w:val="32"/>
          <w:szCs w:val="32"/>
        </w:rPr>
        <w:t>市委明确海陵岛作为阳江城市副中心、阳江发展全域旅游的领头羊、阳江奋力打造沿海经济带的重要战略支点、宜居宜业宜游的现代化滨海城市中“宜游”的主战场等重要战略地位，全力支持海陵岛争创国家全域旅游示范区，也为海陵岛加快经济社会高质量发展带来了更多的政策利好和资源支持。</w:t>
      </w:r>
    </w:p>
    <w:p>
      <w:pPr>
        <w:widowControl/>
        <w:numPr>
          <w:ilvl w:val="0"/>
          <w:numId w:val="1"/>
        </w:numPr>
        <w:topLinePunct/>
        <w:adjustRightInd w:val="0"/>
        <w:snapToGrid w:val="0"/>
        <w:spacing w:line="600" w:lineRule="exact"/>
        <w:ind w:firstLine="643" w:firstLineChars="200"/>
        <w:rPr>
          <w:rFonts w:ascii="仿宋" w:hAnsi="仿宋" w:eastAsia="仿宋" w:cs="方正仿宋简体"/>
          <w:color w:val="auto"/>
          <w:sz w:val="32"/>
          <w:szCs w:val="32"/>
        </w:rPr>
      </w:pPr>
      <w:r>
        <w:rPr>
          <w:rFonts w:hint="eastAsia" w:ascii="仿宋" w:hAnsi="仿宋" w:eastAsia="仿宋" w:cs="仿宋"/>
          <w:b/>
          <w:bCs/>
          <w:color w:val="auto"/>
          <w:sz w:val="32"/>
          <w:szCs w:val="32"/>
        </w:rPr>
        <w:t>存在问题</w:t>
      </w:r>
    </w:p>
    <w:p>
      <w:pPr>
        <w:widowControl/>
        <w:topLinePunct/>
        <w:adjustRightInd w:val="0"/>
        <w:snapToGrid w:val="0"/>
        <w:spacing w:line="600" w:lineRule="exact"/>
        <w:ind w:firstLine="640" w:firstLineChars="200"/>
        <w:rPr>
          <w:rFonts w:ascii="仿宋" w:hAnsi="仿宋" w:eastAsia="仿宋" w:cs="方正仿宋简体"/>
          <w:color w:val="auto"/>
          <w:sz w:val="32"/>
          <w:szCs w:val="32"/>
        </w:rPr>
      </w:pPr>
      <w:r>
        <w:rPr>
          <w:rFonts w:hint="eastAsia" w:ascii="仿宋" w:hAnsi="仿宋" w:eastAsia="仿宋" w:cs="方正仿宋简体"/>
          <w:color w:val="auto"/>
          <w:sz w:val="32"/>
          <w:szCs w:val="32"/>
        </w:rPr>
        <w:t>今后一个时期，海陵岛将面临多种矛盾相互交织的新挑战，产业高质量发展、乡村振兴等形势依然复杂，任务更加艰巨。</w:t>
      </w:r>
    </w:p>
    <w:p>
      <w:pPr>
        <w:widowControl/>
        <w:topLinePunct/>
        <w:adjustRightInd w:val="0"/>
        <w:snapToGrid w:val="0"/>
        <w:spacing w:line="600" w:lineRule="exact"/>
        <w:ind w:firstLine="640" w:firstLineChars="200"/>
        <w:rPr>
          <w:rFonts w:ascii="仿宋" w:hAnsi="仿宋" w:eastAsia="仿宋" w:cs="仿宋"/>
          <w:b/>
          <w:bCs/>
          <w:color w:val="auto"/>
          <w:sz w:val="32"/>
          <w:szCs w:val="32"/>
        </w:rPr>
      </w:pPr>
      <w:r>
        <w:rPr>
          <w:rFonts w:hint="eastAsia" w:ascii="仿宋" w:hAnsi="仿宋" w:eastAsia="仿宋" w:cs="方正仿宋简体"/>
          <w:color w:val="auto"/>
          <w:sz w:val="32"/>
          <w:szCs w:val="32"/>
        </w:rPr>
        <w:t>一是经济总体规模仍偏小，产业结构性矛盾突出，产业高质量发展基础薄弱。旅游业发展层次较低。滨海旅游产品还不成熟，缺乏高档次、高品位的休闲娱乐项目，旅游业发展水平和核心竞争力亟待提高。</w:t>
      </w:r>
    </w:p>
    <w:p>
      <w:pPr>
        <w:pStyle w:val="17"/>
        <w:adjustRightInd w:val="0"/>
        <w:snapToGrid w:val="0"/>
        <w:spacing w:line="600" w:lineRule="exact"/>
        <w:ind w:left="0" w:leftChars="0" w:firstLine="640" w:firstLineChars="200"/>
        <w:rPr>
          <w:rFonts w:ascii="仿宋" w:hAnsi="仿宋" w:eastAsia="仿宋" w:cs="方正仿宋简体"/>
          <w:color w:val="auto"/>
          <w:sz w:val="32"/>
          <w:szCs w:val="32"/>
        </w:rPr>
      </w:pPr>
      <w:r>
        <w:rPr>
          <w:rFonts w:hint="eastAsia" w:ascii="仿宋" w:hAnsi="仿宋" w:eastAsia="仿宋" w:cs="方正仿宋简体"/>
          <w:color w:val="auto"/>
          <w:sz w:val="32"/>
          <w:szCs w:val="32"/>
        </w:rPr>
        <w:t>二是城市化进程滞后于经济社会快速发展的需要，城市服务功能与实现经济高质量发展的要求还有较大的差距。农村基础设施建设欠账严重，城乡融合发展水平亟待增强。</w:t>
      </w:r>
    </w:p>
    <w:p>
      <w:pPr>
        <w:pStyle w:val="17"/>
        <w:adjustRightInd w:val="0"/>
        <w:snapToGrid w:val="0"/>
        <w:spacing w:line="600" w:lineRule="exact"/>
        <w:ind w:left="0" w:leftChars="0" w:firstLine="640" w:firstLineChars="200"/>
        <w:rPr>
          <w:rFonts w:ascii="仿宋" w:hAnsi="仿宋" w:eastAsia="仿宋" w:cs="方正仿宋简体"/>
          <w:color w:val="auto"/>
          <w:sz w:val="32"/>
          <w:szCs w:val="32"/>
        </w:rPr>
      </w:pPr>
      <w:r>
        <w:rPr>
          <w:rFonts w:hint="eastAsia" w:ascii="仿宋" w:hAnsi="仿宋" w:eastAsia="仿宋" w:cs="方正仿宋简体"/>
          <w:color w:val="auto"/>
          <w:sz w:val="32"/>
          <w:szCs w:val="32"/>
        </w:rPr>
        <w:t>三是教育、文化、卫生、社会保障等民生事业发展短板突出，教育教学质量仍然偏低，城乡医疗综合服务能力不强，社会稳定还有风险点。</w:t>
      </w:r>
    </w:p>
    <w:p>
      <w:pPr>
        <w:pStyle w:val="17"/>
        <w:adjustRightInd w:val="0"/>
        <w:snapToGrid w:val="0"/>
        <w:spacing w:line="600" w:lineRule="exact"/>
        <w:ind w:left="0" w:leftChars="0" w:firstLine="640" w:firstLineChars="200"/>
        <w:rPr>
          <w:rFonts w:ascii="仿宋" w:hAnsi="仿宋" w:eastAsia="仿宋" w:cs="方正仿宋简体"/>
          <w:color w:val="auto"/>
          <w:sz w:val="32"/>
          <w:szCs w:val="32"/>
        </w:rPr>
      </w:pPr>
      <w:r>
        <w:rPr>
          <w:rFonts w:hint="eastAsia" w:ascii="仿宋" w:hAnsi="仿宋" w:eastAsia="仿宋" w:cs="方正仿宋简体"/>
          <w:color w:val="auto"/>
          <w:sz w:val="32"/>
          <w:szCs w:val="32"/>
        </w:rPr>
        <w:t>四是经济发展与环境建设、生态保护之间的矛盾凸显，特别是近海海域生态环境受到不同程度的影响，全</w:t>
      </w:r>
      <w:r>
        <w:rPr>
          <w:rFonts w:hint="eastAsia" w:ascii="仿宋" w:hAnsi="仿宋" w:eastAsia="仿宋" w:cs="方正仿宋简体"/>
          <w:b w:val="0"/>
          <w:bCs w:val="0"/>
          <w:strike w:val="0"/>
          <w:dstrike w:val="0"/>
          <w:color w:val="auto"/>
          <w:sz w:val="32"/>
          <w:szCs w:val="32"/>
          <w:highlight w:val="none"/>
          <w:lang w:eastAsia="zh-CN"/>
        </w:rPr>
        <w:t>区</w:t>
      </w:r>
      <w:r>
        <w:rPr>
          <w:rFonts w:hint="eastAsia" w:ascii="仿宋" w:hAnsi="仿宋" w:eastAsia="仿宋" w:cs="方正仿宋简体"/>
          <w:color w:val="auto"/>
          <w:sz w:val="32"/>
          <w:szCs w:val="32"/>
        </w:rPr>
        <w:t>生态环境安全的风险加大，还存在重大项目建设与土地指标短缺的现实矛盾。</w:t>
      </w:r>
    </w:p>
    <w:p>
      <w:pPr>
        <w:adjustRightInd w:val="0"/>
        <w:snapToGrid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 xml:space="preserve">五是对内对外开放力度不足，融入“双区驱动”新格局的范围与深度均有待拓展，尚未形成区域、内外协调联动的发展格局。  </w:t>
      </w:r>
    </w:p>
    <w:p>
      <w:pPr>
        <w:pStyle w:val="15"/>
        <w:adjustRightInd w:val="0"/>
        <w:spacing w:line="600" w:lineRule="exact"/>
        <w:ind w:firstLine="643" w:firstLineChars="200"/>
        <w:jc w:val="both"/>
        <w:rPr>
          <w:rFonts w:hint="eastAsia" w:ascii="仿宋" w:hAnsi="仿宋" w:eastAsia="仿宋" w:cs="仿宋"/>
          <w:color w:val="auto"/>
          <w:sz w:val="32"/>
          <w:szCs w:val="32"/>
        </w:rPr>
      </w:pPr>
      <w:r>
        <w:rPr>
          <w:rFonts w:hint="eastAsia" w:ascii="仿宋" w:hAnsi="仿宋" w:eastAsia="仿宋" w:cs="仿宋"/>
          <w:b/>
          <w:color w:val="auto"/>
          <w:sz w:val="32"/>
          <w:szCs w:val="32"/>
        </w:rPr>
        <w:t>综合判断，</w:t>
      </w:r>
      <w:r>
        <w:rPr>
          <w:rFonts w:hint="eastAsia" w:ascii="仿宋" w:hAnsi="仿宋" w:eastAsia="仿宋" w:cs="仿宋"/>
          <w:color w:val="auto"/>
          <w:sz w:val="32"/>
          <w:szCs w:val="32"/>
        </w:rPr>
        <w:t>“十四五”时期，我区面临的内外环境更加错综复杂，发展机遇和风险挑战反复交织，但总体来看机遇大于挑战，经济社会发展稳中向好、长期向好的基本趋势没有改变，应对重大风险和挑战的韧性明显增强。站在新的历史起点，面对发展大势的深刻变化，我区必须顺应时代发展趋势，充分利用“双区”建设和构建“一核一带一区”区域发展格局利好叠加带来的“驱动效应”乘势而上，以“海陵岛所能”主动对接融入“双区所需”，不断塑造发展新优势、拓展发展新空间，确保经济社会高质量发展，进入社会主义现代化建设新征程。</w:t>
      </w:r>
      <w:bookmarkStart w:id="22" w:name="_Toc59624829"/>
    </w:p>
    <w:p>
      <w:pPr>
        <w:pStyle w:val="15"/>
        <w:adjustRightInd w:val="0"/>
        <w:spacing w:line="600" w:lineRule="exact"/>
        <w:ind w:firstLine="640" w:firstLineChars="200"/>
        <w:jc w:val="both"/>
        <w:rPr>
          <w:rFonts w:hint="eastAsia" w:ascii="仿宋" w:hAnsi="仿宋" w:eastAsia="仿宋" w:cs="仿宋"/>
          <w:color w:val="auto"/>
          <w:sz w:val="32"/>
          <w:szCs w:val="32"/>
        </w:rPr>
      </w:pPr>
    </w:p>
    <w:p>
      <w:pPr>
        <w:pStyle w:val="15"/>
        <w:adjustRightInd w:val="0"/>
        <w:spacing w:line="600" w:lineRule="exact"/>
        <w:ind w:firstLine="640" w:firstLineChars="200"/>
        <w:jc w:val="both"/>
        <w:rPr>
          <w:rFonts w:hint="eastAsia" w:ascii="仿宋" w:hAnsi="仿宋" w:eastAsia="仿宋" w:cs="仿宋"/>
          <w:color w:val="auto"/>
          <w:sz w:val="32"/>
          <w:szCs w:val="32"/>
        </w:rPr>
      </w:pPr>
    </w:p>
    <w:p>
      <w:pPr>
        <w:adjustRightInd w:val="0"/>
        <w:snapToGrid w:val="0"/>
        <w:spacing w:line="600" w:lineRule="exact"/>
        <w:jc w:val="center"/>
        <w:outlineLvl w:val="0"/>
        <w:rPr>
          <w:rFonts w:ascii="方正小标宋简体" w:eastAsia="方正小标宋简体" w:cs="仿宋" w:hAnsiTheme="minorEastAsia"/>
          <w:color w:val="auto"/>
          <w:spacing w:val="-12"/>
          <w:sz w:val="32"/>
          <w:szCs w:val="32"/>
        </w:rPr>
      </w:pPr>
      <w:bookmarkStart w:id="23" w:name="_Toc1726"/>
      <w:r>
        <w:rPr>
          <w:rFonts w:hint="eastAsia" w:ascii="方正小标宋简体" w:eastAsia="方正小标宋简体" w:cs="仿宋" w:hAnsiTheme="minorEastAsia"/>
          <w:color w:val="auto"/>
          <w:spacing w:val="-12"/>
          <w:sz w:val="32"/>
          <w:szCs w:val="32"/>
        </w:rPr>
        <w:t>第二章 总体要求</w:t>
      </w:r>
      <w:bookmarkEnd w:id="22"/>
      <w:bookmarkEnd w:id="23"/>
    </w:p>
    <w:p>
      <w:pPr>
        <w:widowControl/>
        <w:shd w:val="clear" w:color="auto" w:fill="FFFFFF"/>
        <w:adjustRightInd w:val="0"/>
        <w:snapToGrid w:val="0"/>
        <w:spacing w:line="600" w:lineRule="exact"/>
        <w:ind w:firstLine="640" w:firstLineChars="200"/>
        <w:rPr>
          <w:rFonts w:ascii="仿宋" w:hAnsi="仿宋" w:eastAsia="仿宋" w:cs="方正仿宋简体"/>
          <w:color w:val="auto"/>
          <w:sz w:val="32"/>
          <w:szCs w:val="32"/>
        </w:rPr>
      </w:pPr>
      <w:bookmarkStart w:id="24" w:name="_Toc282176771"/>
      <w:bookmarkStart w:id="25" w:name="_Toc11970"/>
      <w:bookmarkStart w:id="26" w:name="_Toc268847767"/>
      <w:bookmarkStart w:id="27" w:name="_Toc27326"/>
      <w:bookmarkStart w:id="28" w:name="_Toc277056644"/>
      <w:bookmarkStart w:id="29" w:name="_Toc268847891"/>
      <w:r>
        <w:rPr>
          <w:rFonts w:hint="eastAsia" w:ascii="仿宋" w:hAnsi="仿宋" w:eastAsia="仿宋" w:cs="方正仿宋简体"/>
          <w:color w:val="auto"/>
          <w:sz w:val="32"/>
          <w:szCs w:val="32"/>
        </w:rPr>
        <w:t>科学编制“十四五”规划，必须全面贯彻落实党中央重大战略决策部署，针对高质量发展中我区经济社会出现的新趋势和新问题，围绕</w:t>
      </w:r>
      <w:r>
        <w:rPr>
          <w:rFonts w:hint="eastAsia" w:ascii="仿宋" w:hAnsi="仿宋" w:eastAsia="仿宋" w:cs="方正仿宋简体"/>
          <w:b/>
          <w:bCs/>
          <w:color w:val="auto"/>
          <w:sz w:val="32"/>
          <w:szCs w:val="32"/>
        </w:rPr>
        <w:t>“国际健康旅游岛、世界海丝文化旅游目的地、生态宜居海岛”</w:t>
      </w:r>
      <w:r>
        <w:rPr>
          <w:rFonts w:hint="eastAsia" w:ascii="仿宋" w:hAnsi="仿宋" w:eastAsia="仿宋" w:cs="方正仿宋简体"/>
          <w:color w:val="auto"/>
          <w:sz w:val="32"/>
          <w:szCs w:val="32"/>
          <w:lang w:eastAsia="zh-CN"/>
        </w:rPr>
        <w:t>三</w:t>
      </w:r>
      <w:r>
        <w:rPr>
          <w:rFonts w:hint="eastAsia" w:ascii="仿宋" w:hAnsi="仿宋" w:eastAsia="仿宋" w:cs="方正仿宋简体"/>
          <w:color w:val="auto"/>
          <w:sz w:val="32"/>
          <w:szCs w:val="32"/>
        </w:rPr>
        <w:t>大发展定位，明确指导思想、基本原则和发展目标。</w:t>
      </w:r>
    </w:p>
    <w:bookmarkEnd w:id="24"/>
    <w:bookmarkEnd w:id="25"/>
    <w:bookmarkEnd w:id="26"/>
    <w:bookmarkEnd w:id="27"/>
    <w:bookmarkEnd w:id="28"/>
    <w:bookmarkEnd w:id="29"/>
    <w:p>
      <w:pPr>
        <w:adjustRightInd w:val="0"/>
        <w:snapToGrid w:val="0"/>
        <w:spacing w:line="600" w:lineRule="exact"/>
        <w:jc w:val="center"/>
        <w:outlineLvl w:val="1"/>
        <w:rPr>
          <w:rFonts w:ascii="黑体" w:hAnsi="黑体" w:eastAsia="黑体" w:cs="仿宋"/>
          <w:color w:val="auto"/>
          <w:sz w:val="32"/>
          <w:szCs w:val="32"/>
        </w:rPr>
      </w:pPr>
      <w:bookmarkStart w:id="30" w:name="_Toc59624830"/>
      <w:bookmarkStart w:id="31" w:name="_Toc15993"/>
      <w:bookmarkStart w:id="32" w:name="_Toc15602"/>
      <w:bookmarkStart w:id="33" w:name="_Toc38187027"/>
      <w:bookmarkStart w:id="34" w:name="_Toc24412"/>
      <w:bookmarkStart w:id="35" w:name="_Toc27150"/>
      <w:r>
        <w:rPr>
          <w:rFonts w:hint="eastAsia" w:ascii="黑体" w:hAnsi="黑体" w:eastAsia="黑体" w:cs="仿宋"/>
          <w:color w:val="auto"/>
          <w:sz w:val="32"/>
          <w:szCs w:val="32"/>
        </w:rPr>
        <w:t>第一节 指导思想</w:t>
      </w:r>
      <w:bookmarkEnd w:id="30"/>
      <w:bookmarkEnd w:id="31"/>
      <w:bookmarkEnd w:id="32"/>
      <w:bookmarkEnd w:id="33"/>
      <w:bookmarkEnd w:id="34"/>
      <w:bookmarkEnd w:id="35"/>
    </w:p>
    <w:p>
      <w:pPr>
        <w:widowControl/>
        <w:shd w:val="clear" w:color="auto" w:fill="FFFFFF"/>
        <w:adjustRightInd w:val="0"/>
        <w:snapToGrid w:val="0"/>
        <w:spacing w:line="600" w:lineRule="exact"/>
        <w:ind w:firstLine="640" w:firstLineChars="200"/>
        <w:rPr>
          <w:rFonts w:ascii="仿宋" w:hAnsi="仿宋" w:eastAsia="仿宋" w:cs="方正仿宋简体"/>
          <w:color w:val="auto"/>
          <w:sz w:val="32"/>
          <w:szCs w:val="32"/>
        </w:rPr>
      </w:pPr>
      <w:r>
        <w:rPr>
          <w:rFonts w:hint="eastAsia" w:ascii="仿宋" w:hAnsi="仿宋" w:eastAsia="仿宋" w:cs="方正仿宋简体"/>
          <w:color w:val="auto"/>
          <w:sz w:val="32"/>
          <w:szCs w:val="32"/>
        </w:rPr>
        <w:t>高举中国特色社会主义伟大旗帜，深入贯彻党的十九大和十九届二中、三中、四中、五中全会精神，坚持以马克思列宁主义、毛泽东思想、邓小平理论、“三个代表”重要思想、科学发展观、习近平新时代中国特色社会主义思想为指导，深入贯彻习近平总书记视察广东重要讲话和重要指示批示精神，统筹推进“五位一体”总体布局，协调推进“四个全面”战略布局，坚定不移贯彻新发展理念，以深化供给侧结构性改革为主线，立足海陵岛的资源禀赋、区位优势、产业基础，以“湾带联动”为战略引领，全面对接融入粤港澳大湾区、深圳先行示范区建设，以“海陵岛所能”主动对接融入“双区所需”，推动构建有海陵岛特色的现代化经济体系，加快新型城镇化，深化改革开放创新，增进民生福祉，推进治理体系和治理能力现代化，保持经济社会持续稳定健康发展，确保社会主义现代化建设新征程开好局、起好步，努力把海陵岛建设成为</w:t>
      </w:r>
      <w:r>
        <w:rPr>
          <w:rFonts w:hint="eastAsia" w:ascii="仿宋" w:hAnsi="仿宋" w:eastAsia="仿宋" w:cs="方正仿宋简体"/>
          <w:b/>
          <w:bCs/>
          <w:color w:val="auto"/>
          <w:sz w:val="32"/>
          <w:szCs w:val="32"/>
        </w:rPr>
        <w:t>国际健康旅游岛、世界海丝文化旅游目的地、生态宜居海岛</w:t>
      </w:r>
      <w:r>
        <w:rPr>
          <w:rFonts w:hint="eastAsia" w:ascii="仿宋" w:hAnsi="仿宋" w:eastAsia="仿宋" w:cs="方正仿宋简体"/>
          <w:color w:val="auto"/>
          <w:sz w:val="32"/>
          <w:szCs w:val="32"/>
        </w:rPr>
        <w:t>，为阳江奋力打造沿海经济带重要战略支点、宜居宜业宜游现代化滨海城市提供重要支撑，争当融入珠江口西岸都市圈和“双区”建设的排头兵。</w:t>
      </w:r>
    </w:p>
    <w:p>
      <w:pPr>
        <w:adjustRightInd w:val="0"/>
        <w:snapToGrid w:val="0"/>
        <w:spacing w:line="600" w:lineRule="exact"/>
        <w:jc w:val="center"/>
        <w:outlineLvl w:val="1"/>
        <w:rPr>
          <w:rFonts w:ascii="黑体" w:hAnsi="黑体" w:eastAsia="黑体" w:cs="仿宋"/>
          <w:color w:val="auto"/>
          <w:sz w:val="32"/>
          <w:szCs w:val="32"/>
        </w:rPr>
      </w:pPr>
      <w:bookmarkStart w:id="36" w:name="_Toc59624831"/>
      <w:bookmarkStart w:id="37" w:name="_Toc1751"/>
      <w:bookmarkStart w:id="38" w:name="_Toc21826"/>
      <w:bookmarkStart w:id="39" w:name="_Toc11503"/>
      <w:r>
        <w:rPr>
          <w:rFonts w:hint="eastAsia" w:ascii="黑体" w:hAnsi="黑体" w:eastAsia="黑体" w:cs="仿宋"/>
          <w:color w:val="auto"/>
          <w:sz w:val="32"/>
          <w:szCs w:val="32"/>
        </w:rPr>
        <w:t>第二节 基本原则</w:t>
      </w:r>
      <w:bookmarkEnd w:id="36"/>
      <w:bookmarkEnd w:id="37"/>
      <w:bookmarkEnd w:id="38"/>
      <w:bookmarkEnd w:id="39"/>
    </w:p>
    <w:p>
      <w:pPr>
        <w:widowControl/>
        <w:shd w:val="clear" w:color="auto" w:fill="FFFFFF"/>
        <w:adjustRightInd w:val="0"/>
        <w:snapToGrid w:val="0"/>
        <w:spacing w:line="600" w:lineRule="exact"/>
        <w:ind w:firstLine="643" w:firstLineChars="200"/>
        <w:rPr>
          <w:rFonts w:ascii="仿宋" w:hAnsi="仿宋" w:eastAsia="仿宋" w:cs="方正仿宋简体"/>
          <w:color w:val="auto"/>
          <w:sz w:val="32"/>
          <w:szCs w:val="32"/>
        </w:rPr>
      </w:pPr>
      <w:r>
        <w:rPr>
          <w:rFonts w:hint="eastAsia" w:ascii="仿宋" w:hAnsi="仿宋" w:eastAsia="仿宋"/>
          <w:b/>
          <w:color w:val="auto"/>
          <w:sz w:val="32"/>
          <w:szCs w:val="32"/>
        </w:rPr>
        <w:t>坚持党的全面领导。</w:t>
      </w:r>
      <w:r>
        <w:rPr>
          <w:rFonts w:hint="eastAsia" w:ascii="仿宋" w:hAnsi="仿宋" w:eastAsia="仿宋" w:cs="方正仿宋简体"/>
          <w:color w:val="auto"/>
          <w:sz w:val="32"/>
          <w:szCs w:val="32"/>
        </w:rPr>
        <w:t>坚持和完善党领导经济社会发展的体制机制，坚持和完善中国特色社会主义制度，不断提高贯彻新发展理念、构建新发展格局能力和水平，为新时代海陵岛改革发展提供坚强政治保障，为实现高质量发展提供根本保证。</w:t>
      </w:r>
    </w:p>
    <w:p>
      <w:pPr>
        <w:widowControl/>
        <w:shd w:val="clear" w:color="auto" w:fill="FFFFFF"/>
        <w:adjustRightInd w:val="0"/>
        <w:snapToGrid w:val="0"/>
        <w:spacing w:line="600" w:lineRule="exact"/>
        <w:ind w:firstLine="643" w:firstLineChars="200"/>
        <w:rPr>
          <w:rFonts w:ascii="仿宋" w:hAnsi="仿宋" w:eastAsia="仿宋" w:cs="方正仿宋简体"/>
          <w:color w:val="auto"/>
          <w:sz w:val="32"/>
          <w:szCs w:val="32"/>
        </w:rPr>
      </w:pPr>
      <w:r>
        <w:rPr>
          <w:rFonts w:hint="eastAsia" w:ascii="仿宋" w:hAnsi="仿宋" w:eastAsia="仿宋"/>
          <w:b/>
          <w:color w:val="auto"/>
          <w:sz w:val="32"/>
          <w:szCs w:val="32"/>
        </w:rPr>
        <w:t>坚持以人民为中心。</w:t>
      </w:r>
      <w:r>
        <w:rPr>
          <w:rFonts w:hint="eastAsia" w:ascii="仿宋" w:hAnsi="仿宋" w:eastAsia="仿宋" w:cs="方正仿宋简体"/>
          <w:color w:val="auto"/>
          <w:sz w:val="32"/>
          <w:szCs w:val="32"/>
        </w:rPr>
        <w:t>坚持人民主体地位，坚持共同富裕方向，始终做到发展为了人民、发展依靠人民、发展成果由人民共享，维护人民根本利益。激发全体人民积极性、主动性、创造性，促进社会公平，增进民生福祉，使人民的获得感成色更足、幸福感更可持续、安全感更有保障，不断实现人民对美好生活的向往，建设幸福海陵岛。</w:t>
      </w:r>
    </w:p>
    <w:p>
      <w:pPr>
        <w:widowControl/>
        <w:shd w:val="clear" w:color="auto" w:fill="FFFFFF"/>
        <w:adjustRightInd w:val="0"/>
        <w:snapToGrid w:val="0"/>
        <w:spacing w:line="600" w:lineRule="exact"/>
        <w:ind w:firstLine="643" w:firstLineChars="200"/>
        <w:rPr>
          <w:rFonts w:ascii="仿宋" w:hAnsi="仿宋" w:eastAsia="仿宋" w:cs="方正仿宋简体"/>
          <w:color w:val="auto"/>
          <w:sz w:val="32"/>
          <w:szCs w:val="32"/>
        </w:rPr>
      </w:pPr>
      <w:r>
        <w:rPr>
          <w:rFonts w:hint="eastAsia" w:ascii="仿宋" w:hAnsi="仿宋" w:eastAsia="仿宋"/>
          <w:b/>
          <w:color w:val="auto"/>
          <w:sz w:val="32"/>
          <w:szCs w:val="32"/>
        </w:rPr>
        <w:t>坚持新发展理念。</w:t>
      </w:r>
      <w:r>
        <w:rPr>
          <w:rFonts w:hint="eastAsia" w:ascii="仿宋" w:hAnsi="仿宋" w:eastAsia="仿宋" w:cs="方正仿宋简体"/>
          <w:color w:val="auto"/>
          <w:sz w:val="32"/>
          <w:szCs w:val="32"/>
        </w:rPr>
        <w:t>把新发展理念贯穿海陵岛发展全过程和各领域，构建新发展格局，加快转变发展方式，推动质量变革、效率变革、动力变革，实现更高质量、更有效率、更加公平、更可持续、更为安全的发展。</w:t>
      </w:r>
    </w:p>
    <w:p>
      <w:pPr>
        <w:widowControl/>
        <w:shd w:val="clear" w:color="auto" w:fill="FFFFFF"/>
        <w:adjustRightInd w:val="0"/>
        <w:snapToGrid w:val="0"/>
        <w:spacing w:line="600" w:lineRule="exact"/>
        <w:ind w:firstLine="643" w:firstLineChars="200"/>
        <w:rPr>
          <w:rFonts w:ascii="仿宋" w:hAnsi="仿宋" w:eastAsia="仿宋" w:cs="方正仿宋简体"/>
          <w:color w:val="auto"/>
          <w:sz w:val="32"/>
          <w:szCs w:val="32"/>
        </w:rPr>
      </w:pPr>
      <w:r>
        <w:rPr>
          <w:rFonts w:hint="eastAsia" w:ascii="仿宋" w:hAnsi="仿宋" w:eastAsia="仿宋"/>
          <w:b/>
          <w:color w:val="auto"/>
          <w:sz w:val="32"/>
          <w:szCs w:val="32"/>
        </w:rPr>
        <w:t>坚持深化改革开放。</w:t>
      </w:r>
      <w:r>
        <w:rPr>
          <w:rFonts w:hint="eastAsia" w:ascii="仿宋" w:hAnsi="仿宋" w:eastAsia="仿宋" w:cs="方正仿宋简体"/>
          <w:color w:val="auto"/>
          <w:sz w:val="32"/>
          <w:szCs w:val="32"/>
        </w:rPr>
        <w:t>坚定不移推进改革和扩大开放，加强治理体系和治理能力现代化，着力破除体制机制障碍，强化有利于提高资源配置效率、有利于调动全社会积极性的改革开放举措，持续增强发展动力和活力。</w:t>
      </w:r>
    </w:p>
    <w:p>
      <w:pPr>
        <w:widowControl/>
        <w:shd w:val="clear" w:color="auto" w:fill="FFFFFF"/>
        <w:adjustRightInd w:val="0"/>
        <w:snapToGrid w:val="0"/>
        <w:spacing w:line="600" w:lineRule="exact"/>
        <w:ind w:firstLine="643" w:firstLineChars="200"/>
        <w:rPr>
          <w:rFonts w:ascii="仿宋" w:hAnsi="仿宋" w:eastAsia="仿宋" w:cs="方正仿宋简体"/>
          <w:color w:val="auto"/>
          <w:sz w:val="32"/>
          <w:szCs w:val="32"/>
        </w:rPr>
      </w:pPr>
      <w:r>
        <w:rPr>
          <w:rFonts w:hint="eastAsia" w:ascii="仿宋" w:hAnsi="仿宋" w:eastAsia="仿宋"/>
          <w:b/>
          <w:color w:val="auto"/>
          <w:sz w:val="32"/>
          <w:szCs w:val="32"/>
        </w:rPr>
        <w:t>坚持系统观念。</w:t>
      </w:r>
      <w:r>
        <w:rPr>
          <w:rFonts w:hint="eastAsia" w:ascii="仿宋" w:hAnsi="仿宋" w:eastAsia="仿宋" w:cs="方正仿宋简体"/>
          <w:color w:val="auto"/>
          <w:sz w:val="32"/>
          <w:szCs w:val="32"/>
        </w:rPr>
        <w:t>加强前瞻性思考、全局性谋划、战略性布局、整体性推进，着眼两个大局，办好发展安全两件大事，更好发挥各方面积极性，着力固根基、扬优势、补短板、强弱项，注重防范化解风险挑战，实现发展质量、结构、规模、速度、效益、安全相统一。</w:t>
      </w:r>
    </w:p>
    <w:p>
      <w:pPr>
        <w:adjustRightInd w:val="0"/>
        <w:snapToGrid w:val="0"/>
        <w:spacing w:line="600" w:lineRule="exact"/>
        <w:jc w:val="center"/>
        <w:outlineLvl w:val="1"/>
        <w:rPr>
          <w:rFonts w:ascii="黑体" w:hAnsi="黑体" w:eastAsia="黑体" w:cs="仿宋"/>
          <w:color w:val="auto"/>
          <w:sz w:val="32"/>
          <w:szCs w:val="32"/>
        </w:rPr>
      </w:pPr>
      <w:bookmarkStart w:id="40" w:name="_Toc59331213"/>
      <w:bookmarkStart w:id="41" w:name="_Toc11337"/>
      <w:r>
        <w:rPr>
          <w:rFonts w:hint="eastAsia" w:ascii="黑体" w:hAnsi="黑体" w:eastAsia="黑体" w:cs="仿宋"/>
          <w:color w:val="auto"/>
          <w:sz w:val="32"/>
          <w:szCs w:val="32"/>
        </w:rPr>
        <w:t>第三节 发展目标</w:t>
      </w:r>
      <w:bookmarkEnd w:id="40"/>
      <w:bookmarkEnd w:id="41"/>
    </w:p>
    <w:p>
      <w:pPr>
        <w:widowControl/>
        <w:shd w:val="clear" w:color="auto" w:fill="FFFFFF"/>
        <w:adjustRightInd w:val="0"/>
        <w:snapToGrid w:val="0"/>
        <w:spacing w:line="600" w:lineRule="exact"/>
        <w:ind w:firstLine="640" w:firstLineChars="200"/>
        <w:rPr>
          <w:rFonts w:ascii="仿宋" w:hAnsi="仿宋" w:eastAsia="仿宋" w:cs="方正仿宋简体"/>
          <w:color w:val="auto"/>
          <w:sz w:val="32"/>
          <w:szCs w:val="32"/>
        </w:rPr>
      </w:pPr>
      <w:bookmarkStart w:id="42" w:name="_Hlk59007268"/>
      <w:r>
        <w:rPr>
          <w:rFonts w:hint="eastAsia" w:ascii="仿宋" w:hAnsi="仿宋" w:eastAsia="仿宋" w:cs="方正仿宋简体"/>
          <w:color w:val="auto"/>
          <w:sz w:val="32"/>
          <w:szCs w:val="32"/>
        </w:rPr>
        <w:t>锚定二</w:t>
      </w:r>
      <w:r>
        <w:rPr>
          <w:rFonts w:hint="eastAsia" w:ascii="仿宋" w:hAnsi="仿宋" w:eastAsia="仿宋" w:cs="宋体"/>
          <w:color w:val="auto"/>
          <w:sz w:val="32"/>
          <w:szCs w:val="32"/>
        </w:rPr>
        <w:t>〇</w:t>
      </w:r>
      <w:r>
        <w:rPr>
          <w:rFonts w:hint="eastAsia" w:ascii="仿宋" w:hAnsi="仿宋" w:eastAsia="仿宋" w:cs="方正仿宋简体"/>
          <w:color w:val="auto"/>
          <w:sz w:val="32"/>
          <w:szCs w:val="32"/>
        </w:rPr>
        <w:t>三五年远景目标，综合研判“十四五”时期国内外发展态势和海陵岛发展条件，围绕</w:t>
      </w:r>
      <w:r>
        <w:rPr>
          <w:rFonts w:hint="eastAsia" w:ascii="仿宋" w:hAnsi="仿宋" w:eastAsia="仿宋" w:cs="方正仿宋简体"/>
          <w:b/>
          <w:bCs/>
          <w:color w:val="auto"/>
          <w:sz w:val="32"/>
          <w:szCs w:val="32"/>
        </w:rPr>
        <w:t>“国际健康旅游岛、世界海丝文化旅游目的地、生态宜居海岛”</w:t>
      </w:r>
      <w:r>
        <w:rPr>
          <w:rFonts w:hint="eastAsia" w:ascii="仿宋" w:hAnsi="仿宋" w:eastAsia="仿宋" w:cs="方正仿宋简体"/>
          <w:color w:val="auto"/>
          <w:sz w:val="32"/>
          <w:szCs w:val="32"/>
          <w:lang w:eastAsia="zh-CN"/>
        </w:rPr>
        <w:t>三</w:t>
      </w:r>
      <w:r>
        <w:rPr>
          <w:rFonts w:hint="eastAsia" w:ascii="仿宋" w:hAnsi="仿宋" w:eastAsia="仿宋" w:cs="方正仿宋简体"/>
          <w:color w:val="auto"/>
          <w:sz w:val="32"/>
          <w:szCs w:val="32"/>
        </w:rPr>
        <w:t>大发展定位，坚持目标导向和问题导向相结合，坚持守正和创新相统一，今后五年我区经济社会发展要努力实现以下主要目标。</w:t>
      </w:r>
    </w:p>
    <w:bookmarkEnd w:id="42"/>
    <w:p>
      <w:pPr>
        <w:widowControl/>
        <w:shd w:val="clear" w:color="auto" w:fill="FFFFFF"/>
        <w:adjustRightInd w:val="0"/>
        <w:snapToGrid w:val="0"/>
        <w:spacing w:line="600" w:lineRule="exact"/>
        <w:ind w:firstLine="643" w:firstLineChars="200"/>
        <w:rPr>
          <w:rFonts w:ascii="仿宋" w:hAnsi="仿宋" w:eastAsia="仿宋" w:cs="方正仿宋简体"/>
          <w:color w:val="auto"/>
          <w:sz w:val="32"/>
          <w:szCs w:val="32"/>
        </w:rPr>
      </w:pPr>
      <w:r>
        <w:rPr>
          <w:rFonts w:hint="eastAsia" w:ascii="仿宋" w:hAnsi="仿宋" w:eastAsia="仿宋" w:cs="楷体"/>
          <w:b/>
          <w:color w:val="auto"/>
          <w:sz w:val="32"/>
          <w:szCs w:val="32"/>
        </w:rPr>
        <w:t>经济发展迈上新台阶。</w:t>
      </w:r>
      <w:r>
        <w:rPr>
          <w:rFonts w:hint="eastAsia" w:ascii="仿宋" w:hAnsi="仿宋" w:eastAsia="仿宋" w:cs="方正仿宋简体"/>
          <w:color w:val="auto"/>
          <w:sz w:val="32"/>
          <w:szCs w:val="32"/>
        </w:rPr>
        <w:t>经济保持中高速增长，</w:t>
      </w:r>
      <w:r>
        <w:rPr>
          <w:rFonts w:hint="eastAsia" w:ascii="仿宋" w:hAnsi="仿宋" w:eastAsia="仿宋" w:cs="方正仿宋简体"/>
          <w:b w:val="0"/>
          <w:bCs w:val="0"/>
          <w:color w:val="auto"/>
          <w:sz w:val="32"/>
          <w:szCs w:val="32"/>
        </w:rPr>
        <w:t>全区GDP年均增长约</w:t>
      </w:r>
      <w:r>
        <w:rPr>
          <w:rFonts w:hint="eastAsia" w:ascii="仿宋" w:hAnsi="仿宋" w:eastAsia="仿宋" w:cs="方正仿宋简体"/>
          <w:b w:val="0"/>
          <w:bCs w:val="0"/>
          <w:color w:val="auto"/>
          <w:sz w:val="32"/>
          <w:szCs w:val="32"/>
          <w:lang w:val="en-US" w:eastAsia="zh-CN"/>
        </w:rPr>
        <w:t>6</w:t>
      </w:r>
      <w:r>
        <w:rPr>
          <w:rFonts w:ascii="仿宋" w:hAnsi="仿宋" w:eastAsia="仿宋" w:cs="方正仿宋简体"/>
          <w:b w:val="0"/>
          <w:bCs w:val="0"/>
          <w:color w:val="auto"/>
          <w:sz w:val="32"/>
          <w:szCs w:val="32"/>
        </w:rPr>
        <w:t>%</w:t>
      </w:r>
      <w:r>
        <w:rPr>
          <w:rFonts w:hint="eastAsia" w:ascii="仿宋" w:hAnsi="仿宋" w:eastAsia="仿宋" w:cs="方正仿宋简体"/>
          <w:b w:val="0"/>
          <w:bCs w:val="0"/>
          <w:color w:val="auto"/>
          <w:sz w:val="32"/>
          <w:szCs w:val="32"/>
        </w:rPr>
        <w:t>,</w:t>
      </w:r>
      <w:r>
        <w:rPr>
          <w:rFonts w:hint="eastAsia" w:ascii="仿宋" w:hAnsi="仿宋" w:eastAsia="仿宋" w:cs="仿宋"/>
          <w:b w:val="0"/>
          <w:bCs w:val="0"/>
          <w:color w:val="auto"/>
          <w:sz w:val="32"/>
          <w:szCs w:val="32"/>
        </w:rPr>
        <w:t>到</w:t>
      </w:r>
      <w:r>
        <w:rPr>
          <w:rFonts w:ascii="仿宋" w:hAnsi="仿宋" w:eastAsia="仿宋"/>
          <w:b w:val="0"/>
          <w:bCs w:val="0"/>
          <w:color w:val="auto"/>
          <w:sz w:val="32"/>
          <w:szCs w:val="32"/>
        </w:rPr>
        <w:t>2025年GDP</w:t>
      </w:r>
      <w:r>
        <w:rPr>
          <w:rFonts w:hint="eastAsia" w:ascii="仿宋" w:hAnsi="仿宋" w:eastAsia="仿宋"/>
          <w:b w:val="0"/>
          <w:bCs w:val="0"/>
          <w:color w:val="auto"/>
          <w:sz w:val="32"/>
          <w:szCs w:val="32"/>
        </w:rPr>
        <w:t>约</w:t>
      </w:r>
      <w:r>
        <w:rPr>
          <w:rFonts w:hint="eastAsia" w:ascii="仿宋" w:hAnsi="仿宋" w:eastAsia="仿宋" w:cs="方正仿宋简体"/>
          <w:b w:val="0"/>
          <w:bCs w:val="0"/>
          <w:color w:val="auto"/>
          <w:sz w:val="32"/>
          <w:szCs w:val="32"/>
        </w:rPr>
        <w:t>达</w:t>
      </w:r>
      <w:r>
        <w:rPr>
          <w:rFonts w:hint="eastAsia" w:ascii="仿宋" w:hAnsi="仿宋" w:eastAsia="仿宋" w:cs="方正仿宋简体"/>
          <w:b w:val="0"/>
          <w:bCs w:val="0"/>
          <w:color w:val="auto"/>
          <w:sz w:val="32"/>
          <w:szCs w:val="32"/>
          <w:lang w:val="en-US" w:eastAsia="zh-CN"/>
        </w:rPr>
        <w:t>58</w:t>
      </w:r>
      <w:r>
        <w:rPr>
          <w:rFonts w:hint="eastAsia" w:ascii="仿宋" w:hAnsi="仿宋" w:eastAsia="仿宋" w:cs="方正仿宋简体"/>
          <w:b w:val="0"/>
          <w:bCs w:val="0"/>
          <w:color w:val="auto"/>
          <w:sz w:val="32"/>
          <w:szCs w:val="32"/>
        </w:rPr>
        <w:t>亿元</w:t>
      </w:r>
      <w:r>
        <w:rPr>
          <w:rFonts w:ascii="仿宋" w:hAnsi="仿宋" w:eastAsia="仿宋"/>
          <w:color w:val="auto"/>
          <w:sz w:val="32"/>
          <w:szCs w:val="32"/>
        </w:rPr>
        <w:t>，</w:t>
      </w:r>
      <w:r>
        <w:rPr>
          <w:rFonts w:hint="eastAsia" w:ascii="仿宋" w:hAnsi="仿宋" w:eastAsia="仿宋" w:cs="方正仿宋简体"/>
          <w:color w:val="auto"/>
          <w:sz w:val="32"/>
          <w:szCs w:val="32"/>
        </w:rPr>
        <w:t>经济实力显著增强。经济结构持续优化，经济社会实现高质高效发展。社会投资比重持续提高，消费市场更加繁荣，主要经济指标增速高于全国、全省、全市平均水平。</w:t>
      </w:r>
    </w:p>
    <w:p>
      <w:pPr>
        <w:widowControl/>
        <w:shd w:val="clear" w:color="auto" w:fill="FFFFFF"/>
        <w:adjustRightInd w:val="0"/>
        <w:snapToGrid w:val="0"/>
        <w:spacing w:line="600" w:lineRule="exact"/>
        <w:ind w:firstLine="643" w:firstLineChars="200"/>
        <w:rPr>
          <w:rFonts w:ascii="仿宋" w:hAnsi="仿宋" w:eastAsia="仿宋" w:cs="方正仿宋简体"/>
          <w:color w:val="auto"/>
          <w:sz w:val="32"/>
          <w:szCs w:val="32"/>
        </w:rPr>
      </w:pPr>
      <w:r>
        <w:rPr>
          <w:rFonts w:hint="eastAsia" w:ascii="仿宋" w:hAnsi="仿宋" w:eastAsia="仿宋"/>
          <w:b/>
          <w:color w:val="auto"/>
          <w:sz w:val="32"/>
          <w:szCs w:val="32"/>
        </w:rPr>
        <w:t>创新驱动形成新动能</w:t>
      </w:r>
      <w:r>
        <w:rPr>
          <w:rFonts w:hint="eastAsia" w:ascii="仿宋" w:hAnsi="仿宋" w:eastAsia="仿宋" w:cs="楷体"/>
          <w:b/>
          <w:color w:val="auto"/>
          <w:sz w:val="32"/>
          <w:szCs w:val="32"/>
        </w:rPr>
        <w:t>。</w:t>
      </w:r>
      <w:r>
        <w:rPr>
          <w:rFonts w:hint="eastAsia" w:ascii="仿宋" w:hAnsi="仿宋" w:eastAsia="仿宋" w:cs="方正仿宋简体"/>
          <w:color w:val="auto"/>
          <w:sz w:val="32"/>
          <w:szCs w:val="32"/>
        </w:rPr>
        <w:t>充分发挥海陵岛的生态及海岛区位优势，积极落实粤港澳大湾区战略，积极与珠海、广州、深圳开展海洋科技研发合作，吸引港澳青年及科技企业前来入驻，构建以海洋科技创新服务业为主导、以联合创新为特色的国际化区域创新体系，打造粤港科技成果产业化、港澳青年内地创新创业的合作平台，努力把海陵岛建设成为粤港澳海洋协同创新特别合作区。</w:t>
      </w:r>
    </w:p>
    <w:p>
      <w:pPr>
        <w:pStyle w:val="17"/>
        <w:adjustRightInd w:val="0"/>
        <w:snapToGrid w:val="0"/>
        <w:spacing w:line="600" w:lineRule="exact"/>
        <w:ind w:left="0" w:leftChars="0" w:firstLine="643" w:firstLineChars="200"/>
        <w:rPr>
          <w:rFonts w:ascii="仿宋" w:hAnsi="仿宋" w:eastAsia="仿宋"/>
          <w:bCs/>
          <w:color w:val="auto"/>
          <w:sz w:val="32"/>
          <w:szCs w:val="32"/>
        </w:rPr>
      </w:pPr>
      <w:r>
        <w:rPr>
          <w:rFonts w:hint="eastAsia" w:ascii="仿宋" w:hAnsi="仿宋" w:eastAsia="仿宋"/>
          <w:b/>
          <w:color w:val="auto"/>
          <w:sz w:val="32"/>
          <w:szCs w:val="32"/>
        </w:rPr>
        <w:t>现代产业竞争力实现新提升。</w:t>
      </w:r>
      <w:r>
        <w:rPr>
          <w:rFonts w:hint="eastAsia" w:ascii="仿宋" w:hAnsi="仿宋" w:eastAsia="仿宋"/>
          <w:bCs/>
          <w:color w:val="auto"/>
          <w:sz w:val="32"/>
          <w:szCs w:val="32"/>
        </w:rPr>
        <w:t>把握全球大健康旅游发展新趋势，充分发挥海陵岛生态环境优越、旅游资源独特、发展大健康旅游产业具有得天独厚的优势条件，大力引进、培育、发展“旅游+康养+度假”大健康旅游产业集群，打造国际一流的健康旅游岛。以“南海I号”博物馆为依托，加强对海上丝绸之路等文化遗产的开发，推动“旅游+文化”融合发展，大力发展海上丝绸之路文化体验旅游，打造海丝精品文化旅游线路，全力打响海陵岛“海丝文化”品牌，助推海陵岛打造世界海丝文化旅游目的地。</w:t>
      </w:r>
    </w:p>
    <w:p>
      <w:pPr>
        <w:adjustRightInd w:val="0"/>
        <w:snapToGrid w:val="0"/>
        <w:spacing w:line="600" w:lineRule="exact"/>
        <w:ind w:firstLine="643" w:firstLineChars="200"/>
        <w:rPr>
          <w:color w:val="auto"/>
        </w:rPr>
      </w:pPr>
      <w:r>
        <w:rPr>
          <w:rFonts w:hint="eastAsia" w:ascii="仿宋" w:hAnsi="仿宋" w:eastAsia="仿宋" w:cs="仿宋_GB2312"/>
          <w:b/>
          <w:bCs/>
          <w:color w:val="auto"/>
          <w:sz w:val="32"/>
          <w:szCs w:val="32"/>
        </w:rPr>
        <w:t>生态宜居海岛建设持续升级。</w:t>
      </w:r>
      <w:r>
        <w:rPr>
          <w:rFonts w:hint="eastAsia" w:ascii="仿宋" w:hAnsi="仿宋" w:eastAsia="仿宋" w:cs="仿宋_GB2312"/>
          <w:color w:val="auto"/>
          <w:sz w:val="32"/>
          <w:szCs w:val="32"/>
        </w:rPr>
        <w:t>紧紧围绕“绿水青山就是金山银山”的理念，充分利用海陵岛优越的生态环境优势，构建内外通达的区域交通联系与便捷高效的城市交通体系，完善公共服务设施，打造优质的社区服务环境，提升市政基础设施保障能力，努力建成交通便捷、配套设施先进、生态良好、生活舒适的幸福宜居海岛，把海陵岛打造成阳江高新区乃至粤港澳大湾区高端人才“落脚地”。</w:t>
      </w:r>
    </w:p>
    <w:p>
      <w:pPr>
        <w:widowControl/>
        <w:shd w:val="clear" w:color="auto" w:fill="FFFFFF"/>
        <w:adjustRightInd w:val="0"/>
        <w:snapToGrid w:val="0"/>
        <w:spacing w:line="600" w:lineRule="exact"/>
        <w:ind w:firstLine="643" w:firstLineChars="200"/>
        <w:rPr>
          <w:rFonts w:ascii="仿宋" w:hAnsi="仿宋" w:eastAsia="仿宋" w:cs="方正仿宋简体"/>
          <w:color w:val="auto"/>
          <w:sz w:val="32"/>
          <w:szCs w:val="32"/>
        </w:rPr>
      </w:pPr>
      <w:r>
        <w:rPr>
          <w:rFonts w:hint="eastAsia" w:ascii="仿宋" w:hAnsi="仿宋" w:eastAsia="仿宋" w:cs="楷体"/>
          <w:b/>
          <w:color w:val="auto"/>
          <w:sz w:val="32"/>
          <w:szCs w:val="32"/>
        </w:rPr>
        <w:t>改革开放取得新突破。</w:t>
      </w:r>
      <w:r>
        <w:rPr>
          <w:rFonts w:hint="eastAsia" w:ascii="仿宋" w:hAnsi="仿宋" w:eastAsia="仿宋" w:cs="方正仿宋简体"/>
          <w:color w:val="auto"/>
          <w:sz w:val="32"/>
          <w:szCs w:val="32"/>
        </w:rPr>
        <w:t>社会主义市场经济体制更加完善，产权制度改革和要素市场化配置改革取得重大进展，公平竞争制度更加健全。</w:t>
      </w:r>
      <w:r>
        <w:rPr>
          <w:rFonts w:hint="eastAsia" w:ascii="仿宋" w:hAnsi="仿宋" w:eastAsia="仿宋" w:cs="仿宋"/>
          <w:color w:val="auto"/>
          <w:sz w:val="32"/>
          <w:szCs w:val="32"/>
        </w:rPr>
        <w:t>全面融入国内国际双循环新发展格局与</w:t>
      </w:r>
      <w:r>
        <w:rPr>
          <w:rFonts w:hint="eastAsia" w:ascii="仿宋" w:hAnsi="仿宋" w:eastAsia="仿宋" w:cs="方正仿宋简体"/>
          <w:color w:val="auto"/>
          <w:sz w:val="32"/>
          <w:szCs w:val="32"/>
        </w:rPr>
        <w:t>“双区建设”</w:t>
      </w:r>
      <w:r>
        <w:rPr>
          <w:rFonts w:hint="eastAsia" w:ascii="仿宋" w:hAnsi="仿宋" w:eastAsia="仿宋" w:cs="仿宋"/>
          <w:color w:val="auto"/>
          <w:sz w:val="32"/>
          <w:szCs w:val="32"/>
        </w:rPr>
        <w:t>，</w:t>
      </w:r>
      <w:r>
        <w:rPr>
          <w:rFonts w:hint="eastAsia" w:ascii="仿宋" w:hAnsi="仿宋" w:eastAsia="仿宋" w:cs="方正仿宋简体"/>
          <w:color w:val="auto"/>
          <w:sz w:val="32"/>
          <w:szCs w:val="32"/>
        </w:rPr>
        <w:t>与珠海横琴对口帮扶全面深化，交通路网基本实现无缝对接，城市功能互补、公共服务互享、营商环境互融取得积极进展。</w:t>
      </w:r>
    </w:p>
    <w:p>
      <w:pPr>
        <w:widowControl/>
        <w:shd w:val="clear" w:color="auto" w:fill="FFFFFF"/>
        <w:adjustRightInd w:val="0"/>
        <w:snapToGrid w:val="0"/>
        <w:spacing w:line="600" w:lineRule="exact"/>
        <w:ind w:firstLine="643" w:firstLineChars="200"/>
        <w:rPr>
          <w:rFonts w:ascii="仿宋" w:hAnsi="仿宋" w:eastAsia="仿宋" w:cs="方正仿宋简体"/>
          <w:color w:val="auto"/>
          <w:sz w:val="32"/>
          <w:szCs w:val="32"/>
        </w:rPr>
      </w:pPr>
      <w:r>
        <w:rPr>
          <w:rFonts w:hint="eastAsia" w:ascii="仿宋" w:hAnsi="仿宋" w:eastAsia="仿宋" w:cs="楷体"/>
          <w:b/>
          <w:color w:val="auto"/>
          <w:sz w:val="32"/>
          <w:szCs w:val="32"/>
        </w:rPr>
        <w:t>城乡融合发展达到新水平。</w:t>
      </w:r>
      <w:r>
        <w:rPr>
          <w:rFonts w:hint="eastAsia" w:ascii="仿宋" w:hAnsi="仿宋" w:eastAsia="仿宋" w:cs="方正仿宋简体"/>
          <w:color w:val="auto"/>
          <w:sz w:val="32"/>
          <w:szCs w:val="32"/>
        </w:rPr>
        <w:t>以人为核心的城镇化质量明显提高，常住人口城镇化率达</w:t>
      </w:r>
      <w:r>
        <w:rPr>
          <w:rFonts w:hint="eastAsia" w:ascii="仿宋" w:hAnsi="仿宋" w:eastAsia="仿宋" w:cs="方正仿宋简体"/>
          <w:color w:val="auto"/>
          <w:sz w:val="32"/>
          <w:szCs w:val="32"/>
          <w:lang w:val="en-US" w:eastAsia="zh-CN"/>
        </w:rPr>
        <w:t>70.16</w:t>
      </w:r>
      <w:r>
        <w:rPr>
          <w:rFonts w:hint="eastAsia" w:ascii="仿宋" w:hAnsi="仿宋" w:eastAsia="仿宋" w:cs="方正仿宋简体"/>
          <w:color w:val="auto"/>
          <w:sz w:val="32"/>
          <w:szCs w:val="32"/>
        </w:rPr>
        <w:t>%，城市功能品质明显提升，基础设施支撑能力显著增强。</w:t>
      </w:r>
      <w:r>
        <w:rPr>
          <w:rFonts w:ascii="仿宋" w:hAnsi="仿宋" w:eastAsia="仿宋" w:cs="方正仿宋简体"/>
          <w:color w:val="auto"/>
          <w:sz w:val="32"/>
          <w:szCs w:val="32"/>
        </w:rPr>
        <w:t>乡村振兴战略全面推进，脱贫攻坚成果巩固拓展，</w:t>
      </w:r>
      <w:r>
        <w:rPr>
          <w:rFonts w:hint="eastAsia" w:ascii="仿宋" w:hAnsi="仿宋" w:eastAsia="仿宋" w:cs="方正仿宋简体"/>
          <w:color w:val="auto"/>
          <w:sz w:val="32"/>
          <w:szCs w:val="32"/>
        </w:rPr>
        <w:t>城乡收入差距持续缩小，城乡融合发展体制机制基本建立，城乡一体化发展格局更趋完善。</w:t>
      </w:r>
    </w:p>
    <w:p>
      <w:pPr>
        <w:widowControl/>
        <w:shd w:val="clear" w:color="auto" w:fill="FFFFFF"/>
        <w:adjustRightInd w:val="0"/>
        <w:snapToGrid w:val="0"/>
        <w:spacing w:line="600" w:lineRule="exact"/>
        <w:ind w:firstLine="643" w:firstLineChars="200"/>
        <w:rPr>
          <w:rFonts w:ascii="仿宋" w:hAnsi="仿宋" w:eastAsia="仿宋" w:cs="方正仿宋简体"/>
          <w:color w:val="auto"/>
          <w:sz w:val="32"/>
          <w:szCs w:val="32"/>
        </w:rPr>
      </w:pPr>
      <w:r>
        <w:rPr>
          <w:rFonts w:hint="eastAsia" w:ascii="仿宋" w:hAnsi="仿宋" w:eastAsia="仿宋" w:cs="楷体"/>
          <w:b/>
          <w:color w:val="auto"/>
          <w:sz w:val="32"/>
          <w:szCs w:val="32"/>
        </w:rPr>
        <w:t>文化强区建设迈出新步伐。</w:t>
      </w:r>
      <w:r>
        <w:rPr>
          <w:rFonts w:hint="eastAsia" w:ascii="仿宋" w:hAnsi="仿宋" w:eastAsia="仿宋" w:cs="方正仿宋简体"/>
          <w:color w:val="auto"/>
          <w:sz w:val="32"/>
          <w:szCs w:val="32"/>
        </w:rPr>
        <w:t>社会主义核心价值观深入人心，人民群众思想道德素质、科学文化素质和身心健康素质明显提高。公共文化服务体系和文化产业体系更加健全，人民精神文化生活日益丰富，“海丝”文化不断传承弘扬，文化软实力进一步增强。</w:t>
      </w:r>
    </w:p>
    <w:p>
      <w:pPr>
        <w:widowControl/>
        <w:shd w:val="clear" w:color="auto" w:fill="FFFFFF"/>
        <w:adjustRightInd w:val="0"/>
        <w:snapToGrid w:val="0"/>
        <w:spacing w:line="600" w:lineRule="exact"/>
        <w:ind w:firstLine="643" w:firstLineChars="200"/>
        <w:rPr>
          <w:rFonts w:ascii="仿宋" w:hAnsi="仿宋" w:eastAsia="仿宋" w:cs="方正仿宋简体"/>
          <w:color w:val="auto"/>
          <w:sz w:val="32"/>
          <w:szCs w:val="32"/>
        </w:rPr>
      </w:pPr>
      <w:r>
        <w:rPr>
          <w:rFonts w:hint="eastAsia" w:ascii="仿宋" w:hAnsi="仿宋" w:eastAsia="仿宋" w:cs="楷体"/>
          <w:b/>
          <w:color w:val="auto"/>
          <w:sz w:val="32"/>
          <w:szCs w:val="32"/>
        </w:rPr>
        <w:t>幸福海陵建设取得新成效。</w:t>
      </w:r>
      <w:r>
        <w:rPr>
          <w:rFonts w:hint="eastAsia" w:ascii="仿宋" w:hAnsi="仿宋" w:eastAsia="仿宋" w:cs="方正仿宋简体"/>
          <w:color w:val="auto"/>
          <w:sz w:val="32"/>
          <w:szCs w:val="32"/>
        </w:rPr>
        <w:t>改革发展的成果更多更公平地惠及广大人民群众，实现更充分就业，分配结构明显改善，居民可支配收入增长和经济增长基本同步。基本公共服务均等化水平明显提高，全民受教育程度不断提升</w:t>
      </w:r>
      <w:r>
        <w:rPr>
          <w:rFonts w:hint="eastAsia" w:ascii="仿宋" w:hAnsi="仿宋" w:eastAsia="仿宋" w:cs="方正仿宋简体"/>
          <w:color w:val="auto"/>
          <w:sz w:val="32"/>
          <w:szCs w:val="32"/>
          <w:lang w:eastAsia="zh-CN"/>
        </w:rPr>
        <w:t>，</w:t>
      </w:r>
      <w:r>
        <w:rPr>
          <w:rFonts w:hint="eastAsia" w:ascii="仿宋" w:hAnsi="仿宋" w:eastAsia="仿宋" w:cs="方正仿宋简体"/>
          <w:color w:val="auto"/>
          <w:sz w:val="32"/>
          <w:szCs w:val="32"/>
        </w:rPr>
        <w:t>社会保障体系更加完善，卫生健康体系更加完善，人民群众的获得感、幸福感、安全感进一步增强。</w:t>
      </w:r>
    </w:p>
    <w:p>
      <w:pPr>
        <w:widowControl/>
        <w:shd w:val="clear" w:color="auto" w:fill="FFFFFF"/>
        <w:adjustRightInd w:val="0"/>
        <w:snapToGrid w:val="0"/>
        <w:spacing w:line="600" w:lineRule="exact"/>
        <w:ind w:firstLine="643" w:firstLineChars="200"/>
        <w:rPr>
          <w:rFonts w:hint="eastAsia" w:ascii="仿宋" w:hAnsi="仿宋" w:eastAsia="仿宋" w:cs="方正仿宋简体"/>
          <w:color w:val="auto"/>
          <w:sz w:val="32"/>
          <w:szCs w:val="32"/>
          <w:lang w:eastAsia="zh-CN"/>
        </w:rPr>
      </w:pPr>
      <w:r>
        <w:rPr>
          <w:rFonts w:hint="eastAsia" w:ascii="仿宋" w:hAnsi="仿宋" w:eastAsia="仿宋" w:cs="楷体"/>
          <w:b/>
          <w:color w:val="auto"/>
          <w:sz w:val="32"/>
          <w:szCs w:val="32"/>
        </w:rPr>
        <w:t>绿色生态得到新改善。</w:t>
      </w:r>
      <w:r>
        <w:rPr>
          <w:rFonts w:hint="eastAsia" w:ascii="仿宋" w:hAnsi="仿宋" w:eastAsia="仿宋" w:cs="方正仿宋简体"/>
          <w:color w:val="auto"/>
          <w:sz w:val="32"/>
          <w:szCs w:val="32"/>
        </w:rPr>
        <w:t>生态文明制度体系基本建成，国土空间开发保护格局得到优化，生产生活方式绿色转型成效显著，</w:t>
      </w:r>
      <w:r>
        <w:rPr>
          <w:rFonts w:ascii="仿宋" w:hAnsi="仿宋" w:eastAsia="仿宋" w:cs="方正仿宋简体"/>
          <w:color w:val="auto"/>
          <w:sz w:val="32"/>
          <w:szCs w:val="32"/>
        </w:rPr>
        <w:t>生态环境持续改善，</w:t>
      </w:r>
      <w:r>
        <w:rPr>
          <w:rFonts w:hint="eastAsia" w:ascii="仿宋" w:hAnsi="仿宋" w:eastAsia="仿宋" w:cs="方正仿宋简体"/>
          <w:color w:val="auto"/>
          <w:sz w:val="32"/>
          <w:szCs w:val="32"/>
        </w:rPr>
        <w:t>主要污染物排放总量持续减少，生态安全屏障更加牢固</w:t>
      </w:r>
      <w:r>
        <w:rPr>
          <w:rFonts w:hint="eastAsia" w:ascii="仿宋" w:hAnsi="仿宋" w:eastAsia="仿宋" w:cs="方正仿宋简体"/>
          <w:color w:val="auto"/>
          <w:sz w:val="32"/>
          <w:szCs w:val="32"/>
          <w:lang w:eastAsia="zh-CN"/>
        </w:rPr>
        <w:t>。</w:t>
      </w:r>
    </w:p>
    <w:p>
      <w:pPr>
        <w:widowControl/>
        <w:shd w:val="clear" w:color="auto" w:fill="FFFFFF"/>
        <w:adjustRightInd w:val="0"/>
        <w:snapToGrid w:val="0"/>
        <w:spacing w:line="600" w:lineRule="exact"/>
        <w:ind w:firstLine="643" w:firstLineChars="200"/>
        <w:rPr>
          <w:rFonts w:ascii="仿宋" w:hAnsi="仿宋" w:eastAsia="仿宋" w:cs="方正仿宋简体"/>
          <w:color w:val="auto"/>
          <w:sz w:val="32"/>
          <w:szCs w:val="32"/>
        </w:rPr>
      </w:pPr>
      <w:r>
        <w:rPr>
          <w:rFonts w:hint="eastAsia" w:ascii="仿宋" w:hAnsi="仿宋" w:eastAsia="仿宋" w:cs="楷体"/>
          <w:b/>
          <w:color w:val="auto"/>
          <w:sz w:val="32"/>
          <w:szCs w:val="32"/>
        </w:rPr>
        <w:t>现代化治理能力取得新进展。</w:t>
      </w:r>
      <w:r>
        <w:rPr>
          <w:rFonts w:hint="eastAsia" w:ascii="仿宋" w:hAnsi="仿宋" w:eastAsia="仿宋" w:cs="方正仿宋简体"/>
          <w:color w:val="auto"/>
          <w:sz w:val="32"/>
          <w:szCs w:val="32"/>
        </w:rPr>
        <w:t>中国特色社会主义法治体系更加健全，社会公平正义进一步彰显，现代政府治理体系不断完善，法治政府建设水平不断提升，法治海陵建设成效显著。社会治理制度建设更加完善，社会治理精细化水平不断提升，社会治理共同体建设取得显著进展。</w:t>
      </w:r>
    </w:p>
    <w:p>
      <w:pPr>
        <w:widowControl/>
        <w:shd w:val="clear" w:color="auto" w:fill="FFFFFF"/>
        <w:adjustRightInd w:val="0"/>
        <w:snapToGrid w:val="0"/>
        <w:spacing w:line="600" w:lineRule="exact"/>
        <w:ind w:firstLine="643" w:firstLineChars="200"/>
        <w:rPr>
          <w:rFonts w:hint="eastAsia" w:ascii="仿宋" w:hAnsi="仿宋" w:eastAsia="仿宋" w:cs="方正仿宋简体"/>
          <w:color w:val="auto"/>
          <w:sz w:val="32"/>
          <w:szCs w:val="32"/>
        </w:rPr>
      </w:pPr>
      <w:r>
        <w:rPr>
          <w:rFonts w:hint="eastAsia" w:ascii="仿宋" w:hAnsi="仿宋" w:eastAsia="仿宋" w:cs="楷体"/>
          <w:b/>
          <w:color w:val="auto"/>
          <w:sz w:val="32"/>
          <w:szCs w:val="32"/>
        </w:rPr>
        <w:t>统筹发展和安全达到新水平。</w:t>
      </w:r>
      <w:r>
        <w:rPr>
          <w:rFonts w:hint="eastAsia" w:ascii="仿宋" w:hAnsi="仿宋" w:eastAsia="仿宋" w:cs="方正仿宋简体"/>
          <w:color w:val="auto"/>
          <w:sz w:val="32"/>
          <w:szCs w:val="32"/>
        </w:rPr>
        <w:t>安全发展贯穿经济社会发展各领域和全过程，安全保障体系和能力建设进一步增强，防范化解重大风险体制机制不断健全，政治安全、经济安全、人民生命安全、社会安全得到有效保障，突发公共事件应急能力和自然灾害防御能力显著增强，平安海陵建设取得显著成效。</w:t>
      </w:r>
    </w:p>
    <w:p>
      <w:pPr>
        <w:widowControl/>
        <w:shd w:val="clear" w:color="auto" w:fill="FFFFFF"/>
        <w:spacing w:line="600" w:lineRule="exact"/>
        <w:jc w:val="center"/>
        <w:rPr>
          <w:rFonts w:asciiTheme="minorEastAsia" w:hAnsiTheme="minorEastAsia" w:eastAsiaTheme="minorEastAsia" w:cstheme="minorEastAsia"/>
          <w:bCs/>
          <w:color w:val="auto"/>
          <w:sz w:val="28"/>
          <w:szCs w:val="28"/>
        </w:rPr>
      </w:pPr>
      <w:bookmarkStart w:id="43" w:name="_Toc24933"/>
      <w:r>
        <w:rPr>
          <w:rFonts w:hint="eastAsia" w:eastAsia="方正小标宋简体"/>
          <w:b/>
          <w:bCs/>
          <w:color w:val="auto"/>
          <w:kern w:val="0"/>
          <w:sz w:val="28"/>
          <w:szCs w:val="28"/>
          <w:lang w:eastAsia="zh-CN"/>
        </w:rPr>
        <w:t>表</w:t>
      </w:r>
      <w:r>
        <w:rPr>
          <w:rFonts w:hint="eastAsia" w:eastAsia="方正小标宋简体"/>
          <w:b/>
          <w:bCs/>
          <w:color w:val="auto"/>
          <w:kern w:val="0"/>
          <w:sz w:val="28"/>
          <w:szCs w:val="28"/>
          <w:lang w:val="en-US" w:eastAsia="zh-CN"/>
        </w:rPr>
        <w:t>2</w:t>
      </w:r>
      <w:r>
        <w:rPr>
          <w:rFonts w:hint="eastAsia" w:eastAsia="方正小标宋简体"/>
          <w:b/>
          <w:bCs/>
          <w:color w:val="auto"/>
          <w:kern w:val="0"/>
          <w:sz w:val="28"/>
          <w:szCs w:val="28"/>
        </w:rPr>
        <w:t>海陵岛经济开发试验区“十四五”时期经济社会发展主要指标表</w:t>
      </w:r>
    </w:p>
    <w:tbl>
      <w:tblPr>
        <w:tblStyle w:val="18"/>
        <w:tblW w:w="10871" w:type="dxa"/>
        <w:jc w:val="center"/>
        <w:tblLayout w:type="fixed"/>
        <w:tblCellMar>
          <w:top w:w="0" w:type="dxa"/>
          <w:left w:w="108" w:type="dxa"/>
          <w:bottom w:w="0" w:type="dxa"/>
          <w:right w:w="108" w:type="dxa"/>
        </w:tblCellMar>
      </w:tblPr>
      <w:tblGrid>
        <w:gridCol w:w="856"/>
        <w:gridCol w:w="555"/>
        <w:gridCol w:w="2835"/>
        <w:gridCol w:w="1456"/>
        <w:gridCol w:w="974"/>
        <w:gridCol w:w="95"/>
        <w:gridCol w:w="55"/>
        <w:gridCol w:w="842"/>
        <w:gridCol w:w="897"/>
        <w:gridCol w:w="2306"/>
      </w:tblGrid>
      <w:tr>
        <w:tblPrEx>
          <w:tblCellMar>
            <w:top w:w="0" w:type="dxa"/>
            <w:left w:w="108" w:type="dxa"/>
            <w:bottom w:w="0" w:type="dxa"/>
            <w:right w:w="108" w:type="dxa"/>
          </w:tblCellMar>
        </w:tblPrEx>
        <w:trPr>
          <w:trHeight w:val="402" w:hRule="atLeast"/>
          <w:jc w:val="center"/>
        </w:trPr>
        <w:tc>
          <w:tcPr>
            <w:tcW w:w="856" w:type="dxa"/>
            <w:vMerge w:val="restart"/>
            <w:tcBorders>
              <w:top w:val="single" w:color="auto" w:sz="8" w:space="0"/>
              <w:left w:val="single" w:color="auto" w:sz="8" w:space="0"/>
              <w:right w:val="single" w:color="auto" w:sz="4" w:space="0"/>
            </w:tcBorders>
            <w:vAlign w:val="center"/>
          </w:tcPr>
          <w:p>
            <w:pPr>
              <w:widowControl/>
              <w:jc w:val="center"/>
              <w:rPr>
                <w:rFonts w:hint="eastAsia" w:ascii="Times New Roman" w:hAnsi="Times New Roman" w:eastAsia="黑体" w:cs="Times New Roman"/>
                <w:color w:val="000000"/>
                <w:kern w:val="0"/>
                <w:sz w:val="22"/>
                <w:lang w:val="en-US" w:eastAsia="zh-CN"/>
              </w:rPr>
            </w:pPr>
            <w:r>
              <w:rPr>
                <w:rFonts w:hint="eastAsia" w:ascii="Times New Roman" w:hAnsi="Times New Roman" w:eastAsia="黑体" w:cs="Times New Roman"/>
                <w:color w:val="000000"/>
                <w:kern w:val="0"/>
                <w:sz w:val="22"/>
                <w:lang w:val="en-US" w:eastAsia="zh-CN"/>
              </w:rPr>
              <w:t>类别</w:t>
            </w:r>
          </w:p>
        </w:tc>
        <w:tc>
          <w:tcPr>
            <w:tcW w:w="555" w:type="dxa"/>
            <w:vMerge w:val="restart"/>
            <w:tcBorders>
              <w:top w:val="single" w:color="auto" w:sz="8" w:space="0"/>
              <w:left w:val="single" w:color="auto" w:sz="8" w:space="0"/>
              <w:right w:val="single" w:color="auto" w:sz="4" w:space="0"/>
            </w:tcBorders>
            <w:vAlign w:val="center"/>
          </w:tcPr>
          <w:p>
            <w:pPr>
              <w:widowControl/>
              <w:jc w:val="center"/>
              <w:rPr>
                <w:rFonts w:ascii="Times New Roman" w:hAnsi="Times New Roman" w:eastAsia="黑体" w:cs="Times New Roman"/>
                <w:color w:val="000000"/>
                <w:kern w:val="0"/>
                <w:sz w:val="22"/>
                <w:szCs w:val="24"/>
              </w:rPr>
            </w:pPr>
            <w:r>
              <w:rPr>
                <w:rFonts w:ascii="Times New Roman" w:hAnsi="Times New Roman" w:eastAsia="黑体" w:cs="Times New Roman"/>
                <w:color w:val="000000"/>
                <w:kern w:val="0"/>
                <w:sz w:val="22"/>
              </w:rPr>
              <w:t>序号</w:t>
            </w:r>
          </w:p>
        </w:tc>
        <w:tc>
          <w:tcPr>
            <w:tcW w:w="2835" w:type="dxa"/>
            <w:vMerge w:val="restart"/>
            <w:tcBorders>
              <w:top w:val="single" w:color="auto" w:sz="8" w:space="0"/>
              <w:left w:val="single" w:color="auto" w:sz="4" w:space="0"/>
              <w:right w:val="single" w:color="auto" w:sz="4" w:space="0"/>
            </w:tcBorders>
            <w:vAlign w:val="center"/>
          </w:tcPr>
          <w:p>
            <w:pPr>
              <w:widowControl/>
              <w:jc w:val="center"/>
              <w:rPr>
                <w:rFonts w:ascii="Times New Roman" w:hAnsi="Times New Roman" w:eastAsia="黑体" w:cs="Times New Roman"/>
                <w:color w:val="000000"/>
                <w:kern w:val="0"/>
                <w:sz w:val="22"/>
                <w:szCs w:val="24"/>
              </w:rPr>
            </w:pPr>
            <w:r>
              <w:rPr>
                <w:rFonts w:ascii="Times New Roman" w:hAnsi="Times New Roman" w:eastAsia="黑体" w:cs="Times New Roman"/>
                <w:color w:val="000000"/>
                <w:kern w:val="0"/>
                <w:sz w:val="22"/>
              </w:rPr>
              <w:t>指   标</w:t>
            </w:r>
          </w:p>
        </w:tc>
        <w:tc>
          <w:tcPr>
            <w:tcW w:w="3422" w:type="dxa"/>
            <w:gridSpan w:val="5"/>
            <w:tcBorders>
              <w:top w:val="single" w:color="auto" w:sz="8" w:space="0"/>
              <w:left w:val="single" w:color="auto" w:sz="4" w:space="0"/>
              <w:bottom w:val="single" w:color="auto" w:sz="8" w:space="0"/>
              <w:right w:val="single" w:color="auto" w:sz="4" w:space="0"/>
            </w:tcBorders>
            <w:vAlign w:val="center"/>
          </w:tcPr>
          <w:p>
            <w:pPr>
              <w:widowControl/>
              <w:jc w:val="center"/>
              <w:rPr>
                <w:rFonts w:hint="eastAsia" w:ascii="Times New Roman" w:hAnsi="Times New Roman" w:eastAsia="黑体" w:cs="Times New Roman"/>
                <w:color w:val="000000"/>
                <w:kern w:val="0"/>
                <w:sz w:val="22"/>
                <w:szCs w:val="24"/>
                <w:lang w:val="en-US" w:eastAsia="zh-CN"/>
              </w:rPr>
            </w:pPr>
          </w:p>
        </w:tc>
        <w:tc>
          <w:tcPr>
            <w:tcW w:w="897" w:type="dxa"/>
            <w:vMerge w:val="restart"/>
            <w:tcBorders>
              <w:top w:val="single" w:color="auto" w:sz="8" w:space="0"/>
              <w:left w:val="single" w:color="auto" w:sz="4" w:space="0"/>
              <w:right w:val="single" w:color="auto" w:sz="4" w:space="0"/>
            </w:tcBorders>
            <w:vAlign w:val="center"/>
          </w:tcPr>
          <w:p>
            <w:pPr>
              <w:widowControl/>
              <w:jc w:val="center"/>
              <w:rPr>
                <w:rFonts w:ascii="Times New Roman" w:hAnsi="Times New Roman" w:eastAsia="黑体" w:cs="Times New Roman"/>
                <w:color w:val="000000"/>
                <w:kern w:val="0"/>
                <w:sz w:val="22"/>
                <w:szCs w:val="24"/>
              </w:rPr>
            </w:pPr>
            <w:r>
              <w:rPr>
                <w:rFonts w:ascii="Times New Roman" w:hAnsi="Times New Roman" w:eastAsia="黑体" w:cs="Times New Roman"/>
                <w:color w:val="000000"/>
                <w:kern w:val="0"/>
                <w:sz w:val="22"/>
              </w:rPr>
              <w:t>属性</w:t>
            </w:r>
          </w:p>
        </w:tc>
        <w:tc>
          <w:tcPr>
            <w:tcW w:w="2306" w:type="dxa"/>
            <w:vMerge w:val="restart"/>
            <w:tcBorders>
              <w:top w:val="single" w:color="auto" w:sz="8" w:space="0"/>
              <w:left w:val="single" w:color="auto" w:sz="4" w:space="0"/>
              <w:right w:val="single" w:color="auto" w:sz="8" w:space="0"/>
            </w:tcBorders>
            <w:vAlign w:val="center"/>
          </w:tcPr>
          <w:p>
            <w:pPr>
              <w:widowControl/>
              <w:jc w:val="center"/>
              <w:rPr>
                <w:rFonts w:hint="eastAsia" w:ascii="Times New Roman" w:hAnsi="Times New Roman" w:eastAsia="黑体" w:cs="Times New Roman"/>
                <w:color w:val="000000"/>
                <w:kern w:val="0"/>
                <w:sz w:val="22"/>
                <w:lang w:val="en-US" w:eastAsia="zh-CN"/>
              </w:rPr>
            </w:pPr>
            <w:r>
              <w:rPr>
                <w:rFonts w:hint="eastAsia" w:ascii="Times New Roman" w:hAnsi="Times New Roman" w:eastAsia="黑体" w:cs="Times New Roman"/>
                <w:color w:val="000000"/>
                <w:kern w:val="0"/>
                <w:sz w:val="22"/>
                <w:lang w:val="en-US" w:eastAsia="zh-CN"/>
              </w:rPr>
              <w:t>负责单位</w:t>
            </w:r>
          </w:p>
        </w:tc>
      </w:tr>
      <w:tr>
        <w:tblPrEx>
          <w:tblCellMar>
            <w:top w:w="0" w:type="dxa"/>
            <w:left w:w="108" w:type="dxa"/>
            <w:bottom w:w="0" w:type="dxa"/>
            <w:right w:w="108" w:type="dxa"/>
          </w:tblCellMar>
        </w:tblPrEx>
        <w:trPr>
          <w:trHeight w:val="401" w:hRule="atLeast"/>
          <w:jc w:val="center"/>
        </w:trPr>
        <w:tc>
          <w:tcPr>
            <w:tcW w:w="856" w:type="dxa"/>
            <w:vMerge w:val="continue"/>
            <w:tcBorders>
              <w:left w:val="single" w:color="auto" w:sz="8" w:space="0"/>
              <w:right w:val="single" w:color="auto" w:sz="4" w:space="0"/>
            </w:tcBorders>
            <w:vAlign w:val="center"/>
          </w:tcPr>
          <w:p>
            <w:pPr>
              <w:widowControl/>
              <w:jc w:val="center"/>
              <w:rPr>
                <w:rFonts w:hint="eastAsia" w:ascii="Times New Roman" w:hAnsi="Times New Roman" w:eastAsia="黑体" w:cs="Times New Roman"/>
                <w:color w:val="000000"/>
                <w:kern w:val="0"/>
                <w:sz w:val="22"/>
                <w:lang w:val="en-US" w:eastAsia="zh-CN"/>
              </w:rPr>
            </w:pPr>
          </w:p>
        </w:tc>
        <w:tc>
          <w:tcPr>
            <w:tcW w:w="555" w:type="dxa"/>
            <w:vMerge w:val="continue"/>
            <w:tcBorders>
              <w:left w:val="single" w:color="auto" w:sz="8" w:space="0"/>
              <w:right w:val="single" w:color="auto" w:sz="4" w:space="0"/>
            </w:tcBorders>
            <w:vAlign w:val="center"/>
          </w:tcPr>
          <w:p>
            <w:pPr>
              <w:widowControl/>
              <w:jc w:val="center"/>
              <w:rPr>
                <w:rFonts w:ascii="Times New Roman" w:hAnsi="Times New Roman" w:eastAsia="黑体" w:cs="Times New Roman"/>
                <w:color w:val="000000"/>
                <w:kern w:val="0"/>
                <w:sz w:val="22"/>
              </w:rPr>
            </w:pPr>
          </w:p>
        </w:tc>
        <w:tc>
          <w:tcPr>
            <w:tcW w:w="2835" w:type="dxa"/>
            <w:vMerge w:val="continue"/>
            <w:tcBorders>
              <w:left w:val="single" w:color="auto" w:sz="4" w:space="0"/>
              <w:right w:val="single" w:color="auto" w:sz="4" w:space="0"/>
            </w:tcBorders>
            <w:vAlign w:val="center"/>
          </w:tcPr>
          <w:p>
            <w:pPr>
              <w:widowControl/>
              <w:jc w:val="center"/>
              <w:rPr>
                <w:rFonts w:ascii="Times New Roman" w:hAnsi="Times New Roman" w:eastAsia="黑体" w:cs="Times New Roman"/>
                <w:color w:val="000000"/>
                <w:kern w:val="0"/>
                <w:sz w:val="22"/>
              </w:rPr>
            </w:pPr>
          </w:p>
        </w:tc>
        <w:tc>
          <w:tcPr>
            <w:tcW w:w="1456" w:type="dxa"/>
            <w:vMerge w:val="restart"/>
            <w:tcBorders>
              <w:top w:val="single" w:color="auto" w:sz="8" w:space="0"/>
              <w:left w:val="single" w:color="auto" w:sz="4" w:space="0"/>
              <w:right w:val="single" w:color="auto" w:sz="4" w:space="0"/>
            </w:tcBorders>
            <w:vAlign w:val="center"/>
          </w:tcPr>
          <w:p>
            <w:pPr>
              <w:widowControl/>
              <w:jc w:val="center"/>
              <w:rPr>
                <w:rFonts w:hint="eastAsia" w:ascii="Times New Roman" w:hAnsi="Times New Roman" w:eastAsia="黑体" w:cs="Times New Roman"/>
                <w:color w:val="000000"/>
                <w:kern w:val="0"/>
                <w:sz w:val="22"/>
                <w:szCs w:val="24"/>
              </w:rPr>
            </w:pPr>
            <w:r>
              <w:rPr>
                <w:rFonts w:hint="eastAsia" w:ascii="Times New Roman" w:hAnsi="Times New Roman" w:eastAsia="黑体" w:cs="Times New Roman"/>
                <w:color w:val="000000"/>
                <w:kern w:val="0"/>
                <w:sz w:val="22"/>
                <w:szCs w:val="24"/>
              </w:rPr>
              <w:t>2</w:t>
            </w:r>
            <w:r>
              <w:rPr>
                <w:rFonts w:ascii="Times New Roman" w:hAnsi="Times New Roman" w:eastAsia="黑体" w:cs="Times New Roman"/>
                <w:color w:val="000000"/>
                <w:kern w:val="0"/>
                <w:sz w:val="22"/>
                <w:szCs w:val="24"/>
              </w:rPr>
              <w:t>020</w:t>
            </w:r>
            <w:r>
              <w:rPr>
                <w:rFonts w:hint="eastAsia" w:ascii="Times New Roman" w:hAnsi="Times New Roman" w:eastAsia="黑体" w:cs="Times New Roman"/>
                <w:color w:val="000000"/>
                <w:kern w:val="0"/>
                <w:sz w:val="22"/>
                <w:szCs w:val="24"/>
              </w:rPr>
              <w:t>年</w:t>
            </w:r>
          </w:p>
        </w:tc>
        <w:tc>
          <w:tcPr>
            <w:tcW w:w="1966" w:type="dxa"/>
            <w:gridSpan w:val="4"/>
            <w:tcBorders>
              <w:top w:val="single" w:color="auto" w:sz="8" w:space="0"/>
              <w:left w:val="single" w:color="auto" w:sz="4" w:space="0"/>
              <w:bottom w:val="single" w:color="auto" w:sz="8" w:space="0"/>
              <w:right w:val="single" w:color="auto" w:sz="4" w:space="0"/>
            </w:tcBorders>
            <w:vAlign w:val="center"/>
          </w:tcPr>
          <w:p>
            <w:pPr>
              <w:widowControl/>
              <w:jc w:val="center"/>
              <w:rPr>
                <w:rFonts w:hint="eastAsia" w:ascii="Times New Roman" w:hAnsi="Times New Roman" w:eastAsia="黑体" w:cs="Times New Roman"/>
                <w:color w:val="000000"/>
                <w:kern w:val="0"/>
                <w:sz w:val="22"/>
                <w:lang w:val="en-US" w:eastAsia="zh-CN"/>
              </w:rPr>
            </w:pPr>
            <w:r>
              <w:rPr>
                <w:rFonts w:hint="eastAsia" w:ascii="Times New Roman" w:hAnsi="Times New Roman" w:eastAsia="黑体" w:cs="Times New Roman"/>
                <w:color w:val="000000"/>
                <w:kern w:val="0"/>
                <w:sz w:val="22"/>
                <w:lang w:val="en-US" w:eastAsia="zh-CN"/>
              </w:rPr>
              <w:t>2025年预期目标</w:t>
            </w:r>
          </w:p>
        </w:tc>
        <w:tc>
          <w:tcPr>
            <w:tcW w:w="897" w:type="dxa"/>
            <w:vMerge w:val="continue"/>
            <w:tcBorders>
              <w:left w:val="single" w:color="auto" w:sz="4" w:space="0"/>
              <w:right w:val="single" w:color="auto" w:sz="4" w:space="0"/>
            </w:tcBorders>
            <w:vAlign w:val="center"/>
          </w:tcPr>
          <w:p>
            <w:pPr>
              <w:widowControl/>
              <w:jc w:val="center"/>
              <w:rPr>
                <w:rFonts w:ascii="Times New Roman" w:hAnsi="Times New Roman" w:eastAsia="黑体" w:cs="Times New Roman"/>
                <w:color w:val="000000"/>
                <w:kern w:val="0"/>
                <w:sz w:val="22"/>
              </w:rPr>
            </w:pPr>
          </w:p>
        </w:tc>
        <w:tc>
          <w:tcPr>
            <w:tcW w:w="2306" w:type="dxa"/>
            <w:vMerge w:val="continue"/>
            <w:tcBorders>
              <w:left w:val="single" w:color="auto" w:sz="4" w:space="0"/>
              <w:right w:val="single" w:color="auto" w:sz="8" w:space="0"/>
            </w:tcBorders>
            <w:vAlign w:val="center"/>
          </w:tcPr>
          <w:p>
            <w:pPr>
              <w:widowControl/>
              <w:jc w:val="center"/>
              <w:rPr>
                <w:rFonts w:hint="eastAsia" w:ascii="Times New Roman" w:hAnsi="Times New Roman" w:eastAsia="黑体" w:cs="Times New Roman"/>
                <w:color w:val="000000"/>
                <w:kern w:val="0"/>
                <w:sz w:val="22"/>
                <w:lang w:val="en-US" w:eastAsia="zh-CN"/>
              </w:rPr>
            </w:pPr>
          </w:p>
        </w:tc>
      </w:tr>
      <w:tr>
        <w:tblPrEx>
          <w:tblCellMar>
            <w:top w:w="0" w:type="dxa"/>
            <w:left w:w="108" w:type="dxa"/>
            <w:bottom w:w="0" w:type="dxa"/>
            <w:right w:w="108" w:type="dxa"/>
          </w:tblCellMar>
        </w:tblPrEx>
        <w:trPr>
          <w:trHeight w:val="566" w:hRule="atLeast"/>
          <w:jc w:val="center"/>
        </w:trPr>
        <w:tc>
          <w:tcPr>
            <w:tcW w:w="856" w:type="dxa"/>
            <w:vMerge w:val="continue"/>
            <w:tcBorders>
              <w:left w:val="single" w:color="auto" w:sz="8" w:space="0"/>
              <w:bottom w:val="single" w:color="auto" w:sz="8" w:space="0"/>
              <w:right w:val="single" w:color="auto" w:sz="4" w:space="0"/>
            </w:tcBorders>
            <w:vAlign w:val="center"/>
          </w:tcPr>
          <w:p>
            <w:pPr>
              <w:widowControl/>
              <w:jc w:val="center"/>
              <w:rPr>
                <w:rFonts w:hint="eastAsia" w:ascii="Times New Roman" w:hAnsi="Times New Roman" w:eastAsia="黑体" w:cs="Times New Roman"/>
                <w:color w:val="000000"/>
                <w:kern w:val="0"/>
                <w:sz w:val="22"/>
                <w:lang w:val="en-US" w:eastAsia="zh-CN"/>
              </w:rPr>
            </w:pPr>
          </w:p>
        </w:tc>
        <w:tc>
          <w:tcPr>
            <w:tcW w:w="555" w:type="dxa"/>
            <w:vMerge w:val="continue"/>
            <w:tcBorders>
              <w:left w:val="single" w:color="auto" w:sz="8" w:space="0"/>
              <w:bottom w:val="single" w:color="auto" w:sz="8" w:space="0"/>
              <w:right w:val="single" w:color="auto" w:sz="4" w:space="0"/>
            </w:tcBorders>
            <w:vAlign w:val="center"/>
          </w:tcPr>
          <w:p>
            <w:pPr>
              <w:widowControl/>
              <w:jc w:val="center"/>
              <w:rPr>
                <w:rFonts w:ascii="Times New Roman" w:hAnsi="Times New Roman" w:eastAsia="黑体" w:cs="Times New Roman"/>
                <w:color w:val="000000"/>
                <w:kern w:val="0"/>
                <w:sz w:val="22"/>
              </w:rPr>
            </w:pPr>
          </w:p>
        </w:tc>
        <w:tc>
          <w:tcPr>
            <w:tcW w:w="2835" w:type="dxa"/>
            <w:vMerge w:val="continue"/>
            <w:tcBorders>
              <w:left w:val="single" w:color="auto" w:sz="4" w:space="0"/>
              <w:bottom w:val="single" w:color="auto" w:sz="8" w:space="0"/>
              <w:right w:val="single" w:color="auto" w:sz="4" w:space="0"/>
            </w:tcBorders>
            <w:vAlign w:val="center"/>
          </w:tcPr>
          <w:p>
            <w:pPr>
              <w:widowControl/>
              <w:jc w:val="center"/>
              <w:rPr>
                <w:rFonts w:ascii="Times New Roman" w:hAnsi="Times New Roman" w:eastAsia="黑体" w:cs="Times New Roman"/>
                <w:color w:val="000000"/>
                <w:kern w:val="0"/>
                <w:sz w:val="22"/>
              </w:rPr>
            </w:pPr>
          </w:p>
        </w:tc>
        <w:tc>
          <w:tcPr>
            <w:tcW w:w="1456" w:type="dxa"/>
            <w:vMerge w:val="continue"/>
            <w:tcBorders>
              <w:left w:val="single" w:color="auto" w:sz="4" w:space="0"/>
              <w:bottom w:val="single" w:color="auto" w:sz="8" w:space="0"/>
              <w:right w:val="single" w:color="auto" w:sz="4" w:space="0"/>
            </w:tcBorders>
            <w:vAlign w:val="center"/>
          </w:tcPr>
          <w:p>
            <w:pPr>
              <w:widowControl/>
              <w:jc w:val="center"/>
              <w:rPr>
                <w:rFonts w:hint="eastAsia" w:ascii="Times New Roman" w:hAnsi="Times New Roman" w:eastAsia="黑体" w:cs="Times New Roman"/>
                <w:color w:val="000000"/>
                <w:kern w:val="0"/>
                <w:sz w:val="22"/>
                <w:szCs w:val="24"/>
              </w:rPr>
            </w:pPr>
          </w:p>
        </w:tc>
        <w:tc>
          <w:tcPr>
            <w:tcW w:w="1124" w:type="dxa"/>
            <w:gridSpan w:val="3"/>
            <w:tcBorders>
              <w:top w:val="single" w:color="auto" w:sz="8" w:space="0"/>
              <w:left w:val="single" w:color="auto" w:sz="4" w:space="0"/>
              <w:bottom w:val="single" w:color="auto" w:sz="8" w:space="0"/>
              <w:right w:val="single" w:color="auto" w:sz="4" w:space="0"/>
            </w:tcBorders>
            <w:vAlign w:val="center"/>
          </w:tcPr>
          <w:p>
            <w:pPr>
              <w:widowControl/>
              <w:jc w:val="center"/>
              <w:rPr>
                <w:rFonts w:hint="eastAsia" w:ascii="Times New Roman" w:hAnsi="Times New Roman" w:eastAsia="黑体" w:cs="Times New Roman"/>
                <w:color w:val="000000"/>
                <w:kern w:val="0"/>
                <w:sz w:val="22"/>
                <w:szCs w:val="24"/>
              </w:rPr>
            </w:pPr>
            <w:r>
              <w:rPr>
                <w:rFonts w:hint="eastAsia" w:ascii="Times New Roman" w:hAnsi="Times New Roman" w:eastAsia="黑体" w:cs="Times New Roman"/>
                <w:color w:val="000000"/>
                <w:kern w:val="0"/>
                <w:sz w:val="22"/>
                <w:szCs w:val="24"/>
                <w:lang w:val="en-US" w:eastAsia="zh-CN"/>
              </w:rPr>
              <w:t>绝对</w:t>
            </w:r>
            <w:r>
              <w:rPr>
                <w:rFonts w:hint="eastAsia" w:ascii="Times New Roman" w:hAnsi="Times New Roman" w:eastAsia="黑体" w:cs="Times New Roman"/>
                <w:color w:val="000000"/>
                <w:kern w:val="0"/>
                <w:sz w:val="22"/>
                <w:szCs w:val="24"/>
                <w:lang w:eastAsia="zh-CN"/>
              </w:rPr>
              <w:t>值</w:t>
            </w:r>
          </w:p>
        </w:tc>
        <w:tc>
          <w:tcPr>
            <w:tcW w:w="842" w:type="dxa"/>
            <w:tcBorders>
              <w:top w:val="single" w:color="auto" w:sz="8" w:space="0"/>
              <w:left w:val="single" w:color="auto" w:sz="4" w:space="0"/>
              <w:bottom w:val="single" w:color="auto" w:sz="8" w:space="0"/>
              <w:right w:val="single" w:color="auto" w:sz="4" w:space="0"/>
            </w:tcBorders>
            <w:vAlign w:val="center"/>
          </w:tcPr>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年均增长</w:t>
            </w:r>
            <w:r>
              <w:rPr>
                <w:rFonts w:hint="eastAsia" w:ascii="Times New Roman" w:hAnsi="Times New Roman" w:eastAsia="黑体" w:cs="Times New Roman"/>
                <w:color w:val="000000"/>
                <w:kern w:val="0"/>
                <w:sz w:val="22"/>
                <w:lang w:val="en-US" w:eastAsia="zh-CN"/>
              </w:rPr>
              <w:t>或[累计]</w:t>
            </w:r>
          </w:p>
        </w:tc>
        <w:tc>
          <w:tcPr>
            <w:tcW w:w="897" w:type="dxa"/>
            <w:vMerge w:val="continue"/>
            <w:tcBorders>
              <w:left w:val="single" w:color="auto" w:sz="4" w:space="0"/>
              <w:bottom w:val="single" w:color="auto" w:sz="8" w:space="0"/>
              <w:right w:val="single" w:color="auto" w:sz="4" w:space="0"/>
            </w:tcBorders>
            <w:vAlign w:val="center"/>
          </w:tcPr>
          <w:p>
            <w:pPr>
              <w:widowControl/>
              <w:jc w:val="center"/>
              <w:rPr>
                <w:rFonts w:ascii="Times New Roman" w:hAnsi="Times New Roman" w:eastAsia="黑体" w:cs="Times New Roman"/>
                <w:color w:val="000000"/>
                <w:kern w:val="0"/>
                <w:sz w:val="22"/>
              </w:rPr>
            </w:pPr>
          </w:p>
        </w:tc>
        <w:tc>
          <w:tcPr>
            <w:tcW w:w="2306" w:type="dxa"/>
            <w:vMerge w:val="continue"/>
            <w:tcBorders>
              <w:left w:val="single" w:color="auto" w:sz="4" w:space="0"/>
              <w:bottom w:val="single" w:color="auto" w:sz="8" w:space="0"/>
              <w:right w:val="single" w:color="auto" w:sz="8" w:space="0"/>
            </w:tcBorders>
            <w:vAlign w:val="center"/>
          </w:tcPr>
          <w:p>
            <w:pPr>
              <w:widowControl/>
              <w:jc w:val="center"/>
              <w:rPr>
                <w:rFonts w:hint="eastAsia" w:ascii="Times New Roman" w:hAnsi="Times New Roman" w:eastAsia="黑体" w:cs="Times New Roman"/>
                <w:color w:val="000000"/>
                <w:kern w:val="0"/>
                <w:sz w:val="22"/>
                <w:lang w:val="en-US" w:eastAsia="zh-CN"/>
              </w:rPr>
            </w:pPr>
          </w:p>
        </w:tc>
      </w:tr>
      <w:tr>
        <w:tblPrEx>
          <w:tblCellMar>
            <w:top w:w="0" w:type="dxa"/>
            <w:left w:w="108" w:type="dxa"/>
            <w:bottom w:w="0" w:type="dxa"/>
            <w:right w:w="108" w:type="dxa"/>
          </w:tblCellMar>
        </w:tblPrEx>
        <w:trPr>
          <w:trHeight w:val="389" w:hRule="atLeast"/>
          <w:jc w:val="center"/>
        </w:trPr>
        <w:tc>
          <w:tcPr>
            <w:tcW w:w="856" w:type="dxa"/>
            <w:vMerge w:val="restart"/>
            <w:tcBorders>
              <w:top w:val="nil"/>
              <w:left w:val="single" w:color="auto" w:sz="8" w:space="0"/>
              <w:right w:val="single" w:color="auto" w:sz="8" w:space="0"/>
            </w:tcBorders>
            <w:vAlign w:val="center"/>
          </w:tcPr>
          <w:p>
            <w:pPr>
              <w:widowControl/>
              <w:jc w:val="center"/>
              <w:rPr>
                <w:rFonts w:ascii="Times New Roman" w:hAnsi="Times New Roman" w:eastAsia="宋体" w:cs="Times New Roman"/>
                <w:b/>
                <w:bCs/>
                <w:color w:val="auto"/>
                <w:kern w:val="0"/>
                <w:sz w:val="22"/>
              </w:rPr>
            </w:pPr>
            <w:r>
              <w:rPr>
                <w:rFonts w:ascii="Times New Roman" w:hAnsi="Times New Roman" w:eastAsia="黑体" w:cs="Times New Roman"/>
                <w:color w:val="auto"/>
                <w:kern w:val="0"/>
                <w:sz w:val="22"/>
              </w:rPr>
              <w:t>经济发展</w:t>
            </w:r>
          </w:p>
        </w:tc>
        <w:tc>
          <w:tcPr>
            <w:tcW w:w="555" w:type="dxa"/>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b/>
                <w:bCs/>
                <w:color w:val="auto"/>
                <w:kern w:val="0"/>
                <w:sz w:val="22"/>
                <w:szCs w:val="24"/>
              </w:rPr>
            </w:pPr>
            <w:r>
              <w:rPr>
                <w:rFonts w:ascii="Times New Roman" w:hAnsi="Times New Roman" w:eastAsia="宋体" w:cs="Times New Roman"/>
                <w:b/>
                <w:bCs/>
                <w:color w:val="auto"/>
                <w:kern w:val="0"/>
                <w:sz w:val="22"/>
              </w:rPr>
              <w:t>1</w:t>
            </w:r>
          </w:p>
        </w:tc>
        <w:tc>
          <w:tcPr>
            <w:tcW w:w="2835" w:type="dxa"/>
            <w:tcBorders>
              <w:top w:val="single" w:color="auto" w:sz="8" w:space="0"/>
              <w:left w:val="nil"/>
              <w:bottom w:val="single" w:color="auto" w:sz="8" w:space="0"/>
              <w:right w:val="single" w:color="000000" w:sz="8" w:space="0"/>
            </w:tcBorders>
            <w:vAlign w:val="center"/>
          </w:tcPr>
          <w:p>
            <w:pPr>
              <w:widowControl/>
              <w:rPr>
                <w:rFonts w:ascii="Times New Roman" w:hAnsi="Times New Roman" w:eastAsia="宋体" w:cs="Times New Roman"/>
                <w:color w:val="auto"/>
                <w:kern w:val="0"/>
                <w:sz w:val="22"/>
                <w:szCs w:val="24"/>
              </w:rPr>
            </w:pPr>
            <w:r>
              <w:rPr>
                <w:rFonts w:hint="eastAsia" w:ascii="Times New Roman" w:hAnsi="Times New Roman" w:eastAsia="宋体" w:cs="Times New Roman"/>
                <w:color w:val="auto"/>
                <w:kern w:val="0"/>
                <w:sz w:val="22"/>
              </w:rPr>
              <w:t>地区生产总值（亿元）</w:t>
            </w:r>
          </w:p>
        </w:tc>
        <w:tc>
          <w:tcPr>
            <w:tcW w:w="1456" w:type="dxa"/>
            <w:tcBorders>
              <w:top w:val="nil"/>
              <w:left w:val="nil"/>
              <w:bottom w:val="single" w:color="auto" w:sz="8" w:space="0"/>
              <w:right w:val="single" w:color="auto" w:sz="8" w:space="0"/>
            </w:tcBorders>
            <w:vAlign w:val="center"/>
          </w:tcPr>
          <w:p>
            <w:pPr>
              <w:widowControl/>
              <w:jc w:val="center"/>
              <w:rPr>
                <w:rFonts w:hint="default"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44.71</w:t>
            </w:r>
          </w:p>
        </w:tc>
        <w:tc>
          <w:tcPr>
            <w:tcW w:w="1124" w:type="dxa"/>
            <w:gridSpan w:val="3"/>
            <w:tcBorders>
              <w:top w:val="nil"/>
              <w:left w:val="nil"/>
              <w:bottom w:val="single" w:color="auto" w:sz="8" w:space="0"/>
              <w:right w:val="single" w:color="auto" w:sz="8" w:space="0"/>
            </w:tcBorders>
            <w:vAlign w:val="center"/>
          </w:tcPr>
          <w:p>
            <w:pPr>
              <w:widowControl/>
              <w:jc w:val="center"/>
              <w:rPr>
                <w:rFonts w:hint="default"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56-58</w:t>
            </w:r>
          </w:p>
        </w:tc>
        <w:tc>
          <w:tcPr>
            <w:tcW w:w="842" w:type="dxa"/>
            <w:tcBorders>
              <w:top w:val="nil"/>
              <w:left w:val="nil"/>
              <w:bottom w:val="single" w:color="auto" w:sz="8" w:space="0"/>
              <w:right w:val="single" w:color="auto" w:sz="8" w:space="0"/>
            </w:tcBorders>
            <w:vAlign w:val="center"/>
          </w:tcPr>
          <w:p>
            <w:pPr>
              <w:widowControl/>
              <w:jc w:val="center"/>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5%-6%</w:t>
            </w:r>
          </w:p>
        </w:tc>
        <w:tc>
          <w:tcPr>
            <w:tcW w:w="897"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color w:val="auto"/>
                <w:kern w:val="0"/>
                <w:sz w:val="22"/>
                <w:szCs w:val="24"/>
              </w:rPr>
            </w:pPr>
            <w:r>
              <w:rPr>
                <w:rFonts w:ascii="Times New Roman" w:hAnsi="Times New Roman" w:eastAsia="宋体" w:cs="Times New Roman"/>
                <w:color w:val="auto"/>
                <w:kern w:val="0"/>
                <w:sz w:val="22"/>
              </w:rPr>
              <w:t>预期性</w:t>
            </w:r>
          </w:p>
        </w:tc>
        <w:tc>
          <w:tcPr>
            <w:tcW w:w="2306" w:type="dxa"/>
            <w:tcBorders>
              <w:top w:val="nil"/>
              <w:left w:val="nil"/>
              <w:bottom w:val="single" w:color="auto" w:sz="8" w:space="0"/>
              <w:right w:val="single" w:color="auto" w:sz="8" w:space="0"/>
            </w:tcBorders>
            <w:vAlign w:val="center"/>
          </w:tcPr>
          <w:p>
            <w:pPr>
              <w:widowControl/>
              <w:ind w:right="-454" w:rightChars="-216" w:firstLine="660" w:firstLineChars="300"/>
              <w:jc w:val="left"/>
              <w:rPr>
                <w:rFonts w:hint="eastAsia"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区经发局</w:t>
            </w:r>
          </w:p>
        </w:tc>
      </w:tr>
      <w:tr>
        <w:tblPrEx>
          <w:tblCellMar>
            <w:top w:w="0" w:type="dxa"/>
            <w:left w:w="108" w:type="dxa"/>
            <w:bottom w:w="0" w:type="dxa"/>
            <w:right w:w="108" w:type="dxa"/>
          </w:tblCellMar>
        </w:tblPrEx>
        <w:trPr>
          <w:trHeight w:val="389" w:hRule="atLeast"/>
          <w:jc w:val="center"/>
        </w:trPr>
        <w:tc>
          <w:tcPr>
            <w:tcW w:w="856" w:type="dxa"/>
            <w:vMerge w:val="continue"/>
            <w:tcBorders>
              <w:left w:val="single" w:color="auto" w:sz="8" w:space="0"/>
              <w:right w:val="single" w:color="auto" w:sz="8" w:space="0"/>
            </w:tcBorders>
            <w:vAlign w:val="center"/>
          </w:tcPr>
          <w:p>
            <w:pPr>
              <w:widowControl/>
              <w:jc w:val="center"/>
              <w:rPr>
                <w:rFonts w:hint="eastAsia" w:ascii="Times New Roman" w:hAnsi="Times New Roman" w:eastAsia="宋体" w:cs="Times New Roman"/>
                <w:b/>
                <w:bCs/>
                <w:color w:val="auto"/>
                <w:kern w:val="0"/>
                <w:sz w:val="22"/>
              </w:rPr>
            </w:pPr>
          </w:p>
        </w:tc>
        <w:tc>
          <w:tcPr>
            <w:tcW w:w="555" w:type="dxa"/>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b/>
                <w:bCs/>
                <w:color w:val="auto"/>
                <w:kern w:val="0"/>
                <w:sz w:val="22"/>
              </w:rPr>
            </w:pPr>
            <w:r>
              <w:rPr>
                <w:rFonts w:hint="eastAsia" w:ascii="Times New Roman" w:hAnsi="Times New Roman" w:eastAsia="宋体" w:cs="Times New Roman"/>
                <w:b/>
                <w:bCs/>
                <w:color w:val="auto"/>
                <w:kern w:val="0"/>
                <w:sz w:val="22"/>
              </w:rPr>
              <w:t>2</w:t>
            </w:r>
          </w:p>
        </w:tc>
        <w:tc>
          <w:tcPr>
            <w:tcW w:w="2835" w:type="dxa"/>
            <w:tcBorders>
              <w:top w:val="single" w:color="auto" w:sz="8" w:space="0"/>
              <w:left w:val="nil"/>
              <w:bottom w:val="single" w:color="auto" w:sz="8" w:space="0"/>
              <w:right w:val="single" w:color="000000" w:sz="8" w:space="0"/>
            </w:tcBorders>
            <w:vAlign w:val="center"/>
          </w:tcPr>
          <w:p>
            <w:pPr>
              <w:widowControl/>
              <w:rPr>
                <w:rFonts w:ascii="Times New Roman" w:hAnsi="Times New Roman" w:eastAsia="宋体" w:cs="Times New Roman"/>
                <w:color w:val="auto"/>
                <w:kern w:val="0"/>
                <w:sz w:val="22"/>
              </w:rPr>
            </w:pPr>
            <w:r>
              <w:rPr>
                <w:rFonts w:hint="eastAsia" w:ascii="Times New Roman" w:hAnsi="Times New Roman" w:eastAsia="宋体" w:cs="Times New Roman"/>
                <w:color w:val="auto"/>
                <w:kern w:val="0"/>
                <w:sz w:val="22"/>
              </w:rPr>
              <w:t>人均地区生产总值（元）</w:t>
            </w:r>
          </w:p>
        </w:tc>
        <w:tc>
          <w:tcPr>
            <w:tcW w:w="1456" w:type="dxa"/>
            <w:tcBorders>
              <w:top w:val="nil"/>
              <w:left w:val="nil"/>
              <w:bottom w:val="single" w:color="auto" w:sz="8" w:space="0"/>
              <w:right w:val="single" w:color="auto" w:sz="8" w:space="0"/>
            </w:tcBorders>
            <w:vAlign w:val="center"/>
          </w:tcPr>
          <w:p>
            <w:pPr>
              <w:widowControl/>
              <w:jc w:val="center"/>
              <w:rPr>
                <w:rFonts w:hint="default"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55239</w:t>
            </w:r>
          </w:p>
        </w:tc>
        <w:tc>
          <w:tcPr>
            <w:tcW w:w="1124" w:type="dxa"/>
            <w:gridSpan w:val="3"/>
            <w:tcBorders>
              <w:top w:val="nil"/>
              <w:left w:val="nil"/>
              <w:bottom w:val="single" w:color="auto" w:sz="8" w:space="0"/>
              <w:right w:val="single" w:color="auto" w:sz="8" w:space="0"/>
            </w:tcBorders>
            <w:vAlign w:val="center"/>
          </w:tcPr>
          <w:p>
            <w:pPr>
              <w:widowControl/>
              <w:jc w:val="center"/>
              <w:rPr>
                <w:rFonts w:hint="default"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67478-70260</w:t>
            </w:r>
          </w:p>
        </w:tc>
        <w:tc>
          <w:tcPr>
            <w:tcW w:w="842" w:type="dxa"/>
            <w:tcBorders>
              <w:top w:val="nil"/>
              <w:left w:val="nil"/>
              <w:bottom w:val="single" w:color="auto" w:sz="8" w:space="0"/>
              <w:right w:val="single" w:color="auto" w:sz="8" w:space="0"/>
            </w:tcBorders>
            <w:vAlign w:val="center"/>
          </w:tcPr>
          <w:p>
            <w:pPr>
              <w:widowControl/>
              <w:jc w:val="center"/>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4%-5%</w:t>
            </w:r>
          </w:p>
        </w:tc>
        <w:tc>
          <w:tcPr>
            <w:tcW w:w="897"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color w:val="auto"/>
                <w:kern w:val="0"/>
                <w:sz w:val="22"/>
              </w:rPr>
            </w:pPr>
            <w:r>
              <w:rPr>
                <w:rFonts w:ascii="Times New Roman" w:hAnsi="Times New Roman" w:eastAsia="宋体" w:cs="Times New Roman"/>
                <w:color w:val="auto"/>
                <w:kern w:val="0"/>
                <w:sz w:val="22"/>
              </w:rPr>
              <w:t>预期性</w:t>
            </w:r>
          </w:p>
        </w:tc>
        <w:tc>
          <w:tcPr>
            <w:tcW w:w="2306" w:type="dxa"/>
            <w:tcBorders>
              <w:top w:val="nil"/>
              <w:left w:val="nil"/>
              <w:bottom w:val="single" w:color="auto" w:sz="8" w:space="0"/>
              <w:right w:val="single" w:color="auto" w:sz="8" w:space="0"/>
            </w:tcBorders>
            <w:vAlign w:val="center"/>
          </w:tcPr>
          <w:p>
            <w:pPr>
              <w:widowControl/>
              <w:jc w:val="center"/>
              <w:rPr>
                <w:rFonts w:hint="eastAsia"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区经发局</w:t>
            </w:r>
          </w:p>
        </w:tc>
      </w:tr>
      <w:tr>
        <w:tblPrEx>
          <w:tblCellMar>
            <w:top w:w="0" w:type="dxa"/>
            <w:left w:w="108" w:type="dxa"/>
            <w:bottom w:w="0" w:type="dxa"/>
            <w:right w:w="108" w:type="dxa"/>
          </w:tblCellMar>
        </w:tblPrEx>
        <w:trPr>
          <w:trHeight w:val="389" w:hRule="atLeast"/>
          <w:jc w:val="center"/>
        </w:trPr>
        <w:tc>
          <w:tcPr>
            <w:tcW w:w="856" w:type="dxa"/>
            <w:vMerge w:val="continue"/>
            <w:tcBorders>
              <w:left w:val="single" w:color="auto" w:sz="8" w:space="0"/>
              <w:right w:val="single" w:color="auto" w:sz="8" w:space="0"/>
            </w:tcBorders>
            <w:vAlign w:val="center"/>
          </w:tcPr>
          <w:p>
            <w:pPr>
              <w:widowControl/>
              <w:jc w:val="center"/>
              <w:rPr>
                <w:rFonts w:hint="eastAsia" w:ascii="Times New Roman" w:hAnsi="Times New Roman" w:eastAsia="宋体" w:cs="Times New Roman"/>
                <w:b/>
                <w:bCs/>
                <w:color w:val="auto"/>
                <w:kern w:val="0"/>
                <w:sz w:val="22"/>
              </w:rPr>
            </w:pPr>
          </w:p>
        </w:tc>
        <w:tc>
          <w:tcPr>
            <w:tcW w:w="555" w:type="dxa"/>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b/>
                <w:bCs/>
                <w:color w:val="auto"/>
                <w:kern w:val="0"/>
                <w:sz w:val="22"/>
              </w:rPr>
            </w:pPr>
            <w:r>
              <w:rPr>
                <w:rFonts w:hint="eastAsia" w:ascii="Times New Roman" w:hAnsi="Times New Roman" w:eastAsia="宋体" w:cs="Times New Roman"/>
                <w:b/>
                <w:bCs/>
                <w:color w:val="auto"/>
                <w:kern w:val="0"/>
                <w:sz w:val="22"/>
              </w:rPr>
              <w:t>3</w:t>
            </w:r>
          </w:p>
        </w:tc>
        <w:tc>
          <w:tcPr>
            <w:tcW w:w="2835" w:type="dxa"/>
            <w:tcBorders>
              <w:top w:val="single" w:color="auto" w:sz="8" w:space="0"/>
              <w:left w:val="nil"/>
              <w:bottom w:val="single" w:color="auto" w:sz="8" w:space="0"/>
              <w:right w:val="single" w:color="000000" w:sz="8" w:space="0"/>
            </w:tcBorders>
            <w:vAlign w:val="center"/>
          </w:tcPr>
          <w:p>
            <w:pPr>
              <w:widowControl/>
              <w:rPr>
                <w:rFonts w:ascii="Times New Roman" w:hAnsi="Times New Roman" w:eastAsia="宋体" w:cs="Times New Roman"/>
                <w:color w:val="auto"/>
                <w:kern w:val="0"/>
                <w:sz w:val="22"/>
              </w:rPr>
            </w:pPr>
            <w:r>
              <w:rPr>
                <w:rFonts w:ascii="Times New Roman" w:hAnsi="Times New Roman" w:eastAsia="宋体" w:cs="Times New Roman"/>
                <w:color w:val="auto"/>
                <w:kern w:val="0"/>
                <w:sz w:val="22"/>
              </w:rPr>
              <w:t>全员劳动生产率（</w:t>
            </w:r>
            <w:r>
              <w:rPr>
                <w:rFonts w:hint="eastAsia" w:ascii="Times New Roman" w:hAnsi="Times New Roman" w:eastAsia="宋体" w:cs="Times New Roman"/>
                <w:color w:val="auto"/>
                <w:kern w:val="0"/>
                <w:sz w:val="22"/>
              </w:rPr>
              <w:t>万元/人</w:t>
            </w:r>
            <w:r>
              <w:rPr>
                <w:rFonts w:ascii="Times New Roman" w:hAnsi="Times New Roman" w:eastAsia="宋体" w:cs="Times New Roman"/>
                <w:color w:val="auto"/>
                <w:kern w:val="0"/>
                <w:sz w:val="22"/>
              </w:rPr>
              <w:t>）</w:t>
            </w:r>
          </w:p>
        </w:tc>
        <w:tc>
          <w:tcPr>
            <w:tcW w:w="1456" w:type="dxa"/>
            <w:tcBorders>
              <w:top w:val="nil"/>
              <w:left w:val="nil"/>
              <w:bottom w:val="single" w:color="auto" w:sz="8" w:space="0"/>
              <w:right w:val="single" w:color="auto" w:sz="8" w:space="0"/>
            </w:tcBorders>
            <w:vAlign w:val="center"/>
          </w:tcPr>
          <w:p>
            <w:pPr>
              <w:widowControl/>
              <w:jc w:val="center"/>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10.2</w:t>
            </w:r>
          </w:p>
        </w:tc>
        <w:tc>
          <w:tcPr>
            <w:tcW w:w="1124" w:type="dxa"/>
            <w:gridSpan w:val="3"/>
            <w:tcBorders>
              <w:top w:val="nil"/>
              <w:left w:val="nil"/>
              <w:bottom w:val="single" w:color="auto" w:sz="8" w:space="0"/>
              <w:right w:val="single" w:color="auto" w:sz="8" w:space="0"/>
            </w:tcBorders>
            <w:vAlign w:val="center"/>
          </w:tcPr>
          <w:p>
            <w:pPr>
              <w:widowControl/>
              <w:jc w:val="center"/>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12.8</w:t>
            </w:r>
          </w:p>
        </w:tc>
        <w:tc>
          <w:tcPr>
            <w:tcW w:w="842" w:type="dxa"/>
            <w:tcBorders>
              <w:top w:val="nil"/>
              <w:left w:val="nil"/>
              <w:bottom w:val="single" w:color="auto" w:sz="8" w:space="0"/>
              <w:right w:val="single" w:color="auto" w:sz="8" w:space="0"/>
            </w:tcBorders>
            <w:vAlign w:val="center"/>
          </w:tcPr>
          <w:p>
            <w:pPr>
              <w:widowControl/>
              <w:jc w:val="center"/>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4.73%</w:t>
            </w:r>
          </w:p>
        </w:tc>
        <w:tc>
          <w:tcPr>
            <w:tcW w:w="897"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color w:val="auto"/>
                <w:kern w:val="0"/>
                <w:sz w:val="22"/>
              </w:rPr>
            </w:pPr>
            <w:r>
              <w:rPr>
                <w:rFonts w:ascii="Times New Roman" w:hAnsi="Times New Roman" w:eastAsia="宋体" w:cs="Times New Roman"/>
                <w:color w:val="auto"/>
                <w:kern w:val="0"/>
                <w:sz w:val="22"/>
              </w:rPr>
              <w:t>预期性</w:t>
            </w:r>
          </w:p>
        </w:tc>
        <w:tc>
          <w:tcPr>
            <w:tcW w:w="2306" w:type="dxa"/>
            <w:tcBorders>
              <w:top w:val="nil"/>
              <w:left w:val="nil"/>
              <w:bottom w:val="single" w:color="auto" w:sz="8" w:space="0"/>
              <w:right w:val="single" w:color="auto" w:sz="8" w:space="0"/>
            </w:tcBorders>
            <w:vAlign w:val="center"/>
          </w:tcPr>
          <w:p>
            <w:pPr>
              <w:widowControl/>
              <w:jc w:val="center"/>
              <w:rPr>
                <w:rFonts w:hint="eastAsia"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区经发局</w:t>
            </w:r>
          </w:p>
        </w:tc>
      </w:tr>
      <w:tr>
        <w:tblPrEx>
          <w:tblCellMar>
            <w:top w:w="0" w:type="dxa"/>
            <w:left w:w="108" w:type="dxa"/>
            <w:bottom w:w="0" w:type="dxa"/>
            <w:right w:w="108" w:type="dxa"/>
          </w:tblCellMar>
        </w:tblPrEx>
        <w:trPr>
          <w:trHeight w:val="389" w:hRule="atLeast"/>
          <w:jc w:val="center"/>
        </w:trPr>
        <w:tc>
          <w:tcPr>
            <w:tcW w:w="856" w:type="dxa"/>
            <w:vMerge w:val="continue"/>
            <w:tcBorders>
              <w:left w:val="single" w:color="auto" w:sz="8" w:space="0"/>
              <w:right w:val="single" w:color="auto" w:sz="8" w:space="0"/>
            </w:tcBorders>
            <w:vAlign w:val="center"/>
          </w:tcPr>
          <w:p>
            <w:pPr>
              <w:widowControl/>
              <w:jc w:val="center"/>
              <w:rPr>
                <w:rFonts w:ascii="Times New Roman" w:hAnsi="Times New Roman" w:eastAsia="宋体" w:cs="Times New Roman"/>
                <w:b/>
                <w:bCs/>
                <w:color w:val="auto"/>
                <w:kern w:val="0"/>
                <w:sz w:val="22"/>
              </w:rPr>
            </w:pPr>
          </w:p>
        </w:tc>
        <w:tc>
          <w:tcPr>
            <w:tcW w:w="555" w:type="dxa"/>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b/>
                <w:bCs/>
                <w:color w:val="auto"/>
                <w:kern w:val="0"/>
                <w:sz w:val="22"/>
                <w:szCs w:val="24"/>
              </w:rPr>
            </w:pPr>
            <w:r>
              <w:rPr>
                <w:rFonts w:ascii="Times New Roman" w:hAnsi="Times New Roman" w:eastAsia="宋体" w:cs="Times New Roman"/>
                <w:b/>
                <w:bCs/>
                <w:color w:val="auto"/>
                <w:kern w:val="0"/>
                <w:sz w:val="22"/>
              </w:rPr>
              <w:t>4</w:t>
            </w:r>
          </w:p>
        </w:tc>
        <w:tc>
          <w:tcPr>
            <w:tcW w:w="2835" w:type="dxa"/>
            <w:tcBorders>
              <w:top w:val="single" w:color="auto" w:sz="8" w:space="0"/>
              <w:left w:val="nil"/>
              <w:bottom w:val="single" w:color="auto" w:sz="8" w:space="0"/>
              <w:right w:val="single" w:color="000000" w:sz="8" w:space="0"/>
            </w:tcBorders>
            <w:vAlign w:val="center"/>
          </w:tcPr>
          <w:p>
            <w:pPr>
              <w:widowControl/>
              <w:rPr>
                <w:rFonts w:ascii="Times New Roman" w:hAnsi="Times New Roman" w:eastAsia="宋体" w:cs="Times New Roman"/>
                <w:color w:val="auto"/>
                <w:kern w:val="0"/>
                <w:sz w:val="22"/>
                <w:szCs w:val="24"/>
              </w:rPr>
            </w:pPr>
            <w:r>
              <w:rPr>
                <w:rFonts w:hint="eastAsia" w:ascii="Times New Roman" w:hAnsi="Times New Roman" w:eastAsia="宋体" w:cs="Times New Roman"/>
                <w:color w:val="auto"/>
                <w:kern w:val="0"/>
                <w:sz w:val="22"/>
              </w:rPr>
              <w:t>三次产业比</w:t>
            </w:r>
            <w:r>
              <w:rPr>
                <w:rFonts w:hint="eastAsia" w:ascii="Times New Roman" w:hAnsi="Times New Roman" w:eastAsia="宋体" w:cs="Times New Roman"/>
                <w:color w:val="auto"/>
                <w:kern w:val="0"/>
                <w:sz w:val="22"/>
                <w:lang w:val="en-US" w:eastAsia="zh-CN"/>
              </w:rPr>
              <w:t>重</w:t>
            </w:r>
          </w:p>
        </w:tc>
        <w:tc>
          <w:tcPr>
            <w:tcW w:w="1456" w:type="dxa"/>
            <w:tcBorders>
              <w:top w:val="nil"/>
              <w:left w:val="nil"/>
              <w:bottom w:val="single" w:color="auto" w:sz="8" w:space="0"/>
              <w:right w:val="single" w:color="auto" w:sz="8" w:space="0"/>
            </w:tcBorders>
            <w:vAlign w:val="center"/>
          </w:tcPr>
          <w:p>
            <w:pPr>
              <w:widowControl/>
              <w:ind w:right="-254" w:rightChars="-121"/>
              <w:jc w:val="left"/>
              <w:rPr>
                <w:rFonts w:hint="default"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48：2.6:49.4</w:t>
            </w:r>
          </w:p>
        </w:tc>
        <w:tc>
          <w:tcPr>
            <w:tcW w:w="1124" w:type="dxa"/>
            <w:gridSpan w:val="3"/>
            <w:tcBorders>
              <w:top w:val="nil"/>
              <w:left w:val="nil"/>
              <w:bottom w:val="single" w:color="auto" w:sz="8" w:space="0"/>
              <w:right w:val="single" w:color="auto" w:sz="8" w:space="0"/>
            </w:tcBorders>
            <w:vAlign w:val="center"/>
          </w:tcPr>
          <w:p>
            <w:pPr>
              <w:widowControl/>
              <w:ind w:right="-109" w:rightChars="-52"/>
              <w:jc w:val="center"/>
              <w:rPr>
                <w:rFonts w:hint="default" w:ascii="Times New Roman" w:hAnsi="Times New Roman" w:eastAsia="宋体" w:cs="Times New Roman"/>
                <w:color w:val="auto"/>
                <w:kern w:val="0"/>
                <w:sz w:val="22"/>
                <w:szCs w:val="24"/>
                <w:lang w:val="en-US"/>
              </w:rPr>
            </w:pPr>
            <w:r>
              <w:rPr>
                <w:rFonts w:hint="eastAsia" w:ascii="Times New Roman" w:hAnsi="Times New Roman" w:eastAsia="宋体" w:cs="Times New Roman"/>
                <w:color w:val="auto"/>
                <w:kern w:val="0"/>
                <w:sz w:val="22"/>
                <w:szCs w:val="24"/>
                <w:lang w:val="en-US" w:eastAsia="zh-CN"/>
              </w:rPr>
              <w:t>45:3:52</w:t>
            </w:r>
          </w:p>
        </w:tc>
        <w:tc>
          <w:tcPr>
            <w:tcW w:w="842"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color w:val="auto"/>
                <w:kern w:val="0"/>
                <w:sz w:val="22"/>
                <w:szCs w:val="24"/>
              </w:rPr>
            </w:pPr>
            <w:r>
              <w:rPr>
                <w:rFonts w:hint="eastAsia" w:ascii="Times New Roman" w:hAnsi="Times New Roman" w:eastAsia="宋体" w:cs="Times New Roman"/>
                <w:color w:val="auto"/>
                <w:kern w:val="0"/>
                <w:sz w:val="22"/>
                <w:szCs w:val="24"/>
                <w:lang w:eastAsia="zh-CN"/>
              </w:rPr>
              <w:t>—</w:t>
            </w:r>
          </w:p>
        </w:tc>
        <w:tc>
          <w:tcPr>
            <w:tcW w:w="897"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color w:val="auto"/>
                <w:kern w:val="0"/>
                <w:sz w:val="22"/>
                <w:szCs w:val="24"/>
              </w:rPr>
            </w:pPr>
            <w:r>
              <w:rPr>
                <w:rFonts w:ascii="Times New Roman" w:hAnsi="Times New Roman" w:eastAsia="宋体" w:cs="Times New Roman"/>
                <w:color w:val="auto"/>
                <w:kern w:val="0"/>
                <w:sz w:val="22"/>
              </w:rPr>
              <w:t>预期性</w:t>
            </w:r>
          </w:p>
        </w:tc>
        <w:tc>
          <w:tcPr>
            <w:tcW w:w="2306" w:type="dxa"/>
            <w:tcBorders>
              <w:top w:val="nil"/>
              <w:left w:val="nil"/>
              <w:bottom w:val="single" w:color="auto" w:sz="8" w:space="0"/>
              <w:right w:val="single" w:color="auto" w:sz="8" w:space="0"/>
            </w:tcBorders>
            <w:vAlign w:val="center"/>
          </w:tcPr>
          <w:p>
            <w:pPr>
              <w:widowControl/>
              <w:jc w:val="center"/>
              <w:rPr>
                <w:rFonts w:hint="eastAsia"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区经发局</w:t>
            </w:r>
          </w:p>
        </w:tc>
      </w:tr>
      <w:tr>
        <w:tblPrEx>
          <w:tblCellMar>
            <w:top w:w="0" w:type="dxa"/>
            <w:left w:w="108" w:type="dxa"/>
            <w:bottom w:w="0" w:type="dxa"/>
            <w:right w:w="108" w:type="dxa"/>
          </w:tblCellMar>
        </w:tblPrEx>
        <w:trPr>
          <w:trHeight w:val="389" w:hRule="atLeast"/>
          <w:jc w:val="center"/>
        </w:trPr>
        <w:tc>
          <w:tcPr>
            <w:tcW w:w="856" w:type="dxa"/>
            <w:vMerge w:val="continue"/>
            <w:tcBorders>
              <w:left w:val="single" w:color="auto" w:sz="8" w:space="0"/>
              <w:right w:val="single" w:color="auto" w:sz="8" w:space="0"/>
            </w:tcBorders>
            <w:vAlign w:val="center"/>
          </w:tcPr>
          <w:p>
            <w:pPr>
              <w:widowControl/>
              <w:jc w:val="center"/>
              <w:rPr>
                <w:rFonts w:hint="eastAsia" w:ascii="Times New Roman" w:hAnsi="Times New Roman" w:eastAsia="宋体" w:cs="Times New Roman"/>
                <w:b/>
                <w:bCs/>
                <w:color w:val="auto"/>
                <w:kern w:val="0"/>
                <w:sz w:val="22"/>
                <w:lang w:val="en-US" w:eastAsia="zh-CN"/>
              </w:rPr>
            </w:pPr>
          </w:p>
        </w:tc>
        <w:tc>
          <w:tcPr>
            <w:tcW w:w="555" w:type="dxa"/>
            <w:tcBorders>
              <w:top w:val="nil"/>
              <w:left w:val="single" w:color="auto" w:sz="8" w:space="0"/>
              <w:bottom w:val="single" w:color="auto" w:sz="8" w:space="0"/>
              <w:right w:val="single" w:color="auto" w:sz="8" w:space="0"/>
            </w:tcBorders>
            <w:vAlign w:val="center"/>
          </w:tcPr>
          <w:p>
            <w:pPr>
              <w:widowControl/>
              <w:jc w:val="center"/>
              <w:rPr>
                <w:rFonts w:hint="eastAsia" w:ascii="Times New Roman" w:hAnsi="Times New Roman" w:eastAsia="宋体" w:cs="Times New Roman"/>
                <w:b/>
                <w:bCs/>
                <w:color w:val="auto"/>
                <w:kern w:val="0"/>
                <w:sz w:val="22"/>
                <w:lang w:val="en-US" w:eastAsia="zh-CN"/>
              </w:rPr>
            </w:pPr>
            <w:r>
              <w:rPr>
                <w:rFonts w:hint="eastAsia" w:ascii="Times New Roman" w:hAnsi="Times New Roman" w:eastAsia="宋体" w:cs="Times New Roman"/>
                <w:b/>
                <w:bCs/>
                <w:color w:val="auto"/>
                <w:kern w:val="0"/>
                <w:sz w:val="22"/>
                <w:lang w:val="en-US" w:eastAsia="zh-CN"/>
              </w:rPr>
              <w:t>5</w:t>
            </w:r>
          </w:p>
        </w:tc>
        <w:tc>
          <w:tcPr>
            <w:tcW w:w="2835" w:type="dxa"/>
            <w:tcBorders>
              <w:top w:val="single" w:color="auto" w:sz="8" w:space="0"/>
              <w:left w:val="nil"/>
              <w:bottom w:val="single" w:color="auto" w:sz="8" w:space="0"/>
              <w:right w:val="single" w:color="000000" w:sz="8" w:space="0"/>
            </w:tcBorders>
            <w:vAlign w:val="center"/>
          </w:tcPr>
          <w:p>
            <w:pPr>
              <w:widowControl/>
              <w:rPr>
                <w:rFonts w:hint="eastAsia" w:ascii="Times New Roman" w:hAnsi="Times New Roman" w:eastAsia="宋体" w:cs="Times New Roman"/>
                <w:color w:val="auto"/>
                <w:kern w:val="0"/>
                <w:sz w:val="22"/>
                <w:lang w:val="en-US" w:eastAsia="zh-CN"/>
              </w:rPr>
            </w:pPr>
            <w:r>
              <w:rPr>
                <w:rFonts w:hint="eastAsia" w:ascii="Times New Roman" w:hAnsi="Times New Roman" w:eastAsia="宋体" w:cs="Times New Roman"/>
                <w:color w:val="auto"/>
                <w:kern w:val="0"/>
                <w:sz w:val="22"/>
                <w:lang w:val="en-US" w:eastAsia="zh-CN"/>
              </w:rPr>
              <w:t>固定资产投资（亿元）</w:t>
            </w:r>
          </w:p>
        </w:tc>
        <w:tc>
          <w:tcPr>
            <w:tcW w:w="1456" w:type="dxa"/>
            <w:tcBorders>
              <w:top w:val="nil"/>
              <w:left w:val="nil"/>
              <w:bottom w:val="single" w:color="auto" w:sz="8" w:space="0"/>
              <w:right w:val="single" w:color="auto" w:sz="8" w:space="0"/>
            </w:tcBorders>
            <w:vAlign w:val="center"/>
          </w:tcPr>
          <w:p>
            <w:pPr>
              <w:widowControl/>
              <w:jc w:val="center"/>
              <w:rPr>
                <w:rFonts w:hint="default"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23.7</w:t>
            </w:r>
          </w:p>
        </w:tc>
        <w:tc>
          <w:tcPr>
            <w:tcW w:w="1124" w:type="dxa"/>
            <w:gridSpan w:val="3"/>
            <w:tcBorders>
              <w:top w:val="nil"/>
              <w:left w:val="nil"/>
              <w:bottom w:val="single" w:color="auto" w:sz="8" w:space="0"/>
              <w:right w:val="single" w:color="auto" w:sz="8" w:space="0"/>
            </w:tcBorders>
            <w:vAlign w:val="center"/>
          </w:tcPr>
          <w:p>
            <w:pPr>
              <w:widowControl/>
              <w:jc w:val="center"/>
              <w:rPr>
                <w:rFonts w:hint="default"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32.4</w:t>
            </w:r>
          </w:p>
        </w:tc>
        <w:tc>
          <w:tcPr>
            <w:tcW w:w="842" w:type="dxa"/>
            <w:tcBorders>
              <w:top w:val="nil"/>
              <w:left w:val="nil"/>
              <w:bottom w:val="single" w:color="auto" w:sz="8" w:space="0"/>
              <w:right w:val="single" w:color="auto" w:sz="8" w:space="0"/>
            </w:tcBorders>
            <w:vAlign w:val="center"/>
          </w:tcPr>
          <w:p>
            <w:pPr>
              <w:widowControl/>
              <w:jc w:val="center"/>
              <w:rPr>
                <w:rFonts w:hint="default"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6.45%</w:t>
            </w:r>
          </w:p>
        </w:tc>
        <w:tc>
          <w:tcPr>
            <w:tcW w:w="897"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color w:val="auto"/>
                <w:kern w:val="0"/>
                <w:sz w:val="22"/>
              </w:rPr>
            </w:pPr>
            <w:r>
              <w:rPr>
                <w:rFonts w:ascii="Times New Roman" w:hAnsi="Times New Roman" w:eastAsia="宋体" w:cs="Times New Roman"/>
                <w:color w:val="auto"/>
                <w:kern w:val="0"/>
                <w:sz w:val="22"/>
              </w:rPr>
              <w:t>预期性</w:t>
            </w:r>
          </w:p>
        </w:tc>
        <w:tc>
          <w:tcPr>
            <w:tcW w:w="2306" w:type="dxa"/>
            <w:tcBorders>
              <w:top w:val="nil"/>
              <w:left w:val="nil"/>
              <w:bottom w:val="single" w:color="auto" w:sz="8" w:space="0"/>
              <w:right w:val="single" w:color="auto" w:sz="8" w:space="0"/>
            </w:tcBorders>
            <w:vAlign w:val="center"/>
          </w:tcPr>
          <w:p>
            <w:pPr>
              <w:widowControl/>
              <w:jc w:val="center"/>
              <w:rPr>
                <w:rFonts w:hint="eastAsia"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区经发局</w:t>
            </w:r>
          </w:p>
        </w:tc>
      </w:tr>
      <w:tr>
        <w:tblPrEx>
          <w:tblCellMar>
            <w:top w:w="0" w:type="dxa"/>
            <w:left w:w="108" w:type="dxa"/>
            <w:bottom w:w="0" w:type="dxa"/>
            <w:right w:w="108" w:type="dxa"/>
          </w:tblCellMar>
        </w:tblPrEx>
        <w:trPr>
          <w:trHeight w:val="389" w:hRule="atLeast"/>
          <w:jc w:val="center"/>
        </w:trPr>
        <w:tc>
          <w:tcPr>
            <w:tcW w:w="856" w:type="dxa"/>
            <w:vMerge w:val="continue"/>
            <w:tcBorders>
              <w:left w:val="single" w:color="auto" w:sz="8" w:space="0"/>
              <w:bottom w:val="single" w:color="auto" w:sz="8" w:space="0"/>
              <w:right w:val="single" w:color="auto" w:sz="8" w:space="0"/>
            </w:tcBorders>
            <w:vAlign w:val="center"/>
          </w:tcPr>
          <w:p>
            <w:pPr>
              <w:widowControl/>
              <w:jc w:val="center"/>
              <w:rPr>
                <w:rFonts w:hint="eastAsia" w:ascii="Times New Roman" w:hAnsi="Times New Roman" w:eastAsia="宋体" w:cs="Times New Roman"/>
                <w:b/>
                <w:bCs/>
                <w:color w:val="auto"/>
                <w:kern w:val="0"/>
                <w:sz w:val="22"/>
                <w:lang w:val="en-US" w:eastAsia="zh-CN"/>
              </w:rPr>
            </w:pPr>
          </w:p>
        </w:tc>
        <w:tc>
          <w:tcPr>
            <w:tcW w:w="555" w:type="dxa"/>
            <w:tcBorders>
              <w:top w:val="single" w:color="auto" w:sz="4" w:space="0"/>
              <w:left w:val="single" w:color="auto" w:sz="8" w:space="0"/>
              <w:bottom w:val="single" w:color="auto" w:sz="8" w:space="0"/>
              <w:right w:val="single" w:color="auto" w:sz="8" w:space="0"/>
            </w:tcBorders>
            <w:vAlign w:val="center"/>
          </w:tcPr>
          <w:p>
            <w:pPr>
              <w:widowControl/>
              <w:jc w:val="center"/>
              <w:rPr>
                <w:rFonts w:hint="eastAsia" w:ascii="Times New Roman" w:hAnsi="Times New Roman" w:eastAsia="宋体" w:cs="Times New Roman"/>
                <w:b/>
                <w:bCs/>
                <w:color w:val="auto"/>
                <w:kern w:val="0"/>
                <w:sz w:val="22"/>
                <w:szCs w:val="24"/>
                <w:lang w:eastAsia="zh-CN"/>
              </w:rPr>
            </w:pPr>
            <w:r>
              <w:rPr>
                <w:rFonts w:hint="eastAsia" w:ascii="Times New Roman" w:hAnsi="Times New Roman" w:eastAsia="宋体" w:cs="Times New Roman"/>
                <w:b/>
                <w:bCs/>
                <w:color w:val="auto"/>
                <w:kern w:val="0"/>
                <w:sz w:val="22"/>
                <w:lang w:val="en-US" w:eastAsia="zh-CN"/>
              </w:rPr>
              <w:t>6</w:t>
            </w:r>
          </w:p>
        </w:tc>
        <w:tc>
          <w:tcPr>
            <w:tcW w:w="2835" w:type="dxa"/>
            <w:tcBorders>
              <w:top w:val="single" w:color="auto" w:sz="8" w:space="0"/>
              <w:left w:val="nil"/>
              <w:bottom w:val="single" w:color="auto" w:sz="8" w:space="0"/>
              <w:right w:val="single" w:color="000000" w:sz="8" w:space="0"/>
            </w:tcBorders>
            <w:vAlign w:val="center"/>
          </w:tcPr>
          <w:p>
            <w:pPr>
              <w:widowControl/>
              <w:rPr>
                <w:rFonts w:ascii="Times New Roman" w:hAnsi="Times New Roman" w:eastAsia="宋体" w:cs="Times New Roman"/>
                <w:color w:val="auto"/>
                <w:kern w:val="0"/>
                <w:sz w:val="22"/>
                <w:szCs w:val="24"/>
              </w:rPr>
            </w:pPr>
            <w:r>
              <w:rPr>
                <w:rFonts w:hint="eastAsia" w:ascii="Times New Roman" w:hAnsi="Times New Roman" w:eastAsia="宋体" w:cs="Times New Roman"/>
                <w:color w:val="auto"/>
                <w:kern w:val="0"/>
                <w:sz w:val="22"/>
              </w:rPr>
              <w:t>常住人口城镇化率（%）</w:t>
            </w:r>
          </w:p>
        </w:tc>
        <w:tc>
          <w:tcPr>
            <w:tcW w:w="1456" w:type="dxa"/>
            <w:tcBorders>
              <w:top w:val="nil"/>
              <w:left w:val="nil"/>
              <w:bottom w:val="single" w:color="auto" w:sz="8" w:space="0"/>
              <w:right w:val="single" w:color="auto" w:sz="8" w:space="0"/>
            </w:tcBorders>
            <w:vAlign w:val="center"/>
          </w:tcPr>
          <w:p>
            <w:pPr>
              <w:widowControl/>
              <w:jc w:val="center"/>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69.86</w:t>
            </w:r>
          </w:p>
        </w:tc>
        <w:tc>
          <w:tcPr>
            <w:tcW w:w="1124" w:type="dxa"/>
            <w:gridSpan w:val="3"/>
            <w:tcBorders>
              <w:top w:val="nil"/>
              <w:left w:val="nil"/>
              <w:bottom w:val="single" w:color="auto" w:sz="8" w:space="0"/>
              <w:right w:val="single" w:color="auto" w:sz="8" w:space="0"/>
            </w:tcBorders>
            <w:vAlign w:val="center"/>
          </w:tcPr>
          <w:p>
            <w:pPr>
              <w:widowControl/>
              <w:jc w:val="center"/>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70.16</w:t>
            </w:r>
          </w:p>
        </w:tc>
        <w:tc>
          <w:tcPr>
            <w:tcW w:w="842" w:type="dxa"/>
            <w:tcBorders>
              <w:top w:val="nil"/>
              <w:left w:val="nil"/>
              <w:bottom w:val="single" w:color="auto" w:sz="8" w:space="0"/>
              <w:right w:val="single" w:color="auto" w:sz="8" w:space="0"/>
            </w:tcBorders>
            <w:vAlign w:val="center"/>
          </w:tcPr>
          <w:p>
            <w:pPr>
              <w:widowControl/>
              <w:jc w:val="center"/>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  ]</w:t>
            </w:r>
          </w:p>
        </w:tc>
        <w:tc>
          <w:tcPr>
            <w:tcW w:w="897"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color w:val="auto"/>
                <w:kern w:val="0"/>
                <w:sz w:val="22"/>
                <w:szCs w:val="24"/>
              </w:rPr>
            </w:pPr>
            <w:r>
              <w:rPr>
                <w:rFonts w:ascii="Times New Roman" w:hAnsi="Times New Roman" w:eastAsia="宋体" w:cs="Times New Roman"/>
                <w:color w:val="auto"/>
                <w:kern w:val="0"/>
                <w:sz w:val="22"/>
              </w:rPr>
              <w:t>预期性</w:t>
            </w:r>
          </w:p>
        </w:tc>
        <w:tc>
          <w:tcPr>
            <w:tcW w:w="2306" w:type="dxa"/>
            <w:tcBorders>
              <w:top w:val="nil"/>
              <w:left w:val="nil"/>
              <w:bottom w:val="single" w:color="auto" w:sz="8" w:space="0"/>
              <w:right w:val="single" w:color="auto" w:sz="8" w:space="0"/>
            </w:tcBorders>
            <w:vAlign w:val="center"/>
          </w:tcPr>
          <w:p>
            <w:pPr>
              <w:widowControl/>
              <w:jc w:val="center"/>
              <w:rPr>
                <w:rFonts w:hint="eastAsia"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区经发局</w:t>
            </w:r>
          </w:p>
        </w:tc>
      </w:tr>
      <w:tr>
        <w:tblPrEx>
          <w:tblCellMar>
            <w:top w:w="0" w:type="dxa"/>
            <w:left w:w="108" w:type="dxa"/>
            <w:bottom w:w="0" w:type="dxa"/>
            <w:right w:w="108" w:type="dxa"/>
          </w:tblCellMar>
        </w:tblPrEx>
        <w:trPr>
          <w:trHeight w:val="351" w:hRule="atLeast"/>
          <w:jc w:val="center"/>
        </w:trPr>
        <w:tc>
          <w:tcPr>
            <w:tcW w:w="856" w:type="dxa"/>
            <w:vMerge w:val="restart"/>
            <w:tcBorders>
              <w:top w:val="nil"/>
              <w:left w:val="single" w:color="auto" w:sz="8" w:space="0"/>
              <w:right w:val="single" w:color="auto" w:sz="8" w:space="0"/>
            </w:tcBorders>
            <w:vAlign w:val="center"/>
          </w:tcPr>
          <w:p>
            <w:pPr>
              <w:jc w:val="center"/>
              <w:rPr>
                <w:rFonts w:hint="eastAsia" w:ascii="Times New Roman" w:hAnsi="Times New Roman" w:eastAsia="宋体" w:cs="Times New Roman"/>
                <w:b/>
                <w:bCs/>
                <w:color w:val="auto"/>
                <w:kern w:val="0"/>
                <w:sz w:val="22"/>
                <w:lang w:val="en-US" w:eastAsia="zh-CN"/>
              </w:rPr>
            </w:pPr>
            <w:r>
              <w:rPr>
                <w:rFonts w:ascii="Times New Roman" w:hAnsi="Times New Roman" w:eastAsia="黑体" w:cs="Times New Roman"/>
                <w:color w:val="auto"/>
                <w:kern w:val="0"/>
                <w:sz w:val="22"/>
              </w:rPr>
              <w:t>创新驱动</w:t>
            </w:r>
          </w:p>
        </w:tc>
        <w:tc>
          <w:tcPr>
            <w:tcW w:w="555" w:type="dxa"/>
            <w:tcBorders>
              <w:top w:val="nil"/>
              <w:left w:val="single" w:color="auto" w:sz="8" w:space="0"/>
              <w:bottom w:val="single" w:color="auto" w:sz="4" w:space="0"/>
              <w:right w:val="single" w:color="auto" w:sz="8" w:space="0"/>
            </w:tcBorders>
            <w:vAlign w:val="center"/>
          </w:tcPr>
          <w:p>
            <w:pPr>
              <w:jc w:val="center"/>
              <w:rPr>
                <w:rFonts w:hint="eastAsia" w:ascii="Times New Roman" w:hAnsi="Times New Roman" w:eastAsia="宋体" w:cs="Times New Roman"/>
                <w:b/>
                <w:bCs/>
                <w:color w:val="auto"/>
                <w:kern w:val="0"/>
                <w:sz w:val="22"/>
                <w:szCs w:val="24"/>
                <w:lang w:eastAsia="zh-CN"/>
              </w:rPr>
            </w:pPr>
            <w:r>
              <w:rPr>
                <w:rFonts w:hint="eastAsia" w:ascii="Times New Roman" w:hAnsi="Times New Roman" w:eastAsia="宋体" w:cs="Times New Roman"/>
                <w:b/>
                <w:bCs/>
                <w:color w:val="auto"/>
                <w:kern w:val="0"/>
                <w:sz w:val="22"/>
                <w:lang w:val="en-US" w:eastAsia="zh-CN"/>
              </w:rPr>
              <w:t>7</w:t>
            </w:r>
          </w:p>
        </w:tc>
        <w:tc>
          <w:tcPr>
            <w:tcW w:w="2835" w:type="dxa"/>
            <w:tcBorders>
              <w:top w:val="single" w:color="auto" w:sz="8" w:space="0"/>
              <w:left w:val="nil"/>
              <w:bottom w:val="single" w:color="auto" w:sz="4" w:space="0"/>
              <w:right w:val="single" w:color="000000" w:sz="8" w:space="0"/>
            </w:tcBorders>
            <w:vAlign w:val="center"/>
          </w:tcPr>
          <w:p>
            <w:pPr>
              <w:widowControl/>
              <w:rPr>
                <w:rFonts w:ascii="Times New Roman" w:hAnsi="Times New Roman" w:eastAsia="宋体" w:cs="Times New Roman"/>
                <w:color w:val="auto"/>
                <w:kern w:val="0"/>
                <w:sz w:val="22"/>
                <w:szCs w:val="24"/>
              </w:rPr>
            </w:pPr>
            <w:r>
              <w:rPr>
                <w:rFonts w:hint="eastAsia" w:ascii="Times New Roman" w:hAnsi="Times New Roman" w:eastAsia="宋体" w:cs="Times New Roman"/>
                <w:color w:val="auto"/>
                <w:kern w:val="0"/>
                <w:sz w:val="22"/>
                <w:lang w:val="en-US" w:eastAsia="zh-CN"/>
              </w:rPr>
              <w:t>研发经费投入增长</w:t>
            </w:r>
            <w:r>
              <w:rPr>
                <w:rFonts w:ascii="Times New Roman" w:hAnsi="Times New Roman" w:eastAsia="宋体" w:cs="Times New Roman"/>
                <w:color w:val="auto"/>
                <w:kern w:val="0"/>
                <w:sz w:val="22"/>
              </w:rPr>
              <w:t>（%</w:t>
            </w:r>
            <w:r>
              <w:rPr>
                <w:rFonts w:ascii="宋体" w:hAnsi="宋体" w:eastAsia="宋体" w:cs="Times New Roman"/>
                <w:color w:val="auto"/>
                <w:kern w:val="0"/>
                <w:sz w:val="22"/>
              </w:rPr>
              <w:t>）</w:t>
            </w:r>
          </w:p>
        </w:tc>
        <w:tc>
          <w:tcPr>
            <w:tcW w:w="1456" w:type="dxa"/>
            <w:tcBorders>
              <w:top w:val="nil"/>
              <w:left w:val="nil"/>
              <w:bottom w:val="single" w:color="auto" w:sz="8" w:space="0"/>
              <w:right w:val="single" w:color="auto" w:sz="8" w:space="0"/>
            </w:tcBorders>
            <w:vAlign w:val="center"/>
          </w:tcPr>
          <w:p>
            <w:pPr>
              <w:widowControl/>
              <w:jc w:val="center"/>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16</w:t>
            </w:r>
          </w:p>
        </w:tc>
        <w:tc>
          <w:tcPr>
            <w:tcW w:w="1124" w:type="dxa"/>
            <w:gridSpan w:val="3"/>
            <w:tcBorders>
              <w:top w:val="nil"/>
              <w:left w:val="nil"/>
              <w:bottom w:val="single" w:color="auto" w:sz="8" w:space="0"/>
              <w:right w:val="single" w:color="auto" w:sz="8" w:space="0"/>
            </w:tcBorders>
            <w:vAlign w:val="center"/>
          </w:tcPr>
          <w:p>
            <w:pPr>
              <w:widowControl/>
              <w:jc w:val="center"/>
              <w:rPr>
                <w:rFonts w:hint="eastAsia" w:ascii="Times New Roman" w:hAnsi="Times New Roman" w:eastAsia="宋体" w:cs="Times New Roman"/>
                <w:color w:val="auto"/>
                <w:kern w:val="0"/>
                <w:sz w:val="22"/>
                <w:szCs w:val="24"/>
                <w:lang w:eastAsia="zh-CN"/>
              </w:rPr>
            </w:pPr>
            <w:r>
              <w:rPr>
                <w:rFonts w:hint="eastAsia" w:ascii="Times New Roman" w:hAnsi="Times New Roman" w:eastAsia="宋体" w:cs="Times New Roman"/>
                <w:color w:val="auto"/>
                <w:kern w:val="0"/>
                <w:sz w:val="22"/>
                <w:szCs w:val="24"/>
                <w:lang w:eastAsia="zh-CN"/>
              </w:rPr>
              <w:t>—</w:t>
            </w:r>
          </w:p>
        </w:tc>
        <w:tc>
          <w:tcPr>
            <w:tcW w:w="842" w:type="dxa"/>
            <w:tcBorders>
              <w:top w:val="nil"/>
              <w:left w:val="nil"/>
              <w:bottom w:val="single" w:color="auto" w:sz="8" w:space="0"/>
              <w:right w:val="single" w:color="auto" w:sz="8" w:space="0"/>
            </w:tcBorders>
            <w:vAlign w:val="center"/>
          </w:tcPr>
          <w:p>
            <w:pPr>
              <w:widowControl/>
              <w:jc w:val="center"/>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15-20</w:t>
            </w:r>
          </w:p>
        </w:tc>
        <w:tc>
          <w:tcPr>
            <w:tcW w:w="897" w:type="dxa"/>
            <w:tcBorders>
              <w:top w:val="nil"/>
              <w:left w:val="nil"/>
              <w:bottom w:val="single" w:color="auto" w:sz="4" w:space="0"/>
              <w:right w:val="single" w:color="auto" w:sz="8" w:space="0"/>
            </w:tcBorders>
            <w:vAlign w:val="center"/>
          </w:tcPr>
          <w:p>
            <w:pPr>
              <w:jc w:val="center"/>
              <w:rPr>
                <w:rFonts w:ascii="Times New Roman" w:hAnsi="Times New Roman" w:eastAsia="宋体" w:cs="Times New Roman"/>
                <w:color w:val="auto"/>
                <w:kern w:val="0"/>
                <w:sz w:val="22"/>
                <w:szCs w:val="24"/>
              </w:rPr>
            </w:pPr>
            <w:r>
              <w:rPr>
                <w:rFonts w:ascii="Times New Roman" w:hAnsi="Times New Roman" w:eastAsia="宋体" w:cs="Times New Roman"/>
                <w:color w:val="auto"/>
                <w:kern w:val="0"/>
                <w:sz w:val="22"/>
              </w:rPr>
              <w:t>预期性</w:t>
            </w:r>
          </w:p>
        </w:tc>
        <w:tc>
          <w:tcPr>
            <w:tcW w:w="2306" w:type="dxa"/>
            <w:tcBorders>
              <w:top w:val="nil"/>
              <w:left w:val="nil"/>
              <w:bottom w:val="single" w:color="auto" w:sz="4" w:space="0"/>
              <w:right w:val="single" w:color="auto" w:sz="8" w:space="0"/>
            </w:tcBorders>
            <w:vAlign w:val="center"/>
          </w:tcPr>
          <w:p>
            <w:pPr>
              <w:jc w:val="center"/>
              <w:rPr>
                <w:rFonts w:hint="eastAsia" w:ascii="Times New Roman" w:hAnsi="Times New Roman" w:eastAsia="宋体" w:cs="Times New Roman"/>
                <w:color w:val="auto"/>
                <w:kern w:val="0"/>
                <w:sz w:val="22"/>
                <w:lang w:val="en-US" w:eastAsia="zh-CN"/>
              </w:rPr>
            </w:pPr>
            <w:r>
              <w:rPr>
                <w:rFonts w:hint="eastAsia" w:ascii="Times New Roman" w:hAnsi="Times New Roman" w:eastAsia="宋体" w:cs="Times New Roman"/>
                <w:color w:val="auto"/>
                <w:kern w:val="0"/>
                <w:sz w:val="22"/>
                <w:lang w:val="en-US" w:eastAsia="zh-CN"/>
              </w:rPr>
              <w:t>区经发局</w:t>
            </w:r>
          </w:p>
        </w:tc>
      </w:tr>
      <w:tr>
        <w:tblPrEx>
          <w:tblCellMar>
            <w:top w:w="0" w:type="dxa"/>
            <w:left w:w="108" w:type="dxa"/>
            <w:bottom w:w="0" w:type="dxa"/>
            <w:right w:w="108" w:type="dxa"/>
          </w:tblCellMar>
        </w:tblPrEx>
        <w:trPr>
          <w:trHeight w:val="389" w:hRule="atLeast"/>
          <w:jc w:val="center"/>
        </w:trPr>
        <w:tc>
          <w:tcPr>
            <w:tcW w:w="856" w:type="dxa"/>
            <w:vMerge w:val="continue"/>
            <w:tcBorders>
              <w:left w:val="single" w:color="auto" w:sz="8" w:space="0"/>
              <w:right w:val="single" w:color="auto" w:sz="8" w:space="0"/>
            </w:tcBorders>
            <w:vAlign w:val="center"/>
          </w:tcPr>
          <w:p>
            <w:pPr>
              <w:widowControl/>
              <w:jc w:val="center"/>
              <w:rPr>
                <w:rFonts w:hint="eastAsia" w:ascii="Times New Roman" w:hAnsi="Times New Roman" w:eastAsia="宋体" w:cs="Times New Roman"/>
                <w:b/>
                <w:bCs/>
                <w:color w:val="auto"/>
                <w:kern w:val="0"/>
                <w:sz w:val="22"/>
                <w:lang w:val="en-US" w:eastAsia="zh-CN"/>
              </w:rPr>
            </w:pPr>
          </w:p>
        </w:tc>
        <w:tc>
          <w:tcPr>
            <w:tcW w:w="555"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Times New Roman" w:hAnsi="Times New Roman" w:eastAsia="宋体" w:cs="Times New Roman"/>
                <w:b/>
                <w:bCs/>
                <w:color w:val="auto"/>
                <w:kern w:val="0"/>
                <w:sz w:val="22"/>
                <w:szCs w:val="24"/>
                <w:lang w:eastAsia="zh-CN"/>
              </w:rPr>
            </w:pPr>
            <w:r>
              <w:rPr>
                <w:rFonts w:hint="eastAsia" w:ascii="Times New Roman" w:hAnsi="Times New Roman" w:eastAsia="宋体" w:cs="Times New Roman"/>
                <w:b/>
                <w:bCs/>
                <w:color w:val="auto"/>
                <w:kern w:val="0"/>
                <w:sz w:val="22"/>
                <w:lang w:val="en-US" w:eastAsia="zh-CN"/>
              </w:rPr>
              <w:t>8</w:t>
            </w:r>
          </w:p>
        </w:tc>
        <w:tc>
          <w:tcPr>
            <w:tcW w:w="2835"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Times New Roman"/>
                <w:color w:val="auto"/>
                <w:kern w:val="0"/>
                <w:sz w:val="22"/>
                <w:szCs w:val="24"/>
              </w:rPr>
            </w:pPr>
            <w:r>
              <w:rPr>
                <w:rFonts w:hint="eastAsia" w:ascii="Times New Roman" w:hAnsi="Times New Roman" w:eastAsia="宋体" w:cs="Times New Roman"/>
                <w:color w:val="auto"/>
                <w:kern w:val="0"/>
                <w:sz w:val="22"/>
              </w:rPr>
              <w:t>专利申请量（件）</w:t>
            </w:r>
          </w:p>
        </w:tc>
        <w:tc>
          <w:tcPr>
            <w:tcW w:w="1456"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49</w:t>
            </w:r>
          </w:p>
        </w:tc>
        <w:tc>
          <w:tcPr>
            <w:tcW w:w="1124" w:type="dxa"/>
            <w:gridSpan w:val="3"/>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54</w:t>
            </w:r>
          </w:p>
        </w:tc>
        <w:tc>
          <w:tcPr>
            <w:tcW w:w="842" w:type="dxa"/>
            <w:tcBorders>
              <w:top w:val="nil"/>
              <w:left w:val="single" w:color="auto" w:sz="8" w:space="0"/>
              <w:bottom w:val="single" w:color="auto" w:sz="8" w:space="0"/>
              <w:right w:val="single" w:color="auto" w:sz="8" w:space="0"/>
            </w:tcBorders>
            <w:vAlign w:val="center"/>
          </w:tcPr>
          <w:p>
            <w:pPr>
              <w:widowControl/>
              <w:jc w:val="center"/>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10</w:t>
            </w:r>
          </w:p>
        </w:tc>
        <w:tc>
          <w:tcPr>
            <w:tcW w:w="897"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color w:val="auto"/>
                <w:kern w:val="0"/>
                <w:sz w:val="22"/>
                <w:szCs w:val="24"/>
              </w:rPr>
            </w:pPr>
            <w:r>
              <w:rPr>
                <w:rFonts w:hint="eastAsia" w:ascii="Times New Roman" w:hAnsi="Times New Roman" w:eastAsia="宋体" w:cs="Times New Roman"/>
                <w:color w:val="auto"/>
                <w:kern w:val="0"/>
                <w:sz w:val="22"/>
              </w:rPr>
              <w:t>预期性</w:t>
            </w:r>
          </w:p>
        </w:tc>
        <w:tc>
          <w:tcPr>
            <w:tcW w:w="2306" w:type="dxa"/>
            <w:tcBorders>
              <w:top w:val="nil"/>
              <w:left w:val="nil"/>
              <w:bottom w:val="single" w:color="auto" w:sz="8" w:space="0"/>
              <w:right w:val="single" w:color="auto" w:sz="8" w:space="0"/>
            </w:tcBorders>
            <w:vAlign w:val="center"/>
          </w:tcPr>
          <w:p>
            <w:pPr>
              <w:widowControl/>
              <w:jc w:val="center"/>
              <w:rPr>
                <w:rFonts w:hint="eastAsia" w:ascii="Times New Roman" w:hAnsi="Times New Roman" w:eastAsia="宋体" w:cs="Times New Roman"/>
                <w:color w:val="auto"/>
                <w:kern w:val="0"/>
                <w:sz w:val="22"/>
                <w:lang w:val="en-US" w:eastAsia="zh-CN"/>
              </w:rPr>
            </w:pPr>
            <w:r>
              <w:rPr>
                <w:rFonts w:hint="eastAsia" w:ascii="Times New Roman" w:hAnsi="Times New Roman" w:eastAsia="宋体" w:cs="Times New Roman"/>
                <w:color w:val="auto"/>
                <w:kern w:val="0"/>
                <w:sz w:val="22"/>
                <w:lang w:val="en-US" w:eastAsia="zh-CN"/>
              </w:rPr>
              <w:t>区市场监管局</w:t>
            </w:r>
          </w:p>
        </w:tc>
      </w:tr>
      <w:tr>
        <w:tblPrEx>
          <w:tblCellMar>
            <w:top w:w="0" w:type="dxa"/>
            <w:left w:w="108" w:type="dxa"/>
            <w:bottom w:w="0" w:type="dxa"/>
            <w:right w:w="108" w:type="dxa"/>
          </w:tblCellMar>
        </w:tblPrEx>
        <w:trPr>
          <w:trHeight w:val="389" w:hRule="atLeast"/>
          <w:jc w:val="center"/>
        </w:trPr>
        <w:tc>
          <w:tcPr>
            <w:tcW w:w="856" w:type="dxa"/>
            <w:vMerge w:val="continue"/>
            <w:tcBorders>
              <w:left w:val="single" w:color="auto" w:sz="8" w:space="0"/>
              <w:bottom w:val="single" w:color="auto" w:sz="8" w:space="0"/>
              <w:right w:val="single" w:color="auto" w:sz="8" w:space="0"/>
            </w:tcBorders>
            <w:vAlign w:val="center"/>
          </w:tcPr>
          <w:p>
            <w:pPr>
              <w:widowControl/>
              <w:jc w:val="center"/>
              <w:rPr>
                <w:rFonts w:hint="eastAsia" w:ascii="Times New Roman" w:hAnsi="Times New Roman" w:eastAsia="宋体" w:cs="Times New Roman"/>
                <w:b/>
                <w:bCs/>
                <w:color w:val="auto"/>
                <w:kern w:val="0"/>
                <w:sz w:val="22"/>
                <w:lang w:val="en-US" w:eastAsia="zh-CN"/>
              </w:rPr>
            </w:pPr>
          </w:p>
        </w:tc>
        <w:tc>
          <w:tcPr>
            <w:tcW w:w="555"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Times New Roman" w:hAnsi="Times New Roman" w:eastAsia="宋体" w:cs="Times New Roman"/>
                <w:b/>
                <w:bCs/>
                <w:color w:val="auto"/>
                <w:kern w:val="0"/>
                <w:sz w:val="22"/>
                <w:lang w:eastAsia="zh-CN"/>
              </w:rPr>
            </w:pPr>
            <w:r>
              <w:rPr>
                <w:rFonts w:hint="eastAsia" w:ascii="Times New Roman" w:hAnsi="Times New Roman" w:eastAsia="宋体" w:cs="Times New Roman"/>
                <w:b/>
                <w:bCs/>
                <w:color w:val="auto"/>
                <w:kern w:val="0"/>
                <w:sz w:val="22"/>
                <w:lang w:val="en-US" w:eastAsia="zh-CN"/>
              </w:rPr>
              <w:t>9</w:t>
            </w:r>
          </w:p>
        </w:tc>
        <w:tc>
          <w:tcPr>
            <w:tcW w:w="2835"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Times New Roman"/>
                <w:color w:val="auto"/>
                <w:kern w:val="0"/>
                <w:sz w:val="22"/>
              </w:rPr>
            </w:pPr>
            <w:r>
              <w:rPr>
                <w:rFonts w:hint="eastAsia" w:ascii="Times New Roman" w:hAnsi="Times New Roman" w:eastAsia="宋体" w:cs="Times New Roman"/>
                <w:color w:val="auto"/>
                <w:kern w:val="0"/>
                <w:sz w:val="22"/>
              </w:rPr>
              <w:t>5</w:t>
            </w:r>
            <w:r>
              <w:rPr>
                <w:rFonts w:ascii="Times New Roman" w:hAnsi="Times New Roman" w:eastAsia="宋体" w:cs="Times New Roman"/>
                <w:color w:val="auto"/>
                <w:kern w:val="0"/>
                <w:sz w:val="22"/>
              </w:rPr>
              <w:t>G</w:t>
            </w:r>
            <w:r>
              <w:rPr>
                <w:rFonts w:hint="eastAsia" w:ascii="Times New Roman" w:hAnsi="Times New Roman" w:eastAsia="宋体" w:cs="Times New Roman"/>
                <w:color w:val="auto"/>
                <w:kern w:val="0"/>
                <w:sz w:val="22"/>
                <w:lang w:val="en-US" w:eastAsia="zh-CN"/>
              </w:rPr>
              <w:t>覆盖</w:t>
            </w:r>
            <w:r>
              <w:rPr>
                <w:rFonts w:hint="eastAsia" w:ascii="Times New Roman" w:hAnsi="Times New Roman" w:eastAsia="宋体" w:cs="Times New Roman"/>
                <w:color w:val="auto"/>
                <w:kern w:val="0"/>
                <w:sz w:val="22"/>
              </w:rPr>
              <w:t>率（</w:t>
            </w:r>
            <w:r>
              <w:rPr>
                <w:rFonts w:ascii="Times New Roman" w:hAnsi="Times New Roman" w:eastAsia="宋体" w:cs="Times New Roman"/>
                <w:color w:val="auto"/>
                <w:kern w:val="0"/>
                <w:sz w:val="22"/>
              </w:rPr>
              <w:t>%）</w:t>
            </w:r>
          </w:p>
        </w:tc>
        <w:tc>
          <w:tcPr>
            <w:tcW w:w="1456" w:type="dxa"/>
            <w:tcBorders>
              <w:top w:val="single" w:color="auto" w:sz="8" w:space="0"/>
              <w:left w:val="single" w:color="auto" w:sz="8" w:space="0"/>
              <w:bottom w:val="single" w:color="auto" w:sz="8" w:space="0"/>
              <w:right w:val="single" w:color="auto" w:sz="8" w:space="0"/>
            </w:tcBorders>
            <w:vAlign w:val="center"/>
          </w:tcPr>
          <w:p>
            <w:pPr>
              <w:widowControl/>
              <w:jc w:val="center"/>
              <w:rPr>
                <w:rFonts w:hint="default"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70</w:t>
            </w:r>
          </w:p>
        </w:tc>
        <w:tc>
          <w:tcPr>
            <w:tcW w:w="1966" w:type="dxa"/>
            <w:gridSpan w:val="4"/>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16"/>
                <w:szCs w:val="16"/>
                <w:lang w:val="en-US" w:eastAsia="zh-CN"/>
              </w:rPr>
              <w:t>据市每年下达指标完成</w:t>
            </w:r>
          </w:p>
        </w:tc>
        <w:tc>
          <w:tcPr>
            <w:tcW w:w="897"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color w:val="auto"/>
                <w:kern w:val="0"/>
                <w:sz w:val="22"/>
              </w:rPr>
            </w:pPr>
            <w:r>
              <w:rPr>
                <w:rFonts w:ascii="Times New Roman" w:hAnsi="Times New Roman" w:eastAsia="宋体" w:cs="Times New Roman"/>
                <w:color w:val="auto"/>
                <w:kern w:val="0"/>
                <w:sz w:val="22"/>
              </w:rPr>
              <w:t>预期性</w:t>
            </w:r>
          </w:p>
        </w:tc>
        <w:tc>
          <w:tcPr>
            <w:tcW w:w="2306" w:type="dxa"/>
            <w:tcBorders>
              <w:top w:val="nil"/>
              <w:left w:val="nil"/>
              <w:bottom w:val="single" w:color="auto" w:sz="8" w:space="0"/>
              <w:right w:val="single" w:color="auto" w:sz="8" w:space="0"/>
            </w:tcBorders>
            <w:vAlign w:val="center"/>
          </w:tcPr>
          <w:p>
            <w:pPr>
              <w:widowControl/>
              <w:jc w:val="center"/>
              <w:rPr>
                <w:rFonts w:hint="eastAsia" w:ascii="Times New Roman" w:hAnsi="Times New Roman" w:eastAsia="宋体" w:cs="Times New Roman"/>
                <w:color w:val="auto"/>
                <w:kern w:val="0"/>
                <w:sz w:val="22"/>
                <w:lang w:val="en-US" w:eastAsia="zh-CN"/>
              </w:rPr>
            </w:pPr>
            <w:r>
              <w:rPr>
                <w:rFonts w:hint="eastAsia" w:ascii="Times New Roman" w:hAnsi="Times New Roman" w:eastAsia="宋体" w:cs="Times New Roman"/>
                <w:color w:val="auto"/>
                <w:kern w:val="0"/>
                <w:sz w:val="22"/>
                <w:lang w:val="en-US" w:eastAsia="zh-CN"/>
              </w:rPr>
              <w:t>区经发局</w:t>
            </w:r>
          </w:p>
        </w:tc>
      </w:tr>
      <w:tr>
        <w:tblPrEx>
          <w:tblCellMar>
            <w:top w:w="0" w:type="dxa"/>
            <w:left w:w="108" w:type="dxa"/>
            <w:bottom w:w="0" w:type="dxa"/>
            <w:right w:w="108" w:type="dxa"/>
          </w:tblCellMar>
        </w:tblPrEx>
        <w:trPr>
          <w:trHeight w:val="389" w:hRule="atLeast"/>
          <w:jc w:val="center"/>
        </w:trPr>
        <w:tc>
          <w:tcPr>
            <w:tcW w:w="856" w:type="dxa"/>
            <w:vMerge w:val="restart"/>
            <w:tcBorders>
              <w:top w:val="nil"/>
              <w:left w:val="single" w:color="auto" w:sz="8" w:space="0"/>
              <w:right w:val="single" w:color="auto" w:sz="8" w:space="0"/>
            </w:tcBorders>
            <w:vAlign w:val="center"/>
          </w:tcPr>
          <w:p>
            <w:pPr>
              <w:widowControl/>
              <w:jc w:val="center"/>
              <w:rPr>
                <w:rFonts w:ascii="Times New Roman" w:hAnsi="Times New Roman" w:eastAsia="宋体" w:cs="Times New Roman"/>
                <w:b/>
                <w:bCs/>
                <w:color w:val="auto"/>
                <w:kern w:val="0"/>
                <w:sz w:val="22"/>
                <w:szCs w:val="24"/>
              </w:rPr>
            </w:pPr>
            <w:r>
              <w:rPr>
                <w:rFonts w:ascii="Times New Roman" w:hAnsi="Times New Roman" w:eastAsia="黑体" w:cs="Times New Roman"/>
                <w:color w:val="auto"/>
                <w:kern w:val="0"/>
                <w:sz w:val="22"/>
              </w:rPr>
              <w:t>民生福祉</w:t>
            </w:r>
          </w:p>
        </w:tc>
        <w:tc>
          <w:tcPr>
            <w:tcW w:w="555" w:type="dxa"/>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b/>
                <w:bCs/>
                <w:color w:val="auto"/>
                <w:kern w:val="0"/>
                <w:sz w:val="22"/>
                <w:szCs w:val="24"/>
              </w:rPr>
            </w:pPr>
            <w:r>
              <w:rPr>
                <w:rFonts w:ascii="Times New Roman" w:hAnsi="Times New Roman" w:eastAsia="宋体" w:cs="Times New Roman"/>
                <w:b/>
                <w:bCs/>
                <w:color w:val="auto"/>
                <w:kern w:val="0"/>
                <w:sz w:val="22"/>
                <w:szCs w:val="24"/>
              </w:rPr>
              <w:t>1</w:t>
            </w:r>
            <w:r>
              <w:rPr>
                <w:rFonts w:hint="eastAsia" w:ascii="Times New Roman" w:hAnsi="Times New Roman" w:eastAsia="宋体" w:cs="Times New Roman"/>
                <w:b/>
                <w:bCs/>
                <w:color w:val="auto"/>
                <w:kern w:val="0"/>
                <w:sz w:val="22"/>
                <w:szCs w:val="24"/>
                <w:lang w:val="en-US" w:eastAsia="zh-CN"/>
              </w:rPr>
              <w:t>0</w:t>
            </w:r>
          </w:p>
        </w:tc>
        <w:tc>
          <w:tcPr>
            <w:tcW w:w="2835" w:type="dxa"/>
            <w:tcBorders>
              <w:top w:val="nil"/>
              <w:left w:val="nil"/>
              <w:bottom w:val="single" w:color="auto" w:sz="8" w:space="0"/>
              <w:right w:val="single" w:color="auto" w:sz="8" w:space="0"/>
            </w:tcBorders>
            <w:vAlign w:val="center"/>
          </w:tcPr>
          <w:p>
            <w:pPr>
              <w:widowControl/>
              <w:rPr>
                <w:rFonts w:ascii="Times New Roman" w:hAnsi="Times New Roman" w:eastAsia="宋体" w:cs="Times New Roman"/>
                <w:color w:val="auto"/>
                <w:kern w:val="0"/>
                <w:sz w:val="22"/>
                <w:szCs w:val="24"/>
              </w:rPr>
            </w:pPr>
            <w:r>
              <w:rPr>
                <w:rFonts w:hint="eastAsia" w:ascii="Times New Roman" w:hAnsi="Times New Roman" w:eastAsia="宋体" w:cs="Times New Roman"/>
                <w:color w:val="auto"/>
                <w:kern w:val="0"/>
                <w:sz w:val="22"/>
              </w:rPr>
              <w:t>居民</w:t>
            </w:r>
            <w:r>
              <w:rPr>
                <w:rFonts w:ascii="Times New Roman" w:hAnsi="Times New Roman" w:eastAsia="宋体" w:cs="Times New Roman"/>
                <w:color w:val="auto"/>
                <w:kern w:val="0"/>
                <w:sz w:val="22"/>
              </w:rPr>
              <w:t>人均可支配收入</w:t>
            </w:r>
            <w:r>
              <w:rPr>
                <w:rFonts w:hint="eastAsia" w:ascii="Times New Roman" w:hAnsi="Times New Roman" w:eastAsia="宋体" w:cs="Times New Roman"/>
                <w:color w:val="auto"/>
                <w:kern w:val="0"/>
                <w:sz w:val="22"/>
                <w:lang w:val="en-US" w:eastAsia="zh-CN"/>
              </w:rPr>
              <w:t>增长</w:t>
            </w:r>
            <w:r>
              <w:rPr>
                <w:rFonts w:hint="eastAsia" w:ascii="Times New Roman" w:hAnsi="Times New Roman" w:eastAsia="宋体" w:cs="Times New Roman"/>
                <w:color w:val="auto"/>
                <w:kern w:val="0"/>
                <w:sz w:val="22"/>
              </w:rPr>
              <w:t>（</w:t>
            </w:r>
            <w:r>
              <w:rPr>
                <w:rFonts w:hint="eastAsia" w:ascii="Times New Roman" w:hAnsi="Times New Roman" w:eastAsia="宋体" w:cs="Times New Roman"/>
                <w:color w:val="auto"/>
                <w:kern w:val="0"/>
                <w:sz w:val="22"/>
                <w:lang w:val="en-US" w:eastAsia="zh-CN"/>
              </w:rPr>
              <w:t>%</w:t>
            </w:r>
            <w:r>
              <w:rPr>
                <w:rFonts w:hint="eastAsia" w:ascii="Times New Roman" w:hAnsi="Times New Roman" w:eastAsia="宋体" w:cs="Times New Roman"/>
                <w:color w:val="auto"/>
                <w:kern w:val="0"/>
                <w:sz w:val="22"/>
              </w:rPr>
              <w:t>）</w:t>
            </w:r>
          </w:p>
        </w:tc>
        <w:tc>
          <w:tcPr>
            <w:tcW w:w="1456" w:type="dxa"/>
            <w:tcBorders>
              <w:top w:val="single" w:color="auto" w:sz="8" w:space="0"/>
              <w:left w:val="nil"/>
              <w:bottom w:val="single" w:color="auto" w:sz="8" w:space="0"/>
              <w:right w:val="single" w:color="auto" w:sz="8" w:space="0"/>
            </w:tcBorders>
            <w:vAlign w:val="center"/>
          </w:tcPr>
          <w:p>
            <w:pPr>
              <w:widowControl/>
              <w:jc w:val="center"/>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2.6</w:t>
            </w:r>
          </w:p>
        </w:tc>
        <w:tc>
          <w:tcPr>
            <w:tcW w:w="1966" w:type="dxa"/>
            <w:gridSpan w:val="4"/>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宋体" w:cs="Times New Roman"/>
                <w:color w:val="auto"/>
                <w:kern w:val="0"/>
                <w:sz w:val="22"/>
                <w:szCs w:val="24"/>
              </w:rPr>
            </w:pPr>
            <w:r>
              <w:rPr>
                <w:rFonts w:hint="eastAsia" w:ascii="Times New Roman" w:hAnsi="Times New Roman" w:eastAsia="宋体" w:cs="Times New Roman"/>
                <w:color w:val="auto"/>
                <w:kern w:val="0"/>
                <w:sz w:val="22"/>
                <w:szCs w:val="24"/>
              </w:rPr>
              <w:t>与经济增长</w:t>
            </w:r>
            <w:r>
              <w:rPr>
                <w:rFonts w:hint="eastAsia" w:ascii="Times New Roman" w:hAnsi="Times New Roman" w:eastAsia="宋体" w:cs="Times New Roman"/>
                <w:color w:val="auto"/>
                <w:kern w:val="0"/>
                <w:sz w:val="22"/>
                <w:szCs w:val="24"/>
                <w:lang w:val="en-US" w:eastAsia="zh-CN"/>
              </w:rPr>
              <w:t>基本同步</w:t>
            </w:r>
          </w:p>
        </w:tc>
        <w:tc>
          <w:tcPr>
            <w:tcW w:w="897" w:type="dxa"/>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宋体" w:cs="Times New Roman"/>
                <w:color w:val="auto"/>
                <w:kern w:val="0"/>
                <w:sz w:val="22"/>
                <w:szCs w:val="24"/>
              </w:rPr>
            </w:pPr>
            <w:r>
              <w:rPr>
                <w:rFonts w:ascii="Times New Roman" w:hAnsi="Times New Roman" w:eastAsia="宋体" w:cs="Times New Roman"/>
                <w:color w:val="auto"/>
                <w:kern w:val="0"/>
                <w:sz w:val="22"/>
              </w:rPr>
              <w:t>预期性</w:t>
            </w:r>
          </w:p>
        </w:tc>
        <w:tc>
          <w:tcPr>
            <w:tcW w:w="2306" w:type="dxa"/>
            <w:tcBorders>
              <w:top w:val="single" w:color="auto" w:sz="8" w:space="0"/>
              <w:left w:val="nil"/>
              <w:bottom w:val="single" w:color="auto" w:sz="8" w:space="0"/>
              <w:right w:val="single" w:color="auto" w:sz="8" w:space="0"/>
            </w:tcBorders>
            <w:vAlign w:val="center"/>
          </w:tcPr>
          <w:p>
            <w:pPr>
              <w:widowControl/>
              <w:jc w:val="center"/>
              <w:rPr>
                <w:rFonts w:hint="eastAsia" w:ascii="Times New Roman" w:hAnsi="Times New Roman" w:eastAsia="宋体" w:cs="Times New Roman"/>
                <w:color w:val="auto"/>
                <w:kern w:val="0"/>
                <w:sz w:val="22"/>
                <w:lang w:val="en-US" w:eastAsia="zh-CN"/>
              </w:rPr>
            </w:pPr>
            <w:r>
              <w:rPr>
                <w:rFonts w:hint="eastAsia" w:ascii="Times New Roman" w:hAnsi="Times New Roman" w:eastAsia="宋体" w:cs="Times New Roman"/>
                <w:color w:val="auto"/>
                <w:kern w:val="0"/>
                <w:sz w:val="22"/>
                <w:szCs w:val="22"/>
                <w:lang w:val="en-US" w:eastAsia="zh-CN"/>
              </w:rPr>
              <w:t>区经发局</w:t>
            </w:r>
          </w:p>
        </w:tc>
      </w:tr>
      <w:tr>
        <w:tblPrEx>
          <w:tblCellMar>
            <w:top w:w="0" w:type="dxa"/>
            <w:left w:w="108" w:type="dxa"/>
            <w:bottom w:w="0" w:type="dxa"/>
            <w:right w:w="108" w:type="dxa"/>
          </w:tblCellMar>
        </w:tblPrEx>
        <w:trPr>
          <w:trHeight w:val="389" w:hRule="atLeast"/>
          <w:jc w:val="center"/>
        </w:trPr>
        <w:tc>
          <w:tcPr>
            <w:tcW w:w="856" w:type="dxa"/>
            <w:vMerge w:val="continue"/>
            <w:tcBorders>
              <w:left w:val="single" w:color="auto" w:sz="8" w:space="0"/>
              <w:right w:val="single" w:color="auto" w:sz="8" w:space="0"/>
            </w:tcBorders>
            <w:vAlign w:val="center"/>
          </w:tcPr>
          <w:p>
            <w:pPr>
              <w:widowControl/>
              <w:jc w:val="center"/>
              <w:rPr>
                <w:rFonts w:ascii="Times New Roman" w:hAnsi="Times New Roman" w:eastAsia="宋体" w:cs="Times New Roman"/>
                <w:b/>
                <w:bCs/>
                <w:color w:val="auto"/>
                <w:kern w:val="0"/>
                <w:sz w:val="22"/>
              </w:rPr>
            </w:pPr>
          </w:p>
        </w:tc>
        <w:tc>
          <w:tcPr>
            <w:tcW w:w="555" w:type="dxa"/>
            <w:tcBorders>
              <w:top w:val="single" w:color="auto" w:sz="8" w:space="0"/>
              <w:left w:val="single" w:color="auto" w:sz="8" w:space="0"/>
              <w:bottom w:val="single" w:color="auto" w:sz="4" w:space="0"/>
              <w:right w:val="single" w:color="auto" w:sz="8" w:space="0"/>
            </w:tcBorders>
            <w:vAlign w:val="center"/>
          </w:tcPr>
          <w:p>
            <w:pPr>
              <w:widowControl/>
              <w:jc w:val="center"/>
              <w:rPr>
                <w:rFonts w:ascii="Times New Roman" w:hAnsi="Times New Roman" w:eastAsia="宋体" w:cs="Times New Roman"/>
                <w:b/>
                <w:bCs/>
                <w:color w:val="auto"/>
                <w:kern w:val="0"/>
                <w:sz w:val="22"/>
                <w:szCs w:val="24"/>
              </w:rPr>
            </w:pPr>
            <w:r>
              <w:rPr>
                <w:rFonts w:ascii="Times New Roman" w:hAnsi="Times New Roman" w:eastAsia="宋体" w:cs="Times New Roman"/>
                <w:b/>
                <w:bCs/>
                <w:color w:val="auto"/>
                <w:kern w:val="0"/>
                <w:sz w:val="22"/>
              </w:rPr>
              <w:t>1</w:t>
            </w:r>
            <w:r>
              <w:rPr>
                <w:rFonts w:hint="eastAsia" w:ascii="Times New Roman" w:hAnsi="Times New Roman" w:eastAsia="宋体" w:cs="Times New Roman"/>
                <w:b/>
                <w:bCs/>
                <w:color w:val="auto"/>
                <w:kern w:val="0"/>
                <w:sz w:val="22"/>
                <w:lang w:val="en-US" w:eastAsia="zh-CN"/>
              </w:rPr>
              <w:t>1</w:t>
            </w:r>
          </w:p>
        </w:tc>
        <w:tc>
          <w:tcPr>
            <w:tcW w:w="2835" w:type="dxa"/>
            <w:tcBorders>
              <w:top w:val="single" w:color="auto" w:sz="8" w:space="0"/>
              <w:left w:val="nil"/>
              <w:bottom w:val="single" w:color="auto" w:sz="4" w:space="0"/>
              <w:right w:val="single" w:color="auto" w:sz="8" w:space="0"/>
            </w:tcBorders>
            <w:vAlign w:val="center"/>
          </w:tcPr>
          <w:p>
            <w:pPr>
              <w:widowControl/>
              <w:rPr>
                <w:rFonts w:ascii="Times New Roman" w:hAnsi="Times New Roman" w:eastAsia="宋体" w:cs="Times New Roman"/>
                <w:color w:val="auto"/>
                <w:kern w:val="0"/>
                <w:sz w:val="22"/>
                <w:szCs w:val="24"/>
              </w:rPr>
            </w:pPr>
            <w:r>
              <w:rPr>
                <w:rFonts w:hint="eastAsia" w:ascii="Times New Roman" w:hAnsi="Times New Roman" w:eastAsia="宋体" w:cs="Times New Roman"/>
                <w:color w:val="auto"/>
                <w:kern w:val="0"/>
                <w:sz w:val="22"/>
              </w:rPr>
              <w:t>城镇登记失业率（%）</w:t>
            </w:r>
          </w:p>
        </w:tc>
        <w:tc>
          <w:tcPr>
            <w:tcW w:w="1456" w:type="dxa"/>
            <w:tcBorders>
              <w:top w:val="single" w:color="auto" w:sz="8" w:space="0"/>
              <w:left w:val="nil"/>
              <w:bottom w:val="single" w:color="auto" w:sz="8" w:space="0"/>
              <w:right w:val="single" w:color="auto" w:sz="8" w:space="0"/>
            </w:tcBorders>
            <w:vAlign w:val="center"/>
          </w:tcPr>
          <w:p>
            <w:pPr>
              <w:widowControl/>
              <w:jc w:val="center"/>
              <w:rPr>
                <w:rFonts w:hint="default"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2.5</w:t>
            </w:r>
          </w:p>
        </w:tc>
        <w:tc>
          <w:tcPr>
            <w:tcW w:w="1069" w:type="dxa"/>
            <w:gridSpan w:val="2"/>
            <w:tcBorders>
              <w:top w:val="single" w:color="auto" w:sz="8" w:space="0"/>
              <w:left w:val="nil"/>
              <w:bottom w:val="single" w:color="auto" w:sz="8" w:space="0"/>
              <w:right w:val="single" w:color="auto" w:sz="8" w:space="0"/>
            </w:tcBorders>
            <w:vAlign w:val="center"/>
          </w:tcPr>
          <w:p>
            <w:pPr>
              <w:widowControl/>
              <w:jc w:val="center"/>
              <w:rPr>
                <w:rFonts w:hint="default"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2.5</w:t>
            </w:r>
          </w:p>
        </w:tc>
        <w:tc>
          <w:tcPr>
            <w:tcW w:w="897" w:type="dxa"/>
            <w:gridSpan w:val="2"/>
            <w:tcBorders>
              <w:top w:val="single" w:color="auto" w:sz="8" w:space="0"/>
              <w:left w:val="nil"/>
              <w:bottom w:val="single" w:color="auto" w:sz="8" w:space="0"/>
              <w:right w:val="single" w:color="auto" w:sz="8" w:space="0"/>
            </w:tcBorders>
            <w:vAlign w:val="center"/>
          </w:tcPr>
          <w:p>
            <w:pPr>
              <w:widowControl/>
              <w:jc w:val="center"/>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w:t>
            </w:r>
          </w:p>
        </w:tc>
        <w:tc>
          <w:tcPr>
            <w:tcW w:w="897" w:type="dxa"/>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宋体" w:cs="Times New Roman"/>
                <w:color w:val="auto"/>
                <w:kern w:val="0"/>
                <w:sz w:val="22"/>
                <w:szCs w:val="24"/>
              </w:rPr>
            </w:pPr>
            <w:r>
              <w:rPr>
                <w:rFonts w:ascii="Times New Roman" w:hAnsi="Times New Roman" w:eastAsia="宋体" w:cs="Times New Roman"/>
                <w:color w:val="auto"/>
                <w:kern w:val="0"/>
                <w:sz w:val="22"/>
              </w:rPr>
              <w:t>预期性</w:t>
            </w:r>
          </w:p>
        </w:tc>
        <w:tc>
          <w:tcPr>
            <w:tcW w:w="2306" w:type="dxa"/>
            <w:tcBorders>
              <w:top w:val="single" w:color="auto" w:sz="8" w:space="0"/>
              <w:left w:val="nil"/>
              <w:bottom w:val="single" w:color="auto" w:sz="8" w:space="0"/>
              <w:right w:val="single" w:color="auto" w:sz="8" w:space="0"/>
            </w:tcBorders>
            <w:vAlign w:val="center"/>
          </w:tcPr>
          <w:p>
            <w:pPr>
              <w:widowControl/>
              <w:jc w:val="center"/>
              <w:rPr>
                <w:rFonts w:hint="eastAsia" w:ascii="Times New Roman" w:hAnsi="Times New Roman" w:eastAsia="宋体" w:cs="Times New Roman"/>
                <w:color w:val="auto"/>
                <w:kern w:val="0"/>
                <w:sz w:val="22"/>
                <w:lang w:val="en-US" w:eastAsia="zh-CN"/>
              </w:rPr>
            </w:pPr>
            <w:r>
              <w:rPr>
                <w:rFonts w:hint="eastAsia" w:ascii="Times New Roman" w:hAnsi="Times New Roman" w:eastAsia="宋体" w:cs="Times New Roman"/>
                <w:color w:val="auto"/>
                <w:kern w:val="0"/>
                <w:sz w:val="22"/>
                <w:lang w:val="en-US" w:eastAsia="zh-CN"/>
              </w:rPr>
              <w:t>区人社局</w:t>
            </w:r>
          </w:p>
        </w:tc>
      </w:tr>
      <w:tr>
        <w:tblPrEx>
          <w:tblCellMar>
            <w:top w:w="0" w:type="dxa"/>
            <w:left w:w="108" w:type="dxa"/>
            <w:bottom w:w="0" w:type="dxa"/>
            <w:right w:w="108" w:type="dxa"/>
          </w:tblCellMar>
        </w:tblPrEx>
        <w:trPr>
          <w:trHeight w:val="389" w:hRule="atLeast"/>
          <w:jc w:val="center"/>
        </w:trPr>
        <w:tc>
          <w:tcPr>
            <w:tcW w:w="856" w:type="dxa"/>
            <w:vMerge w:val="continue"/>
            <w:tcBorders>
              <w:left w:val="single" w:color="auto" w:sz="8" w:space="0"/>
              <w:right w:val="single" w:color="auto" w:sz="8" w:space="0"/>
            </w:tcBorders>
            <w:vAlign w:val="center"/>
          </w:tcPr>
          <w:p>
            <w:pPr>
              <w:widowControl/>
              <w:jc w:val="center"/>
              <w:rPr>
                <w:rFonts w:ascii="Times New Roman" w:hAnsi="Times New Roman" w:eastAsia="宋体" w:cs="Times New Roman"/>
                <w:b/>
                <w:bCs/>
                <w:color w:val="000000"/>
                <w:kern w:val="0"/>
                <w:sz w:val="22"/>
              </w:rPr>
            </w:pPr>
          </w:p>
        </w:tc>
        <w:tc>
          <w:tcPr>
            <w:tcW w:w="555" w:type="dxa"/>
            <w:tcBorders>
              <w:top w:val="single" w:color="auto" w:sz="8" w:space="0"/>
              <w:left w:val="single" w:color="auto" w:sz="8" w:space="0"/>
              <w:bottom w:val="single" w:color="auto" w:sz="4" w:space="0"/>
              <w:right w:val="single" w:color="auto" w:sz="8" w:space="0"/>
            </w:tcBorders>
            <w:vAlign w:val="center"/>
          </w:tcPr>
          <w:p>
            <w:pPr>
              <w:widowControl/>
              <w:jc w:val="center"/>
              <w:rPr>
                <w:rFonts w:ascii="Times New Roman" w:hAnsi="Times New Roman" w:eastAsia="宋体" w:cs="Times New Roman"/>
                <w:b/>
                <w:bCs/>
                <w:color w:val="auto"/>
                <w:kern w:val="0"/>
                <w:sz w:val="22"/>
              </w:rPr>
            </w:pPr>
            <w:r>
              <w:rPr>
                <w:rFonts w:hint="eastAsia" w:ascii="仿宋_GB2312"/>
                <w:b/>
                <w:bCs/>
                <w:color w:val="auto"/>
                <w:kern w:val="0"/>
                <w:sz w:val="22"/>
                <w:szCs w:val="22"/>
                <w:lang w:val="en-US" w:eastAsia="zh-CN"/>
              </w:rPr>
              <w:t>12</w:t>
            </w:r>
          </w:p>
        </w:tc>
        <w:tc>
          <w:tcPr>
            <w:tcW w:w="2835" w:type="dxa"/>
            <w:tcBorders>
              <w:top w:val="single" w:color="auto" w:sz="8" w:space="0"/>
              <w:left w:val="nil"/>
              <w:bottom w:val="single" w:color="auto" w:sz="4" w:space="0"/>
              <w:right w:val="single" w:color="auto" w:sz="8" w:space="0"/>
            </w:tcBorders>
            <w:vAlign w:val="center"/>
          </w:tcPr>
          <w:p>
            <w:pPr>
              <w:widowControl/>
              <w:rPr>
                <w:rFonts w:hint="eastAsia" w:ascii="宋体" w:hAnsi="宋体" w:eastAsia="宋体" w:cs="宋体"/>
                <w:color w:val="auto"/>
                <w:kern w:val="0"/>
                <w:sz w:val="22"/>
              </w:rPr>
            </w:pPr>
            <w:r>
              <w:rPr>
                <w:rFonts w:hint="eastAsia" w:ascii="宋体" w:hAnsi="宋体" w:eastAsia="宋体" w:cs="宋体"/>
                <w:color w:val="auto"/>
                <w:kern w:val="0"/>
                <w:sz w:val="22"/>
                <w:szCs w:val="22"/>
                <w:lang w:val="en-US" w:eastAsia="zh-CN"/>
              </w:rPr>
              <w:t>城镇职工基本养老保险参保人数（人）</w:t>
            </w:r>
          </w:p>
        </w:tc>
        <w:tc>
          <w:tcPr>
            <w:tcW w:w="1456" w:type="dxa"/>
            <w:tcBorders>
              <w:top w:val="single" w:color="auto" w:sz="8" w:space="0"/>
              <w:left w:val="nil"/>
              <w:bottom w:val="single" w:color="auto" w:sz="8" w:space="0"/>
              <w:right w:val="single" w:color="auto" w:sz="8" w:space="0"/>
            </w:tcBorders>
            <w:vAlign w:val="center"/>
          </w:tcPr>
          <w:p>
            <w:pPr>
              <w:widowControl/>
              <w:jc w:val="center"/>
              <w:rPr>
                <w:rFonts w:hint="default" w:ascii="宋体" w:hAnsi="宋体" w:eastAsia="宋体" w:cs="宋体"/>
                <w:color w:val="auto"/>
                <w:kern w:val="0"/>
                <w:sz w:val="22"/>
                <w:szCs w:val="24"/>
                <w:lang w:val="en-US" w:eastAsia="zh-CN"/>
              </w:rPr>
            </w:pPr>
            <w:r>
              <w:rPr>
                <w:rFonts w:hint="eastAsia" w:ascii="宋体" w:hAnsi="宋体" w:eastAsia="宋体" w:cs="宋体"/>
                <w:color w:val="auto"/>
                <w:kern w:val="0"/>
                <w:sz w:val="22"/>
                <w:szCs w:val="24"/>
                <w:lang w:val="en-US" w:eastAsia="zh-CN"/>
              </w:rPr>
              <w:t>8801</w:t>
            </w:r>
          </w:p>
        </w:tc>
        <w:tc>
          <w:tcPr>
            <w:tcW w:w="1069" w:type="dxa"/>
            <w:gridSpan w:val="2"/>
            <w:tcBorders>
              <w:top w:val="single" w:color="auto" w:sz="8" w:space="0"/>
              <w:left w:val="nil"/>
              <w:bottom w:val="single" w:color="auto" w:sz="8" w:space="0"/>
              <w:right w:val="single" w:color="auto" w:sz="8" w:space="0"/>
            </w:tcBorders>
            <w:vAlign w:val="center"/>
          </w:tcPr>
          <w:p>
            <w:pPr>
              <w:widowControl/>
              <w:jc w:val="center"/>
              <w:rPr>
                <w:rFonts w:hint="eastAsia" w:ascii="宋体" w:hAnsi="宋体" w:eastAsia="宋体" w:cs="宋体"/>
                <w:color w:val="auto"/>
                <w:kern w:val="0"/>
                <w:sz w:val="22"/>
                <w:szCs w:val="24"/>
                <w:lang w:val="en-US" w:eastAsia="zh-CN"/>
              </w:rPr>
            </w:pPr>
            <w:r>
              <w:rPr>
                <w:rFonts w:hint="eastAsia" w:ascii="宋体" w:hAnsi="宋体" w:eastAsia="宋体" w:cs="宋体"/>
                <w:color w:val="auto"/>
                <w:kern w:val="0"/>
                <w:sz w:val="22"/>
                <w:szCs w:val="24"/>
                <w:lang w:val="en-US" w:eastAsia="zh-CN"/>
              </w:rPr>
              <w:t>8801</w:t>
            </w:r>
          </w:p>
        </w:tc>
        <w:tc>
          <w:tcPr>
            <w:tcW w:w="897" w:type="dxa"/>
            <w:gridSpan w:val="2"/>
            <w:tcBorders>
              <w:top w:val="single" w:color="auto" w:sz="8" w:space="0"/>
              <w:left w:val="nil"/>
              <w:bottom w:val="single" w:color="auto" w:sz="8" w:space="0"/>
              <w:right w:val="single" w:color="auto" w:sz="8" w:space="0"/>
            </w:tcBorders>
            <w:vAlign w:val="center"/>
          </w:tcPr>
          <w:p>
            <w:pPr>
              <w:widowControl/>
              <w:jc w:val="center"/>
              <w:rPr>
                <w:rFonts w:hint="eastAsia" w:ascii="宋体" w:hAnsi="宋体" w:eastAsia="宋体" w:cs="宋体"/>
                <w:color w:val="auto"/>
                <w:kern w:val="0"/>
                <w:sz w:val="22"/>
                <w:szCs w:val="24"/>
                <w:lang w:val="en-US" w:eastAsia="zh-CN"/>
              </w:rPr>
            </w:pPr>
            <w:r>
              <w:rPr>
                <w:rFonts w:hint="eastAsia" w:ascii="宋体" w:hAnsi="宋体" w:eastAsia="宋体" w:cs="宋体"/>
                <w:color w:val="auto"/>
                <w:kern w:val="0"/>
                <w:sz w:val="22"/>
                <w:szCs w:val="24"/>
                <w:lang w:val="en-US" w:eastAsia="zh-CN"/>
              </w:rPr>
              <w:t>0</w:t>
            </w:r>
          </w:p>
        </w:tc>
        <w:tc>
          <w:tcPr>
            <w:tcW w:w="897" w:type="dxa"/>
            <w:tcBorders>
              <w:top w:val="single" w:color="auto" w:sz="8" w:space="0"/>
              <w:left w:val="nil"/>
              <w:bottom w:val="single" w:color="auto" w:sz="8" w:space="0"/>
              <w:right w:val="single" w:color="auto" w:sz="8" w:space="0"/>
            </w:tcBorders>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szCs w:val="22"/>
                <w:lang w:val="en-US" w:eastAsia="zh-CN"/>
              </w:rPr>
              <w:t>预期性</w:t>
            </w:r>
          </w:p>
        </w:tc>
        <w:tc>
          <w:tcPr>
            <w:tcW w:w="2306" w:type="dxa"/>
            <w:tcBorders>
              <w:top w:val="single" w:color="auto" w:sz="8" w:space="0"/>
              <w:left w:val="nil"/>
              <w:bottom w:val="single" w:color="auto" w:sz="8" w:space="0"/>
              <w:right w:val="single" w:color="auto" w:sz="8" w:space="0"/>
            </w:tcBorders>
            <w:vAlign w:val="center"/>
          </w:tcPr>
          <w:p>
            <w:pPr>
              <w:widowControl/>
              <w:jc w:val="center"/>
              <w:rPr>
                <w:rFonts w:hint="eastAsia" w:ascii="宋体" w:hAnsi="宋体" w:eastAsia="宋体" w:cs="宋体"/>
                <w:color w:val="auto"/>
                <w:kern w:val="0"/>
                <w:sz w:val="22"/>
                <w:lang w:val="en-US" w:eastAsia="zh-CN"/>
              </w:rPr>
            </w:pPr>
            <w:r>
              <w:rPr>
                <w:rFonts w:hint="eastAsia" w:ascii="Times New Roman" w:hAnsi="Times New Roman" w:eastAsia="宋体" w:cs="Times New Roman"/>
                <w:color w:val="auto"/>
                <w:kern w:val="0"/>
                <w:sz w:val="22"/>
                <w:lang w:val="en-US" w:eastAsia="zh-CN"/>
              </w:rPr>
              <w:t>区</w:t>
            </w:r>
            <w:r>
              <w:rPr>
                <w:rFonts w:hint="eastAsia" w:ascii="宋体" w:hAnsi="宋体" w:eastAsia="宋体" w:cs="宋体"/>
                <w:color w:val="auto"/>
                <w:kern w:val="0"/>
                <w:sz w:val="22"/>
                <w:lang w:val="en-US" w:eastAsia="zh-CN"/>
              </w:rPr>
              <w:t>人社局</w:t>
            </w:r>
          </w:p>
        </w:tc>
      </w:tr>
      <w:tr>
        <w:tblPrEx>
          <w:tblCellMar>
            <w:top w:w="0" w:type="dxa"/>
            <w:left w:w="108" w:type="dxa"/>
            <w:bottom w:w="0" w:type="dxa"/>
            <w:right w:w="108" w:type="dxa"/>
          </w:tblCellMar>
        </w:tblPrEx>
        <w:trPr>
          <w:trHeight w:val="389" w:hRule="atLeast"/>
          <w:jc w:val="center"/>
        </w:trPr>
        <w:tc>
          <w:tcPr>
            <w:tcW w:w="856" w:type="dxa"/>
            <w:vMerge w:val="continue"/>
            <w:tcBorders>
              <w:left w:val="single" w:color="auto" w:sz="8" w:space="0"/>
              <w:right w:val="single" w:color="auto" w:sz="8" w:space="0"/>
            </w:tcBorders>
            <w:vAlign w:val="center"/>
          </w:tcPr>
          <w:p>
            <w:pPr>
              <w:widowControl/>
              <w:jc w:val="center"/>
              <w:rPr>
                <w:rFonts w:ascii="Times New Roman" w:hAnsi="Times New Roman" w:eastAsia="宋体" w:cs="Times New Roman"/>
                <w:b/>
                <w:bCs/>
                <w:color w:val="000000"/>
                <w:kern w:val="0"/>
                <w:sz w:val="22"/>
              </w:rPr>
            </w:pPr>
          </w:p>
        </w:tc>
        <w:tc>
          <w:tcPr>
            <w:tcW w:w="555" w:type="dxa"/>
            <w:tcBorders>
              <w:top w:val="single" w:color="auto" w:sz="8" w:space="0"/>
              <w:left w:val="single" w:color="auto" w:sz="8" w:space="0"/>
              <w:bottom w:val="single" w:color="auto" w:sz="4" w:space="0"/>
              <w:right w:val="single" w:color="auto" w:sz="8" w:space="0"/>
            </w:tcBorders>
            <w:vAlign w:val="center"/>
          </w:tcPr>
          <w:p>
            <w:pPr>
              <w:widowControl/>
              <w:jc w:val="center"/>
              <w:rPr>
                <w:rFonts w:ascii="Times New Roman" w:hAnsi="Times New Roman" w:eastAsia="宋体" w:cs="Times New Roman"/>
                <w:b/>
                <w:bCs/>
                <w:color w:val="000000"/>
                <w:kern w:val="0"/>
                <w:sz w:val="22"/>
              </w:rPr>
            </w:pPr>
            <w:r>
              <w:rPr>
                <w:rFonts w:hint="eastAsia" w:ascii="Times New Roman" w:hAnsi="Times New Roman" w:eastAsia="宋体" w:cs="Times New Roman"/>
                <w:b/>
                <w:bCs/>
                <w:color w:val="000000"/>
                <w:kern w:val="0"/>
                <w:sz w:val="22"/>
                <w:lang w:val="en-US" w:eastAsia="zh-CN"/>
              </w:rPr>
              <w:t>13</w:t>
            </w:r>
          </w:p>
        </w:tc>
        <w:tc>
          <w:tcPr>
            <w:tcW w:w="2835" w:type="dxa"/>
            <w:tcBorders>
              <w:top w:val="single" w:color="auto" w:sz="8" w:space="0"/>
              <w:left w:val="nil"/>
              <w:bottom w:val="single" w:color="auto" w:sz="4" w:space="0"/>
              <w:right w:val="single" w:color="auto" w:sz="8" w:space="0"/>
            </w:tcBorders>
            <w:vAlign w:val="center"/>
          </w:tcPr>
          <w:p>
            <w:pPr>
              <w:widowControl/>
              <w:rPr>
                <w:rFonts w:hint="eastAsia" w:ascii="Times New Roman" w:hAnsi="Times New Roman" w:eastAsia="宋体" w:cs="Times New Roman"/>
                <w:color w:val="FF0000"/>
                <w:kern w:val="0"/>
                <w:sz w:val="22"/>
              </w:rPr>
            </w:pPr>
            <w:r>
              <w:rPr>
                <w:rFonts w:hint="eastAsia" w:ascii="Times New Roman" w:hAnsi="Times New Roman" w:eastAsia="宋体" w:cs="Times New Roman"/>
                <w:color w:val="000000"/>
                <w:kern w:val="0"/>
                <w:sz w:val="22"/>
              </w:rPr>
              <w:t>城乡居民养老保险参保人数（人）</w:t>
            </w:r>
          </w:p>
        </w:tc>
        <w:tc>
          <w:tcPr>
            <w:tcW w:w="1456" w:type="dxa"/>
            <w:tcBorders>
              <w:top w:val="single" w:color="auto" w:sz="8" w:space="0"/>
              <w:left w:val="nil"/>
              <w:bottom w:val="single" w:color="auto" w:sz="8" w:space="0"/>
              <w:right w:val="single" w:color="auto" w:sz="8" w:space="0"/>
            </w:tcBorders>
            <w:vAlign w:val="center"/>
          </w:tcPr>
          <w:p>
            <w:pPr>
              <w:widowControl/>
              <w:jc w:val="center"/>
              <w:rPr>
                <w:rFonts w:hint="default" w:ascii="Times New Roman" w:hAnsi="Times New Roman" w:eastAsia="宋体" w:cs="Times New Roman"/>
                <w:color w:val="000000"/>
                <w:kern w:val="0"/>
                <w:sz w:val="22"/>
                <w:szCs w:val="24"/>
                <w:lang w:val="en-US" w:eastAsia="zh-CN"/>
              </w:rPr>
            </w:pPr>
            <w:r>
              <w:rPr>
                <w:rFonts w:hint="eastAsia" w:ascii="Times New Roman" w:hAnsi="Times New Roman" w:eastAsia="宋体" w:cs="Times New Roman"/>
                <w:color w:val="000000"/>
                <w:kern w:val="0"/>
                <w:sz w:val="22"/>
                <w:szCs w:val="24"/>
                <w:lang w:val="en-US" w:eastAsia="zh-CN"/>
              </w:rPr>
              <w:t>51683</w:t>
            </w:r>
          </w:p>
        </w:tc>
        <w:tc>
          <w:tcPr>
            <w:tcW w:w="1069" w:type="dxa"/>
            <w:gridSpan w:val="2"/>
            <w:tcBorders>
              <w:top w:val="single" w:color="auto" w:sz="8" w:space="0"/>
              <w:left w:val="nil"/>
              <w:bottom w:val="single" w:color="auto" w:sz="8" w:space="0"/>
              <w:right w:val="single" w:color="auto" w:sz="8" w:space="0"/>
            </w:tcBorders>
            <w:vAlign w:val="center"/>
          </w:tcPr>
          <w:p>
            <w:pPr>
              <w:widowControl/>
              <w:jc w:val="center"/>
              <w:rPr>
                <w:rFonts w:hint="eastAsia" w:ascii="Times New Roman" w:hAnsi="Times New Roman" w:eastAsia="宋体" w:cs="Times New Roman"/>
                <w:color w:val="000000"/>
                <w:kern w:val="0"/>
                <w:sz w:val="22"/>
                <w:szCs w:val="24"/>
                <w:lang w:val="en-US" w:eastAsia="zh-CN"/>
              </w:rPr>
            </w:pPr>
            <w:r>
              <w:rPr>
                <w:rFonts w:hint="eastAsia" w:ascii="Times New Roman" w:hAnsi="Times New Roman" w:eastAsia="宋体" w:cs="Times New Roman"/>
                <w:color w:val="000000"/>
                <w:kern w:val="0"/>
                <w:sz w:val="22"/>
                <w:szCs w:val="24"/>
                <w:lang w:val="en-US" w:eastAsia="zh-CN"/>
              </w:rPr>
              <w:t>51683</w:t>
            </w:r>
          </w:p>
        </w:tc>
        <w:tc>
          <w:tcPr>
            <w:tcW w:w="897" w:type="dxa"/>
            <w:gridSpan w:val="2"/>
            <w:tcBorders>
              <w:top w:val="single" w:color="auto" w:sz="8" w:space="0"/>
              <w:left w:val="nil"/>
              <w:bottom w:val="single" w:color="auto" w:sz="8" w:space="0"/>
              <w:right w:val="single" w:color="auto" w:sz="8" w:space="0"/>
            </w:tcBorders>
            <w:vAlign w:val="center"/>
          </w:tcPr>
          <w:p>
            <w:pPr>
              <w:widowControl/>
              <w:jc w:val="center"/>
              <w:rPr>
                <w:rFonts w:hint="eastAsia" w:ascii="Times New Roman" w:hAnsi="Times New Roman" w:eastAsia="宋体" w:cs="Times New Roman"/>
                <w:color w:val="000000"/>
                <w:kern w:val="0"/>
                <w:sz w:val="22"/>
                <w:szCs w:val="24"/>
                <w:lang w:val="en-US" w:eastAsia="zh-CN"/>
              </w:rPr>
            </w:pPr>
            <w:r>
              <w:rPr>
                <w:rFonts w:hint="eastAsia" w:ascii="Times New Roman" w:hAnsi="Times New Roman" w:eastAsia="宋体" w:cs="Times New Roman"/>
                <w:color w:val="000000"/>
                <w:kern w:val="0"/>
                <w:sz w:val="22"/>
                <w:szCs w:val="24"/>
                <w:lang w:val="en-US" w:eastAsia="zh-CN"/>
              </w:rPr>
              <w:t>0</w:t>
            </w:r>
          </w:p>
        </w:tc>
        <w:tc>
          <w:tcPr>
            <w:tcW w:w="897" w:type="dxa"/>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lang w:val="en-US" w:eastAsia="zh-CN"/>
              </w:rPr>
              <w:t>预期性</w:t>
            </w:r>
          </w:p>
        </w:tc>
        <w:tc>
          <w:tcPr>
            <w:tcW w:w="2306" w:type="dxa"/>
            <w:tcBorders>
              <w:top w:val="single" w:color="auto" w:sz="8" w:space="0"/>
              <w:left w:val="nil"/>
              <w:bottom w:val="single" w:color="auto" w:sz="8" w:space="0"/>
              <w:right w:val="single" w:color="auto" w:sz="8" w:space="0"/>
            </w:tcBorders>
            <w:vAlign w:val="center"/>
          </w:tcPr>
          <w:p>
            <w:pPr>
              <w:widowControl/>
              <w:jc w:val="center"/>
              <w:rPr>
                <w:rFonts w:hint="eastAsia" w:ascii="Times New Roman" w:hAnsi="Times New Roman" w:eastAsia="宋体" w:cs="Times New Roman"/>
                <w:color w:val="000000"/>
                <w:kern w:val="0"/>
                <w:sz w:val="22"/>
                <w:lang w:val="en-US" w:eastAsia="zh-CN"/>
              </w:rPr>
            </w:pPr>
            <w:r>
              <w:rPr>
                <w:rFonts w:hint="eastAsia" w:ascii="Times New Roman" w:hAnsi="Times New Roman" w:eastAsia="宋体" w:cs="Times New Roman"/>
                <w:color w:val="auto"/>
                <w:kern w:val="0"/>
                <w:sz w:val="22"/>
                <w:lang w:val="en-US" w:eastAsia="zh-CN"/>
              </w:rPr>
              <w:t>区</w:t>
            </w:r>
            <w:r>
              <w:rPr>
                <w:rFonts w:hint="eastAsia" w:ascii="Times New Roman" w:hAnsi="Times New Roman" w:eastAsia="宋体" w:cs="Times New Roman"/>
                <w:color w:val="000000"/>
                <w:kern w:val="0"/>
                <w:sz w:val="22"/>
                <w:lang w:val="en-US" w:eastAsia="zh-CN"/>
              </w:rPr>
              <w:t>人社局</w:t>
            </w:r>
          </w:p>
        </w:tc>
      </w:tr>
      <w:tr>
        <w:tblPrEx>
          <w:tblCellMar>
            <w:top w:w="0" w:type="dxa"/>
            <w:left w:w="108" w:type="dxa"/>
            <w:bottom w:w="0" w:type="dxa"/>
            <w:right w:w="108" w:type="dxa"/>
          </w:tblCellMar>
        </w:tblPrEx>
        <w:trPr>
          <w:trHeight w:val="389" w:hRule="atLeast"/>
          <w:jc w:val="center"/>
        </w:trPr>
        <w:tc>
          <w:tcPr>
            <w:tcW w:w="856" w:type="dxa"/>
            <w:vMerge w:val="continue"/>
            <w:tcBorders>
              <w:left w:val="single" w:color="auto" w:sz="8" w:space="0"/>
              <w:right w:val="single" w:color="auto" w:sz="8" w:space="0"/>
            </w:tcBorders>
            <w:vAlign w:val="center"/>
          </w:tcPr>
          <w:p>
            <w:pPr>
              <w:widowControl/>
              <w:jc w:val="center"/>
              <w:rPr>
                <w:rFonts w:ascii="Times New Roman" w:hAnsi="Times New Roman" w:eastAsia="宋体" w:cs="Times New Roman"/>
                <w:b/>
                <w:bCs/>
                <w:color w:val="000000"/>
                <w:kern w:val="0"/>
                <w:sz w:val="22"/>
              </w:rPr>
            </w:pPr>
          </w:p>
        </w:tc>
        <w:tc>
          <w:tcPr>
            <w:tcW w:w="55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b/>
                <w:bCs/>
                <w:color w:val="000000"/>
                <w:kern w:val="0"/>
                <w:sz w:val="22"/>
                <w:szCs w:val="24"/>
              </w:rPr>
            </w:pPr>
            <w:r>
              <w:rPr>
                <w:rFonts w:ascii="Times New Roman" w:hAnsi="Times New Roman" w:eastAsia="宋体" w:cs="Times New Roman"/>
                <w:b/>
                <w:bCs/>
                <w:color w:val="000000"/>
                <w:kern w:val="0"/>
                <w:sz w:val="22"/>
              </w:rPr>
              <w:t>1</w:t>
            </w:r>
            <w:r>
              <w:rPr>
                <w:rFonts w:hint="eastAsia" w:ascii="Times New Roman" w:hAnsi="Times New Roman" w:eastAsia="宋体" w:cs="Times New Roman"/>
                <w:b/>
                <w:bCs/>
                <w:color w:val="000000"/>
                <w:kern w:val="0"/>
                <w:sz w:val="22"/>
                <w:lang w:val="en-US" w:eastAsia="zh-CN"/>
              </w:rPr>
              <w:t>4</w:t>
            </w:r>
          </w:p>
        </w:tc>
        <w:tc>
          <w:tcPr>
            <w:tcW w:w="2835" w:type="dxa"/>
            <w:tcBorders>
              <w:top w:val="single" w:color="auto" w:sz="8" w:space="0"/>
              <w:left w:val="nil"/>
              <w:bottom w:val="single" w:color="auto" w:sz="8" w:space="0"/>
              <w:right w:val="single" w:color="auto" w:sz="8" w:space="0"/>
            </w:tcBorders>
            <w:vAlign w:val="center"/>
          </w:tcPr>
          <w:p>
            <w:pPr>
              <w:widowControl/>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lang w:val="en-US" w:eastAsia="zh-CN"/>
              </w:rPr>
              <w:t>劳动年龄人口平均受教育年限（年）</w:t>
            </w:r>
          </w:p>
        </w:tc>
        <w:tc>
          <w:tcPr>
            <w:tcW w:w="1456" w:type="dxa"/>
            <w:tcBorders>
              <w:top w:val="single" w:color="auto" w:sz="8" w:space="0"/>
              <w:left w:val="nil"/>
              <w:bottom w:val="single" w:color="auto" w:sz="8" w:space="0"/>
              <w:right w:val="single" w:color="auto" w:sz="8" w:space="0"/>
            </w:tcBorders>
            <w:vAlign w:val="center"/>
          </w:tcPr>
          <w:p>
            <w:pPr>
              <w:widowControl/>
              <w:jc w:val="center"/>
              <w:rPr>
                <w:rFonts w:hint="eastAsia" w:ascii="Times New Roman" w:hAnsi="Times New Roman" w:eastAsia="宋体" w:cs="Times New Roman"/>
                <w:color w:val="000000"/>
                <w:kern w:val="0"/>
                <w:sz w:val="22"/>
                <w:szCs w:val="24"/>
                <w:lang w:val="en-US" w:eastAsia="zh-CN"/>
              </w:rPr>
            </w:pPr>
            <w:r>
              <w:rPr>
                <w:rFonts w:hint="eastAsia" w:ascii="Times New Roman" w:hAnsi="Times New Roman" w:eastAsia="宋体" w:cs="Times New Roman"/>
                <w:color w:val="000000"/>
                <w:kern w:val="0"/>
                <w:sz w:val="22"/>
                <w:szCs w:val="24"/>
                <w:lang w:val="en-US" w:eastAsia="zh-CN"/>
              </w:rPr>
              <w:t>—</w:t>
            </w:r>
          </w:p>
        </w:tc>
        <w:tc>
          <w:tcPr>
            <w:tcW w:w="1966" w:type="dxa"/>
            <w:gridSpan w:val="4"/>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宋体" w:cs="Times New Roman"/>
                <w:color w:val="000000"/>
                <w:kern w:val="0"/>
                <w:sz w:val="22"/>
                <w:szCs w:val="24"/>
              </w:rPr>
            </w:pPr>
            <w:r>
              <w:rPr>
                <w:rFonts w:hint="eastAsia" w:ascii="Times New Roman" w:hAnsi="Times New Roman" w:eastAsia="宋体" w:cs="Times New Roman"/>
                <w:color w:val="000000"/>
                <w:kern w:val="0"/>
                <w:sz w:val="22"/>
                <w:szCs w:val="24"/>
                <w:lang w:val="en-US" w:eastAsia="zh-CN"/>
              </w:rPr>
              <w:t>按市核定目标执行</w:t>
            </w:r>
          </w:p>
        </w:tc>
        <w:tc>
          <w:tcPr>
            <w:tcW w:w="897" w:type="dxa"/>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宋体" w:cs="Times New Roman"/>
                <w:color w:val="000000"/>
                <w:kern w:val="0"/>
                <w:sz w:val="22"/>
                <w:szCs w:val="24"/>
              </w:rPr>
            </w:pPr>
            <w:r>
              <w:rPr>
                <w:rFonts w:hint="eastAsia" w:ascii="Times New Roman" w:hAnsi="Times New Roman" w:eastAsia="宋体" w:cs="Times New Roman"/>
                <w:color w:val="000000"/>
                <w:kern w:val="0"/>
                <w:sz w:val="22"/>
                <w:lang w:val="en-US" w:eastAsia="zh-CN"/>
              </w:rPr>
              <w:t>约束</w:t>
            </w:r>
            <w:r>
              <w:rPr>
                <w:rFonts w:ascii="Times New Roman" w:hAnsi="Times New Roman" w:eastAsia="宋体" w:cs="Times New Roman"/>
                <w:color w:val="000000"/>
                <w:kern w:val="0"/>
                <w:sz w:val="22"/>
              </w:rPr>
              <w:t>性</w:t>
            </w:r>
          </w:p>
        </w:tc>
        <w:tc>
          <w:tcPr>
            <w:tcW w:w="2306" w:type="dxa"/>
            <w:tcBorders>
              <w:top w:val="single" w:color="auto" w:sz="8" w:space="0"/>
              <w:left w:val="nil"/>
              <w:bottom w:val="single" w:color="auto" w:sz="8" w:space="0"/>
              <w:right w:val="single" w:color="auto" w:sz="8" w:space="0"/>
            </w:tcBorders>
            <w:vAlign w:val="center"/>
          </w:tcPr>
          <w:p>
            <w:pPr>
              <w:widowControl/>
              <w:jc w:val="center"/>
              <w:rPr>
                <w:rFonts w:hint="eastAsia" w:ascii="Times New Roman" w:hAnsi="Times New Roman" w:eastAsia="宋体" w:cs="Times New Roman"/>
                <w:color w:val="000000"/>
                <w:kern w:val="0"/>
                <w:sz w:val="22"/>
                <w:lang w:val="en-US" w:eastAsia="zh-CN"/>
              </w:rPr>
            </w:pPr>
            <w:r>
              <w:rPr>
                <w:rFonts w:hint="eastAsia" w:ascii="Times New Roman" w:hAnsi="Times New Roman" w:eastAsia="宋体" w:cs="Times New Roman"/>
                <w:color w:val="auto"/>
                <w:kern w:val="0"/>
                <w:sz w:val="22"/>
                <w:lang w:val="en-US" w:eastAsia="zh-CN"/>
              </w:rPr>
              <w:t>区</w:t>
            </w:r>
            <w:r>
              <w:rPr>
                <w:rFonts w:hint="eastAsia" w:ascii="Times New Roman" w:hAnsi="Times New Roman" w:eastAsia="宋体" w:cs="Times New Roman"/>
                <w:color w:val="000000"/>
                <w:kern w:val="0"/>
                <w:sz w:val="22"/>
                <w:lang w:val="en-US" w:eastAsia="zh-CN"/>
              </w:rPr>
              <w:t>教育局</w:t>
            </w:r>
          </w:p>
        </w:tc>
      </w:tr>
      <w:tr>
        <w:tblPrEx>
          <w:tblCellMar>
            <w:top w:w="0" w:type="dxa"/>
            <w:left w:w="108" w:type="dxa"/>
            <w:bottom w:w="0" w:type="dxa"/>
            <w:right w:w="108" w:type="dxa"/>
          </w:tblCellMar>
        </w:tblPrEx>
        <w:trPr>
          <w:trHeight w:val="389" w:hRule="atLeast"/>
          <w:jc w:val="center"/>
        </w:trPr>
        <w:tc>
          <w:tcPr>
            <w:tcW w:w="856" w:type="dxa"/>
            <w:vMerge w:val="continue"/>
            <w:tcBorders>
              <w:left w:val="single" w:color="auto" w:sz="8" w:space="0"/>
              <w:right w:val="single" w:color="auto" w:sz="8" w:space="0"/>
            </w:tcBorders>
            <w:vAlign w:val="center"/>
          </w:tcPr>
          <w:p>
            <w:pPr>
              <w:widowControl/>
              <w:jc w:val="center"/>
              <w:rPr>
                <w:rFonts w:ascii="Times New Roman" w:hAnsi="Times New Roman" w:eastAsia="宋体" w:cs="Times New Roman"/>
                <w:b/>
                <w:bCs/>
                <w:color w:val="000000"/>
                <w:kern w:val="0"/>
                <w:sz w:val="22"/>
              </w:rPr>
            </w:pPr>
          </w:p>
        </w:tc>
        <w:tc>
          <w:tcPr>
            <w:tcW w:w="55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b/>
                <w:bCs/>
                <w:color w:val="000000"/>
                <w:kern w:val="0"/>
                <w:sz w:val="22"/>
                <w:szCs w:val="24"/>
              </w:rPr>
            </w:pPr>
            <w:r>
              <w:rPr>
                <w:rFonts w:ascii="Times New Roman" w:hAnsi="Times New Roman" w:eastAsia="宋体" w:cs="Times New Roman"/>
                <w:b/>
                <w:bCs/>
                <w:color w:val="000000"/>
                <w:kern w:val="0"/>
                <w:sz w:val="22"/>
              </w:rPr>
              <w:t>1</w:t>
            </w:r>
            <w:r>
              <w:rPr>
                <w:rFonts w:hint="eastAsia" w:ascii="Times New Roman" w:hAnsi="Times New Roman" w:eastAsia="宋体" w:cs="Times New Roman"/>
                <w:b/>
                <w:bCs/>
                <w:color w:val="000000"/>
                <w:kern w:val="0"/>
                <w:sz w:val="22"/>
                <w:lang w:val="en-US" w:eastAsia="zh-CN"/>
              </w:rPr>
              <w:t>5</w:t>
            </w:r>
          </w:p>
        </w:tc>
        <w:tc>
          <w:tcPr>
            <w:tcW w:w="2835" w:type="dxa"/>
            <w:tcBorders>
              <w:top w:val="single" w:color="auto" w:sz="8" w:space="0"/>
              <w:left w:val="nil"/>
              <w:bottom w:val="single" w:color="auto" w:sz="8" w:space="0"/>
              <w:right w:val="single" w:color="auto" w:sz="8" w:space="0"/>
            </w:tcBorders>
            <w:vAlign w:val="center"/>
          </w:tcPr>
          <w:p>
            <w:pPr>
              <w:widowControl/>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每千人口</w:t>
            </w:r>
            <w:r>
              <w:rPr>
                <w:rFonts w:hint="eastAsia" w:ascii="Times New Roman" w:hAnsi="Times New Roman" w:eastAsia="宋体" w:cs="Times New Roman"/>
                <w:color w:val="000000"/>
                <w:kern w:val="0"/>
                <w:sz w:val="22"/>
                <w:lang w:val="en-US" w:eastAsia="zh-CN"/>
              </w:rPr>
              <w:t>拥有</w:t>
            </w:r>
            <w:r>
              <w:rPr>
                <w:rFonts w:hint="eastAsia" w:ascii="Times New Roman" w:hAnsi="Times New Roman" w:eastAsia="宋体" w:cs="Times New Roman"/>
                <w:color w:val="000000"/>
                <w:kern w:val="0"/>
                <w:sz w:val="22"/>
              </w:rPr>
              <w:t>执业</w:t>
            </w:r>
            <w:r>
              <w:rPr>
                <w:rFonts w:hint="eastAsia" w:ascii="Times New Roman" w:hAnsi="Times New Roman" w:eastAsia="宋体" w:cs="Times New Roman"/>
                <w:color w:val="000000"/>
                <w:kern w:val="0"/>
                <w:sz w:val="22"/>
                <w:lang w:eastAsia="zh-CN"/>
              </w:rPr>
              <w:t>（</w:t>
            </w:r>
            <w:r>
              <w:rPr>
                <w:rFonts w:hint="eastAsia" w:ascii="Times New Roman" w:hAnsi="Times New Roman" w:eastAsia="宋体" w:cs="Times New Roman"/>
                <w:color w:val="000000"/>
                <w:kern w:val="0"/>
                <w:sz w:val="22"/>
                <w:lang w:val="en-US" w:eastAsia="zh-CN"/>
              </w:rPr>
              <w:t>助理</w:t>
            </w:r>
            <w:r>
              <w:rPr>
                <w:rFonts w:hint="eastAsia" w:ascii="Times New Roman" w:hAnsi="Times New Roman" w:eastAsia="宋体" w:cs="Times New Roman"/>
                <w:color w:val="000000"/>
                <w:kern w:val="0"/>
                <w:sz w:val="22"/>
                <w:lang w:eastAsia="zh-CN"/>
              </w:rPr>
              <w:t>）</w:t>
            </w:r>
            <w:r>
              <w:rPr>
                <w:rFonts w:hint="eastAsia" w:ascii="Times New Roman" w:hAnsi="Times New Roman" w:eastAsia="宋体" w:cs="Times New Roman"/>
                <w:color w:val="000000"/>
                <w:kern w:val="0"/>
                <w:sz w:val="22"/>
                <w:lang w:val="en-US" w:eastAsia="zh-CN"/>
              </w:rPr>
              <w:t>医师</w:t>
            </w:r>
            <w:r>
              <w:rPr>
                <w:rFonts w:hint="eastAsia" w:ascii="Times New Roman" w:hAnsi="Times New Roman" w:eastAsia="宋体" w:cs="Times New Roman"/>
                <w:color w:val="000000"/>
                <w:kern w:val="0"/>
                <w:sz w:val="22"/>
              </w:rPr>
              <w:t>数（人）</w:t>
            </w:r>
          </w:p>
        </w:tc>
        <w:tc>
          <w:tcPr>
            <w:tcW w:w="1456" w:type="dxa"/>
            <w:tcBorders>
              <w:top w:val="single" w:color="auto" w:sz="8" w:space="0"/>
              <w:left w:val="nil"/>
              <w:bottom w:val="single" w:color="auto" w:sz="8" w:space="0"/>
              <w:right w:val="single" w:color="auto" w:sz="8" w:space="0"/>
            </w:tcBorders>
            <w:vAlign w:val="center"/>
          </w:tcPr>
          <w:p>
            <w:pPr>
              <w:widowControl/>
              <w:jc w:val="center"/>
              <w:rPr>
                <w:rFonts w:hint="default" w:ascii="Times New Roman" w:hAnsi="Times New Roman" w:eastAsia="宋体" w:cs="Times New Roman"/>
                <w:color w:val="000000"/>
                <w:kern w:val="0"/>
                <w:sz w:val="22"/>
                <w:szCs w:val="24"/>
                <w:lang w:val="en-US" w:eastAsia="zh-CN"/>
              </w:rPr>
            </w:pPr>
            <w:r>
              <w:rPr>
                <w:rFonts w:hint="eastAsia" w:ascii="Times New Roman" w:hAnsi="Times New Roman" w:eastAsia="宋体" w:cs="Times New Roman"/>
                <w:color w:val="000000"/>
                <w:kern w:val="0"/>
                <w:sz w:val="22"/>
                <w:szCs w:val="24"/>
                <w:lang w:val="en-US" w:eastAsia="zh-CN"/>
              </w:rPr>
              <w:t>1.68</w:t>
            </w:r>
          </w:p>
        </w:tc>
        <w:tc>
          <w:tcPr>
            <w:tcW w:w="974" w:type="dxa"/>
            <w:tcBorders>
              <w:top w:val="single" w:color="auto" w:sz="8" w:space="0"/>
              <w:left w:val="nil"/>
              <w:bottom w:val="single" w:color="auto" w:sz="8" w:space="0"/>
              <w:right w:val="single" w:color="auto" w:sz="8" w:space="0"/>
            </w:tcBorders>
            <w:vAlign w:val="center"/>
          </w:tcPr>
          <w:p>
            <w:pPr>
              <w:widowControl/>
              <w:jc w:val="center"/>
              <w:rPr>
                <w:rFonts w:hint="eastAsia" w:ascii="Times New Roman" w:hAnsi="Times New Roman" w:eastAsia="宋体" w:cs="Times New Roman"/>
                <w:color w:val="000000"/>
                <w:kern w:val="0"/>
                <w:sz w:val="22"/>
                <w:szCs w:val="24"/>
                <w:lang w:val="en-US" w:eastAsia="zh-CN"/>
              </w:rPr>
            </w:pPr>
            <w:r>
              <w:rPr>
                <w:rFonts w:hint="eastAsia" w:ascii="Times New Roman" w:hAnsi="Times New Roman" w:eastAsia="宋体" w:cs="Times New Roman"/>
                <w:color w:val="000000"/>
                <w:kern w:val="0"/>
                <w:sz w:val="22"/>
                <w:szCs w:val="24"/>
                <w:lang w:val="en-US" w:eastAsia="zh-CN"/>
              </w:rPr>
              <w:t>1.8</w:t>
            </w:r>
          </w:p>
        </w:tc>
        <w:tc>
          <w:tcPr>
            <w:tcW w:w="992" w:type="dxa"/>
            <w:gridSpan w:val="3"/>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宋体" w:cs="Times New Roman"/>
                <w:color w:val="000000"/>
                <w:kern w:val="0"/>
                <w:sz w:val="22"/>
                <w:szCs w:val="24"/>
              </w:rPr>
            </w:pPr>
          </w:p>
        </w:tc>
        <w:tc>
          <w:tcPr>
            <w:tcW w:w="897" w:type="dxa"/>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宋体" w:cs="Times New Roman"/>
                <w:color w:val="000000"/>
                <w:kern w:val="0"/>
                <w:sz w:val="22"/>
                <w:szCs w:val="24"/>
              </w:rPr>
            </w:pPr>
            <w:r>
              <w:rPr>
                <w:rFonts w:hint="eastAsia" w:ascii="Times New Roman" w:hAnsi="Times New Roman" w:eastAsia="宋体" w:cs="Times New Roman"/>
                <w:color w:val="000000"/>
                <w:kern w:val="0"/>
                <w:sz w:val="22"/>
                <w:lang w:val="en-US" w:eastAsia="zh-CN"/>
              </w:rPr>
              <w:t>预期</w:t>
            </w:r>
            <w:r>
              <w:rPr>
                <w:rFonts w:ascii="Times New Roman" w:hAnsi="Times New Roman" w:eastAsia="宋体" w:cs="Times New Roman"/>
                <w:color w:val="000000"/>
                <w:kern w:val="0"/>
                <w:sz w:val="22"/>
              </w:rPr>
              <w:t>性</w:t>
            </w:r>
          </w:p>
        </w:tc>
        <w:tc>
          <w:tcPr>
            <w:tcW w:w="2306" w:type="dxa"/>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auto"/>
                <w:kern w:val="0"/>
                <w:sz w:val="22"/>
                <w:lang w:val="en-US" w:eastAsia="zh-CN"/>
              </w:rPr>
              <w:t>区</w:t>
            </w:r>
            <w:r>
              <w:rPr>
                <w:rFonts w:hint="eastAsia" w:ascii="Times New Roman" w:hAnsi="Times New Roman" w:eastAsia="宋体" w:cs="Times New Roman"/>
                <w:color w:val="000000"/>
                <w:kern w:val="0"/>
                <w:sz w:val="22"/>
                <w:lang w:val="en-US" w:eastAsia="zh-CN"/>
              </w:rPr>
              <w:t>社会事务局</w:t>
            </w:r>
          </w:p>
        </w:tc>
      </w:tr>
      <w:tr>
        <w:tblPrEx>
          <w:tblCellMar>
            <w:top w:w="0" w:type="dxa"/>
            <w:left w:w="108" w:type="dxa"/>
            <w:bottom w:w="0" w:type="dxa"/>
            <w:right w:w="108" w:type="dxa"/>
          </w:tblCellMar>
        </w:tblPrEx>
        <w:trPr>
          <w:trHeight w:val="389" w:hRule="atLeast"/>
          <w:jc w:val="center"/>
        </w:trPr>
        <w:tc>
          <w:tcPr>
            <w:tcW w:w="856" w:type="dxa"/>
            <w:vMerge w:val="continue"/>
            <w:tcBorders>
              <w:left w:val="single" w:color="auto" w:sz="8" w:space="0"/>
              <w:right w:val="single" w:color="auto" w:sz="8" w:space="0"/>
            </w:tcBorders>
            <w:vAlign w:val="center"/>
          </w:tcPr>
          <w:p>
            <w:pPr>
              <w:widowControl/>
              <w:jc w:val="center"/>
              <w:rPr>
                <w:rFonts w:ascii="Times New Roman" w:hAnsi="Times New Roman" w:eastAsia="宋体" w:cs="Times New Roman"/>
                <w:b/>
                <w:bCs/>
                <w:color w:val="000000"/>
                <w:kern w:val="0"/>
                <w:sz w:val="22"/>
              </w:rPr>
            </w:pPr>
          </w:p>
        </w:tc>
        <w:tc>
          <w:tcPr>
            <w:tcW w:w="555" w:type="dxa"/>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b/>
                <w:bCs/>
                <w:color w:val="000000"/>
                <w:kern w:val="0"/>
                <w:sz w:val="22"/>
                <w:szCs w:val="24"/>
              </w:rPr>
            </w:pPr>
            <w:r>
              <w:rPr>
                <w:rFonts w:ascii="Times New Roman" w:hAnsi="Times New Roman" w:eastAsia="宋体" w:cs="Times New Roman"/>
                <w:b/>
                <w:bCs/>
                <w:color w:val="000000"/>
                <w:kern w:val="0"/>
                <w:sz w:val="22"/>
              </w:rPr>
              <w:t>1</w:t>
            </w:r>
            <w:r>
              <w:rPr>
                <w:rFonts w:hint="eastAsia" w:ascii="Times New Roman" w:hAnsi="Times New Roman" w:eastAsia="宋体" w:cs="Times New Roman"/>
                <w:b/>
                <w:bCs/>
                <w:color w:val="000000"/>
                <w:kern w:val="0"/>
                <w:sz w:val="22"/>
                <w:lang w:val="en-US" w:eastAsia="zh-CN"/>
              </w:rPr>
              <w:t>6</w:t>
            </w:r>
          </w:p>
        </w:tc>
        <w:tc>
          <w:tcPr>
            <w:tcW w:w="2835" w:type="dxa"/>
            <w:tcBorders>
              <w:top w:val="single" w:color="auto" w:sz="8" w:space="0"/>
              <w:left w:val="nil"/>
              <w:bottom w:val="single" w:color="auto" w:sz="8" w:space="0"/>
              <w:right w:val="single" w:color="000000" w:sz="8" w:space="0"/>
            </w:tcBorders>
            <w:vAlign w:val="center"/>
          </w:tcPr>
          <w:p>
            <w:pPr>
              <w:widowControl/>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学前教育毛入园率（%）</w:t>
            </w:r>
          </w:p>
        </w:tc>
        <w:tc>
          <w:tcPr>
            <w:tcW w:w="1456" w:type="dxa"/>
            <w:tcBorders>
              <w:top w:val="nil"/>
              <w:left w:val="nil"/>
              <w:bottom w:val="single" w:color="auto" w:sz="8" w:space="0"/>
              <w:right w:val="single" w:color="auto" w:sz="8" w:space="0"/>
            </w:tcBorders>
            <w:vAlign w:val="center"/>
          </w:tcPr>
          <w:p>
            <w:pPr>
              <w:widowControl/>
              <w:jc w:val="center"/>
              <w:rPr>
                <w:rFonts w:hint="default" w:ascii="Times New Roman" w:hAnsi="Times New Roman" w:eastAsia="宋体" w:cs="Times New Roman"/>
                <w:color w:val="000000"/>
                <w:kern w:val="0"/>
                <w:sz w:val="22"/>
                <w:szCs w:val="24"/>
                <w:lang w:val="en-US" w:eastAsia="zh-CN"/>
              </w:rPr>
            </w:pPr>
            <w:r>
              <w:rPr>
                <w:rFonts w:hint="eastAsia" w:ascii="Times New Roman" w:hAnsi="Times New Roman" w:eastAsia="宋体" w:cs="Times New Roman"/>
                <w:color w:val="000000"/>
                <w:kern w:val="0"/>
                <w:sz w:val="22"/>
                <w:szCs w:val="24"/>
                <w:lang w:val="en-US" w:eastAsia="zh-CN"/>
              </w:rPr>
              <w:t>94.31</w:t>
            </w:r>
          </w:p>
        </w:tc>
        <w:tc>
          <w:tcPr>
            <w:tcW w:w="974" w:type="dxa"/>
            <w:tcBorders>
              <w:top w:val="nil"/>
              <w:left w:val="nil"/>
              <w:bottom w:val="single" w:color="auto" w:sz="8" w:space="0"/>
              <w:right w:val="single" w:color="auto" w:sz="8" w:space="0"/>
            </w:tcBorders>
            <w:vAlign w:val="center"/>
          </w:tcPr>
          <w:p>
            <w:pPr>
              <w:widowControl/>
              <w:jc w:val="center"/>
              <w:rPr>
                <w:rFonts w:hint="default" w:ascii="Times New Roman" w:hAnsi="Times New Roman" w:eastAsia="宋体" w:cs="Times New Roman"/>
                <w:color w:val="000000"/>
                <w:kern w:val="0"/>
                <w:sz w:val="22"/>
                <w:szCs w:val="24"/>
                <w:lang w:val="en-US" w:eastAsia="zh-CN"/>
              </w:rPr>
            </w:pPr>
            <w:r>
              <w:rPr>
                <w:rFonts w:hint="eastAsia" w:ascii="Times New Roman" w:hAnsi="Times New Roman" w:eastAsia="宋体" w:cs="Times New Roman"/>
                <w:color w:val="000000"/>
                <w:kern w:val="0"/>
                <w:sz w:val="22"/>
                <w:szCs w:val="24"/>
                <w:lang w:val="en-US" w:eastAsia="zh-CN"/>
              </w:rPr>
              <w:t>95.1</w:t>
            </w:r>
          </w:p>
        </w:tc>
        <w:tc>
          <w:tcPr>
            <w:tcW w:w="992" w:type="dxa"/>
            <w:gridSpan w:val="3"/>
            <w:tcBorders>
              <w:top w:val="nil"/>
              <w:left w:val="nil"/>
              <w:bottom w:val="single" w:color="auto" w:sz="8" w:space="0"/>
              <w:right w:val="single" w:color="auto" w:sz="8" w:space="0"/>
            </w:tcBorders>
            <w:vAlign w:val="center"/>
          </w:tcPr>
          <w:p>
            <w:pPr>
              <w:widowControl/>
              <w:jc w:val="center"/>
              <w:rPr>
                <w:rFonts w:hint="default" w:ascii="Times New Roman" w:hAnsi="Times New Roman" w:eastAsia="宋体" w:cs="Times New Roman"/>
                <w:color w:val="000000"/>
                <w:kern w:val="0"/>
                <w:sz w:val="22"/>
                <w:szCs w:val="24"/>
                <w:lang w:val="en-US" w:eastAsia="zh-CN"/>
              </w:rPr>
            </w:pPr>
            <w:r>
              <w:rPr>
                <w:rFonts w:hint="eastAsia" w:ascii="Times New Roman" w:hAnsi="Times New Roman" w:eastAsia="宋体" w:cs="Times New Roman"/>
                <w:color w:val="000000"/>
                <w:kern w:val="0"/>
                <w:sz w:val="22"/>
                <w:szCs w:val="24"/>
                <w:lang w:val="en-US" w:eastAsia="zh-CN"/>
              </w:rPr>
              <w:t>0.15</w:t>
            </w:r>
          </w:p>
        </w:tc>
        <w:tc>
          <w:tcPr>
            <w:tcW w:w="897" w:type="dxa"/>
            <w:tcBorders>
              <w:top w:val="nil"/>
              <w:left w:val="nil"/>
              <w:bottom w:val="single" w:color="auto" w:sz="8" w:space="0"/>
              <w:right w:val="single" w:color="auto" w:sz="8" w:space="0"/>
            </w:tcBorders>
          </w:tcPr>
          <w:p>
            <w:pPr>
              <w:widowControl/>
              <w:jc w:val="center"/>
              <w:rPr>
                <w:rFonts w:ascii="Times New Roman" w:hAnsi="Times New Roman" w:eastAsia="宋体" w:cs="Times New Roman"/>
                <w:color w:val="000000"/>
                <w:kern w:val="0"/>
                <w:sz w:val="22"/>
                <w:szCs w:val="24"/>
              </w:rPr>
            </w:pPr>
            <w:r>
              <w:rPr>
                <w:rFonts w:hint="eastAsia" w:ascii="Times New Roman" w:hAnsi="Times New Roman" w:eastAsia="宋体" w:cs="Times New Roman"/>
                <w:szCs w:val="24"/>
              </w:rPr>
              <w:t>预期性</w:t>
            </w:r>
          </w:p>
        </w:tc>
        <w:tc>
          <w:tcPr>
            <w:tcW w:w="2306" w:type="dxa"/>
            <w:tcBorders>
              <w:top w:val="nil"/>
              <w:left w:val="nil"/>
              <w:bottom w:val="single" w:color="auto" w:sz="8" w:space="0"/>
              <w:right w:val="single" w:color="auto" w:sz="8" w:space="0"/>
            </w:tcBorders>
          </w:tcPr>
          <w:p>
            <w:pPr>
              <w:widowControl/>
              <w:jc w:val="center"/>
              <w:rPr>
                <w:rFonts w:hint="eastAsia" w:ascii="Times New Roman" w:hAnsi="Times New Roman" w:eastAsia="宋体" w:cs="Times New Roman"/>
                <w:szCs w:val="24"/>
                <w:lang w:val="en-US" w:eastAsia="zh-CN"/>
              </w:rPr>
            </w:pPr>
            <w:r>
              <w:rPr>
                <w:rFonts w:hint="eastAsia" w:ascii="Times New Roman" w:hAnsi="Times New Roman" w:eastAsia="宋体" w:cs="Times New Roman"/>
                <w:color w:val="auto"/>
                <w:kern w:val="0"/>
                <w:sz w:val="22"/>
                <w:lang w:val="en-US" w:eastAsia="zh-CN"/>
              </w:rPr>
              <w:t>区</w:t>
            </w:r>
            <w:r>
              <w:rPr>
                <w:rFonts w:hint="eastAsia" w:ascii="Times New Roman" w:hAnsi="Times New Roman" w:eastAsia="宋体" w:cs="Times New Roman"/>
                <w:szCs w:val="24"/>
                <w:lang w:val="en-US" w:eastAsia="zh-CN"/>
              </w:rPr>
              <w:t>教育局</w:t>
            </w:r>
          </w:p>
        </w:tc>
      </w:tr>
      <w:tr>
        <w:tblPrEx>
          <w:tblCellMar>
            <w:top w:w="0" w:type="dxa"/>
            <w:left w:w="108" w:type="dxa"/>
            <w:bottom w:w="0" w:type="dxa"/>
            <w:right w:w="108" w:type="dxa"/>
          </w:tblCellMar>
        </w:tblPrEx>
        <w:trPr>
          <w:trHeight w:val="389" w:hRule="atLeast"/>
          <w:jc w:val="center"/>
        </w:trPr>
        <w:tc>
          <w:tcPr>
            <w:tcW w:w="856" w:type="dxa"/>
            <w:vMerge w:val="continue"/>
            <w:tcBorders>
              <w:left w:val="single" w:color="auto" w:sz="8" w:space="0"/>
              <w:bottom w:val="single" w:color="auto" w:sz="4" w:space="0"/>
              <w:right w:val="single" w:color="auto" w:sz="8" w:space="0"/>
            </w:tcBorders>
            <w:vAlign w:val="center"/>
          </w:tcPr>
          <w:p>
            <w:pPr>
              <w:widowControl/>
              <w:jc w:val="center"/>
              <w:rPr>
                <w:rFonts w:ascii="Times New Roman" w:hAnsi="Times New Roman" w:eastAsia="宋体" w:cs="Times New Roman"/>
                <w:b/>
                <w:bCs/>
                <w:color w:val="000000"/>
                <w:kern w:val="0"/>
                <w:sz w:val="22"/>
              </w:rPr>
            </w:pPr>
          </w:p>
        </w:tc>
        <w:tc>
          <w:tcPr>
            <w:tcW w:w="555" w:type="dxa"/>
            <w:tcBorders>
              <w:top w:val="nil"/>
              <w:left w:val="single" w:color="auto" w:sz="8" w:space="0"/>
              <w:bottom w:val="single" w:color="auto" w:sz="4" w:space="0"/>
              <w:right w:val="single" w:color="auto" w:sz="8" w:space="0"/>
            </w:tcBorders>
            <w:vAlign w:val="center"/>
          </w:tcPr>
          <w:p>
            <w:pPr>
              <w:widowControl/>
              <w:jc w:val="center"/>
              <w:rPr>
                <w:rFonts w:ascii="Times New Roman" w:hAnsi="Times New Roman" w:eastAsia="宋体" w:cs="Times New Roman"/>
                <w:b/>
                <w:bCs/>
                <w:color w:val="000000"/>
                <w:kern w:val="0"/>
                <w:sz w:val="22"/>
                <w:szCs w:val="24"/>
              </w:rPr>
            </w:pPr>
            <w:r>
              <w:rPr>
                <w:rFonts w:ascii="Times New Roman" w:hAnsi="Times New Roman" w:eastAsia="宋体" w:cs="Times New Roman"/>
                <w:b/>
                <w:bCs/>
                <w:color w:val="000000"/>
                <w:kern w:val="0"/>
                <w:sz w:val="22"/>
              </w:rPr>
              <w:t>1</w:t>
            </w:r>
            <w:r>
              <w:rPr>
                <w:rFonts w:hint="eastAsia" w:ascii="Times New Roman" w:hAnsi="Times New Roman" w:eastAsia="宋体" w:cs="Times New Roman"/>
                <w:b/>
                <w:bCs/>
                <w:color w:val="000000"/>
                <w:kern w:val="0"/>
                <w:sz w:val="22"/>
                <w:lang w:val="en-US" w:eastAsia="zh-CN"/>
              </w:rPr>
              <w:t>7</w:t>
            </w:r>
          </w:p>
        </w:tc>
        <w:tc>
          <w:tcPr>
            <w:tcW w:w="2835" w:type="dxa"/>
            <w:tcBorders>
              <w:top w:val="single" w:color="auto" w:sz="8" w:space="0"/>
              <w:left w:val="nil"/>
              <w:bottom w:val="single" w:color="auto" w:sz="4" w:space="0"/>
              <w:right w:val="single" w:color="000000" w:sz="8" w:space="0"/>
            </w:tcBorders>
            <w:vAlign w:val="center"/>
          </w:tcPr>
          <w:p>
            <w:pPr>
              <w:widowControl/>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lang w:val="en-US" w:eastAsia="zh-CN"/>
              </w:rPr>
              <w:t>养老机构</w:t>
            </w:r>
            <w:r>
              <w:rPr>
                <w:rFonts w:hint="eastAsia" w:ascii="Times New Roman" w:hAnsi="Times New Roman" w:eastAsia="宋体" w:cs="Times New Roman"/>
                <w:color w:val="000000"/>
                <w:kern w:val="0"/>
                <w:sz w:val="22"/>
              </w:rPr>
              <w:t>护理型床位</w:t>
            </w:r>
            <w:r>
              <w:rPr>
                <w:rFonts w:hint="eastAsia" w:ascii="Times New Roman" w:hAnsi="Times New Roman" w:eastAsia="宋体" w:cs="Times New Roman"/>
                <w:color w:val="000000"/>
                <w:kern w:val="0"/>
                <w:sz w:val="22"/>
                <w:lang w:val="en-US" w:eastAsia="zh-CN"/>
              </w:rPr>
              <w:t>占比（%）</w:t>
            </w:r>
          </w:p>
        </w:tc>
        <w:tc>
          <w:tcPr>
            <w:tcW w:w="1456" w:type="dxa"/>
            <w:tcBorders>
              <w:top w:val="nil"/>
              <w:left w:val="nil"/>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 w:val="22"/>
                <w:szCs w:val="24"/>
                <w:lang w:val="en-US" w:eastAsia="zh-CN"/>
              </w:rPr>
            </w:pPr>
            <w:r>
              <w:rPr>
                <w:rFonts w:hint="eastAsia" w:ascii="Times New Roman" w:hAnsi="Times New Roman" w:eastAsia="宋体" w:cs="Times New Roman"/>
                <w:color w:val="000000"/>
                <w:kern w:val="0"/>
                <w:sz w:val="22"/>
                <w:szCs w:val="24"/>
                <w:lang w:val="en-US" w:eastAsia="zh-CN"/>
              </w:rPr>
              <w:t>35.2</w:t>
            </w:r>
          </w:p>
        </w:tc>
        <w:tc>
          <w:tcPr>
            <w:tcW w:w="974" w:type="dxa"/>
            <w:tcBorders>
              <w:top w:val="nil"/>
              <w:left w:val="nil"/>
              <w:bottom w:val="single" w:color="auto" w:sz="4" w:space="0"/>
              <w:right w:val="single" w:color="auto" w:sz="8" w:space="0"/>
            </w:tcBorders>
            <w:vAlign w:val="center"/>
          </w:tcPr>
          <w:p>
            <w:pPr>
              <w:widowControl/>
              <w:jc w:val="center"/>
              <w:rPr>
                <w:rFonts w:hint="eastAsia" w:ascii="Times New Roman" w:hAnsi="Times New Roman" w:eastAsia="宋体" w:cs="Times New Roman"/>
                <w:color w:val="000000"/>
                <w:kern w:val="0"/>
                <w:sz w:val="22"/>
                <w:szCs w:val="24"/>
                <w:lang w:val="en-US" w:eastAsia="zh-CN"/>
              </w:rPr>
            </w:pPr>
            <w:r>
              <w:rPr>
                <w:rFonts w:hint="eastAsia" w:ascii="Times New Roman" w:hAnsi="Times New Roman" w:eastAsia="宋体" w:cs="Times New Roman"/>
                <w:color w:val="000000"/>
                <w:kern w:val="0"/>
                <w:sz w:val="22"/>
                <w:szCs w:val="24"/>
                <w:lang w:val="en-US" w:eastAsia="zh-CN"/>
              </w:rPr>
              <w:t>50</w:t>
            </w:r>
          </w:p>
        </w:tc>
        <w:tc>
          <w:tcPr>
            <w:tcW w:w="992" w:type="dxa"/>
            <w:gridSpan w:val="3"/>
            <w:tcBorders>
              <w:top w:val="nil"/>
              <w:left w:val="nil"/>
              <w:bottom w:val="single" w:color="auto" w:sz="4" w:space="0"/>
              <w:right w:val="single" w:color="auto" w:sz="8" w:space="0"/>
            </w:tcBorders>
            <w:vAlign w:val="center"/>
          </w:tcPr>
          <w:p>
            <w:pPr>
              <w:widowControl/>
              <w:jc w:val="center"/>
              <w:rPr>
                <w:rFonts w:hint="eastAsia" w:ascii="Times New Roman" w:hAnsi="Times New Roman" w:eastAsia="宋体" w:cs="Times New Roman"/>
                <w:color w:val="000000"/>
                <w:kern w:val="0"/>
                <w:sz w:val="22"/>
                <w:szCs w:val="24"/>
                <w:lang w:val="en-US" w:eastAsia="zh-CN"/>
              </w:rPr>
            </w:pPr>
            <w:r>
              <w:rPr>
                <w:rFonts w:hint="eastAsia" w:ascii="Times New Roman" w:hAnsi="Times New Roman" w:eastAsia="宋体" w:cs="Times New Roman"/>
                <w:color w:val="000000"/>
                <w:kern w:val="0"/>
                <w:sz w:val="22"/>
                <w:szCs w:val="24"/>
                <w:lang w:val="en-US" w:eastAsia="zh-CN"/>
              </w:rPr>
              <w:t>0.54</w:t>
            </w:r>
          </w:p>
        </w:tc>
        <w:tc>
          <w:tcPr>
            <w:tcW w:w="897" w:type="dxa"/>
            <w:tcBorders>
              <w:top w:val="nil"/>
              <w:left w:val="nil"/>
              <w:bottom w:val="single" w:color="auto" w:sz="4" w:space="0"/>
              <w:right w:val="single" w:color="auto" w:sz="8" w:space="0"/>
            </w:tcBorders>
          </w:tcPr>
          <w:p>
            <w:pPr>
              <w:widowControl/>
              <w:jc w:val="center"/>
              <w:rPr>
                <w:rFonts w:ascii="Times New Roman" w:hAnsi="Times New Roman" w:eastAsia="宋体" w:cs="Times New Roman"/>
                <w:color w:val="000000"/>
                <w:kern w:val="0"/>
                <w:sz w:val="22"/>
                <w:szCs w:val="24"/>
              </w:rPr>
            </w:pPr>
            <w:r>
              <w:rPr>
                <w:rFonts w:hint="eastAsia" w:ascii="Times New Roman" w:hAnsi="Times New Roman" w:eastAsia="宋体" w:cs="Times New Roman"/>
                <w:szCs w:val="24"/>
              </w:rPr>
              <w:t>预期性</w:t>
            </w:r>
          </w:p>
        </w:tc>
        <w:tc>
          <w:tcPr>
            <w:tcW w:w="2306" w:type="dxa"/>
            <w:tcBorders>
              <w:top w:val="nil"/>
              <w:left w:val="nil"/>
              <w:bottom w:val="single" w:color="auto" w:sz="4" w:space="0"/>
              <w:right w:val="single" w:color="auto" w:sz="8" w:space="0"/>
            </w:tcBorders>
          </w:tcPr>
          <w:p>
            <w:pPr>
              <w:widowControl/>
              <w:jc w:val="center"/>
              <w:rPr>
                <w:rFonts w:hint="eastAsia" w:ascii="Times New Roman" w:hAnsi="Times New Roman" w:eastAsia="宋体" w:cs="Times New Roman"/>
                <w:szCs w:val="24"/>
              </w:rPr>
            </w:pPr>
            <w:r>
              <w:rPr>
                <w:rFonts w:hint="eastAsia" w:ascii="Times New Roman" w:hAnsi="Times New Roman" w:eastAsia="宋体" w:cs="Times New Roman"/>
                <w:color w:val="auto"/>
                <w:kern w:val="0"/>
                <w:sz w:val="22"/>
                <w:lang w:val="en-US" w:eastAsia="zh-CN"/>
              </w:rPr>
              <w:t>区</w:t>
            </w:r>
            <w:r>
              <w:rPr>
                <w:rFonts w:hint="eastAsia" w:ascii="Times New Roman" w:hAnsi="Times New Roman" w:eastAsia="宋体" w:cs="Times New Roman"/>
                <w:color w:val="000000"/>
                <w:kern w:val="0"/>
                <w:sz w:val="22"/>
                <w:lang w:val="en-US" w:eastAsia="zh-CN"/>
              </w:rPr>
              <w:t>社会事务局</w:t>
            </w:r>
          </w:p>
        </w:tc>
      </w:tr>
      <w:tr>
        <w:tblPrEx>
          <w:tblCellMar>
            <w:top w:w="0" w:type="dxa"/>
            <w:left w:w="108" w:type="dxa"/>
            <w:bottom w:w="0" w:type="dxa"/>
            <w:right w:w="108" w:type="dxa"/>
          </w:tblCellMar>
        </w:tblPrEx>
        <w:trPr>
          <w:trHeight w:val="535" w:hRule="atLeast"/>
          <w:jc w:val="center"/>
        </w:trPr>
        <w:tc>
          <w:tcPr>
            <w:tcW w:w="856" w:type="dxa"/>
            <w:vMerge w:val="restart"/>
            <w:tcBorders>
              <w:top w:val="single" w:color="auto" w:sz="8" w:space="0"/>
              <w:left w:val="single" w:color="auto" w:sz="8" w:space="0"/>
              <w:right w:val="single" w:color="auto" w:sz="8" w:space="0"/>
            </w:tcBorders>
            <w:vAlign w:val="center"/>
          </w:tcPr>
          <w:p>
            <w:pPr>
              <w:widowControl/>
              <w:jc w:val="center"/>
              <w:rPr>
                <w:rFonts w:ascii="Times New Roman" w:hAnsi="Times New Roman" w:eastAsia="宋体" w:cs="Times New Roman"/>
                <w:b/>
                <w:bCs/>
                <w:color w:val="000000"/>
                <w:kern w:val="0"/>
                <w:sz w:val="22"/>
              </w:rPr>
            </w:pPr>
            <w:r>
              <w:rPr>
                <w:rFonts w:hint="eastAsia" w:ascii="Times New Roman" w:hAnsi="Times New Roman" w:eastAsia="黑体" w:cs="Times New Roman"/>
                <w:color w:val="000000"/>
                <w:kern w:val="0"/>
                <w:sz w:val="22"/>
              </w:rPr>
              <w:t>绿色</w:t>
            </w:r>
            <w:r>
              <w:rPr>
                <w:rFonts w:hint="eastAsia" w:ascii="Times New Roman" w:hAnsi="Times New Roman" w:eastAsia="黑体" w:cs="Times New Roman"/>
                <w:color w:val="000000"/>
                <w:kern w:val="0"/>
                <w:sz w:val="22"/>
                <w:lang w:val="en-US" w:eastAsia="zh-CN"/>
              </w:rPr>
              <w:t>生态</w:t>
            </w:r>
          </w:p>
        </w:tc>
        <w:tc>
          <w:tcPr>
            <w:tcW w:w="55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b/>
                <w:bCs/>
                <w:color w:val="000000"/>
                <w:kern w:val="0"/>
                <w:sz w:val="22"/>
                <w:szCs w:val="24"/>
              </w:rPr>
            </w:pPr>
            <w:r>
              <w:rPr>
                <w:rFonts w:ascii="Times New Roman" w:hAnsi="Times New Roman" w:eastAsia="宋体" w:cs="Times New Roman"/>
                <w:b/>
                <w:bCs/>
                <w:color w:val="000000"/>
                <w:kern w:val="0"/>
                <w:sz w:val="22"/>
              </w:rPr>
              <w:t>1</w:t>
            </w:r>
            <w:r>
              <w:rPr>
                <w:rFonts w:hint="eastAsia" w:ascii="Times New Roman" w:hAnsi="Times New Roman" w:eastAsia="宋体" w:cs="Times New Roman"/>
                <w:b/>
                <w:bCs/>
                <w:color w:val="000000"/>
                <w:kern w:val="0"/>
                <w:sz w:val="22"/>
                <w:lang w:val="en-US" w:eastAsia="zh-CN"/>
              </w:rPr>
              <w:t>8</w:t>
            </w:r>
          </w:p>
        </w:tc>
        <w:tc>
          <w:tcPr>
            <w:tcW w:w="2835" w:type="dxa"/>
            <w:tcBorders>
              <w:top w:val="single" w:color="auto" w:sz="8" w:space="0"/>
              <w:left w:val="nil"/>
              <w:bottom w:val="single" w:color="auto" w:sz="8" w:space="0"/>
              <w:right w:val="single" w:color="auto" w:sz="4" w:space="0"/>
            </w:tcBorders>
            <w:vAlign w:val="center"/>
          </w:tcPr>
          <w:p>
            <w:pPr>
              <w:widowControl/>
              <w:rPr>
                <w:rFonts w:ascii="Times New Roman" w:hAnsi="Times New Roman" w:eastAsia="宋体" w:cs="Times New Roman"/>
                <w:color w:val="auto"/>
                <w:kern w:val="0"/>
                <w:sz w:val="22"/>
                <w:szCs w:val="24"/>
              </w:rPr>
            </w:pPr>
            <w:r>
              <w:rPr>
                <w:rFonts w:ascii="Times New Roman" w:hAnsi="Times New Roman" w:eastAsia="宋体" w:cs="Times New Roman"/>
                <w:color w:val="auto"/>
                <w:kern w:val="0"/>
                <w:sz w:val="22"/>
              </w:rPr>
              <w:t>单位GDP</w:t>
            </w:r>
            <w:r>
              <w:rPr>
                <w:rFonts w:ascii="宋体" w:hAnsi="宋体" w:eastAsia="宋体" w:cs="Times New Roman"/>
                <w:color w:val="auto"/>
                <w:kern w:val="0"/>
                <w:sz w:val="22"/>
              </w:rPr>
              <w:t>能耗降</w:t>
            </w:r>
            <w:r>
              <w:rPr>
                <w:rFonts w:hint="eastAsia" w:ascii="宋体" w:hAnsi="宋体" w:eastAsia="宋体" w:cs="Times New Roman"/>
                <w:color w:val="auto"/>
                <w:kern w:val="0"/>
                <w:sz w:val="22"/>
                <w:lang w:val="en-US" w:eastAsia="zh-CN"/>
              </w:rPr>
              <w:t>低</w:t>
            </w:r>
            <w:r>
              <w:rPr>
                <w:rFonts w:ascii="宋体" w:hAnsi="宋体" w:eastAsia="宋体" w:cs="Times New Roman"/>
                <w:color w:val="auto"/>
                <w:kern w:val="0"/>
                <w:sz w:val="22"/>
              </w:rPr>
              <w:t>（</w:t>
            </w:r>
            <w:r>
              <w:rPr>
                <w:rFonts w:ascii="Times New Roman" w:hAnsi="Times New Roman" w:eastAsia="宋体" w:cs="Times New Roman"/>
                <w:color w:val="auto"/>
                <w:kern w:val="0"/>
                <w:sz w:val="22"/>
              </w:rPr>
              <w:t>%</w:t>
            </w:r>
            <w:r>
              <w:rPr>
                <w:rFonts w:ascii="宋体" w:hAnsi="宋体" w:eastAsia="宋体" w:cs="Times New Roman"/>
                <w:color w:val="auto"/>
                <w:kern w:val="0"/>
                <w:sz w:val="22"/>
              </w:rPr>
              <w:t>）</w:t>
            </w:r>
          </w:p>
        </w:tc>
        <w:tc>
          <w:tcPr>
            <w:tcW w:w="14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Times New Roman"/>
                <w:color w:val="auto"/>
                <w:kern w:val="0"/>
                <w:sz w:val="22"/>
                <w:szCs w:val="24"/>
                <w:lang w:val="en-US" w:eastAsia="zh-CN"/>
              </w:rPr>
            </w:pPr>
            <w:r>
              <w:rPr>
                <w:rFonts w:hint="default" w:ascii="Times New Roman" w:hAnsi="Times New Roman" w:eastAsia="宋体" w:cs="Times New Roman"/>
                <w:color w:val="auto"/>
                <w:kern w:val="0"/>
                <w:sz w:val="22"/>
                <w:szCs w:val="24"/>
                <w:lang w:val="en-US" w:eastAsia="zh-CN"/>
              </w:rPr>
              <w:t>3.43</w:t>
            </w:r>
          </w:p>
        </w:tc>
        <w:tc>
          <w:tcPr>
            <w:tcW w:w="1966" w:type="dxa"/>
            <w:gridSpan w:val="4"/>
            <w:vMerge w:val="restart"/>
            <w:tcBorders>
              <w:top w:val="single" w:color="auto" w:sz="4" w:space="0"/>
              <w:left w:val="single" w:color="auto" w:sz="4" w:space="0"/>
              <w:right w:val="single" w:color="auto" w:sz="4" w:space="0"/>
            </w:tcBorders>
            <w:vAlign w:val="center"/>
          </w:tcPr>
          <w:p>
            <w:pPr>
              <w:widowControl/>
              <w:jc w:val="center"/>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按市核定目标执行</w:t>
            </w:r>
          </w:p>
          <w:p>
            <w:pPr>
              <w:widowControl/>
              <w:jc w:val="center"/>
              <w:rPr>
                <w:rFonts w:hint="eastAsia" w:ascii="Times New Roman" w:hAnsi="Times New Roman" w:eastAsia="宋体" w:cs="Times New Roman"/>
                <w:color w:val="auto"/>
                <w:kern w:val="0"/>
                <w:sz w:val="22"/>
                <w:szCs w:val="24"/>
                <w:lang w:eastAsia="zh-CN"/>
              </w:rPr>
            </w:pPr>
            <w:r>
              <w:rPr>
                <w:rFonts w:hint="eastAsia" w:ascii="Times New Roman" w:hAnsi="Times New Roman" w:eastAsia="宋体" w:cs="Times New Roman"/>
                <w:color w:val="auto"/>
                <w:kern w:val="0"/>
                <w:sz w:val="22"/>
                <w:szCs w:val="24"/>
                <w:lang w:eastAsia="zh-CN"/>
              </w:rPr>
              <w:t>—</w:t>
            </w:r>
          </w:p>
        </w:tc>
        <w:tc>
          <w:tcPr>
            <w:tcW w:w="8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auto"/>
                <w:kern w:val="0"/>
                <w:sz w:val="22"/>
                <w:szCs w:val="24"/>
              </w:rPr>
            </w:pPr>
            <w:r>
              <w:rPr>
                <w:rFonts w:ascii="Times New Roman" w:hAnsi="Times New Roman" w:eastAsia="宋体" w:cs="Times New Roman"/>
                <w:color w:val="auto"/>
                <w:kern w:val="0"/>
                <w:sz w:val="22"/>
              </w:rPr>
              <w:t>约束性</w:t>
            </w:r>
          </w:p>
        </w:tc>
        <w:tc>
          <w:tcPr>
            <w:tcW w:w="2306" w:type="dxa"/>
            <w:tcBorders>
              <w:top w:val="single" w:color="auto" w:sz="8" w:space="0"/>
              <w:left w:val="single" w:color="auto" w:sz="4" w:space="0"/>
              <w:bottom w:val="single" w:color="auto" w:sz="8" w:space="0"/>
              <w:right w:val="single" w:color="auto" w:sz="8" w:space="0"/>
            </w:tcBorders>
            <w:vAlign w:val="center"/>
          </w:tcPr>
          <w:p>
            <w:pPr>
              <w:widowControl/>
              <w:jc w:val="center"/>
              <w:rPr>
                <w:rFonts w:hint="eastAsia" w:ascii="Times New Roman" w:hAnsi="Times New Roman" w:eastAsia="宋体" w:cs="Times New Roman"/>
                <w:color w:val="auto"/>
                <w:kern w:val="0"/>
                <w:sz w:val="22"/>
                <w:lang w:val="en-US" w:eastAsia="zh-CN"/>
              </w:rPr>
            </w:pPr>
            <w:r>
              <w:rPr>
                <w:rFonts w:hint="eastAsia" w:ascii="Times New Roman" w:hAnsi="Times New Roman" w:eastAsia="宋体" w:cs="Times New Roman"/>
                <w:color w:val="auto"/>
                <w:kern w:val="0"/>
                <w:sz w:val="22"/>
                <w:szCs w:val="22"/>
                <w:lang w:val="en-US" w:eastAsia="zh-CN"/>
              </w:rPr>
              <w:t>区经发</w:t>
            </w:r>
            <w:r>
              <w:rPr>
                <w:rFonts w:hint="eastAsia" w:ascii="Times New Roman" w:hAnsi="Times New Roman" w:eastAsia="宋体" w:cs="Times New Roman"/>
                <w:color w:val="auto"/>
                <w:kern w:val="0"/>
                <w:sz w:val="22"/>
                <w:lang w:val="en-US" w:eastAsia="zh-CN"/>
              </w:rPr>
              <w:t>局</w:t>
            </w:r>
          </w:p>
        </w:tc>
      </w:tr>
      <w:tr>
        <w:tblPrEx>
          <w:tblCellMar>
            <w:top w:w="0" w:type="dxa"/>
            <w:left w:w="108" w:type="dxa"/>
            <w:bottom w:w="0" w:type="dxa"/>
            <w:right w:w="108" w:type="dxa"/>
          </w:tblCellMar>
        </w:tblPrEx>
        <w:trPr>
          <w:trHeight w:val="389" w:hRule="atLeast"/>
          <w:jc w:val="center"/>
        </w:trPr>
        <w:tc>
          <w:tcPr>
            <w:tcW w:w="856" w:type="dxa"/>
            <w:vMerge w:val="continue"/>
            <w:tcBorders>
              <w:left w:val="single" w:color="auto" w:sz="8" w:space="0"/>
              <w:right w:val="single" w:color="auto" w:sz="8" w:space="0"/>
            </w:tcBorders>
            <w:vAlign w:val="center"/>
          </w:tcPr>
          <w:p>
            <w:pPr>
              <w:widowControl/>
              <w:jc w:val="center"/>
              <w:rPr>
                <w:rFonts w:ascii="Times New Roman" w:hAnsi="Times New Roman" w:eastAsia="宋体" w:cs="Times New Roman"/>
                <w:b/>
                <w:bCs/>
                <w:color w:val="000000"/>
                <w:kern w:val="0"/>
                <w:sz w:val="22"/>
              </w:rPr>
            </w:pPr>
          </w:p>
        </w:tc>
        <w:tc>
          <w:tcPr>
            <w:tcW w:w="555" w:type="dxa"/>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b/>
                <w:bCs/>
                <w:color w:val="000000"/>
                <w:kern w:val="0"/>
                <w:sz w:val="22"/>
                <w:szCs w:val="24"/>
              </w:rPr>
            </w:pPr>
            <w:r>
              <w:rPr>
                <w:rFonts w:ascii="Times New Roman" w:hAnsi="Times New Roman" w:eastAsia="宋体" w:cs="Times New Roman"/>
                <w:b/>
                <w:bCs/>
                <w:color w:val="000000"/>
                <w:kern w:val="0"/>
                <w:sz w:val="22"/>
              </w:rPr>
              <w:t>1</w:t>
            </w:r>
            <w:r>
              <w:rPr>
                <w:rFonts w:hint="eastAsia" w:ascii="Times New Roman" w:hAnsi="Times New Roman" w:eastAsia="宋体" w:cs="Times New Roman"/>
                <w:b/>
                <w:bCs/>
                <w:color w:val="000000"/>
                <w:kern w:val="0"/>
                <w:sz w:val="22"/>
                <w:lang w:val="en-US" w:eastAsia="zh-CN"/>
              </w:rPr>
              <w:t>9</w:t>
            </w:r>
          </w:p>
        </w:tc>
        <w:tc>
          <w:tcPr>
            <w:tcW w:w="2835" w:type="dxa"/>
            <w:tcBorders>
              <w:top w:val="single" w:color="auto" w:sz="8" w:space="0"/>
              <w:left w:val="nil"/>
              <w:bottom w:val="single" w:color="auto" w:sz="4" w:space="0"/>
              <w:right w:val="single" w:color="000000" w:sz="8" w:space="0"/>
            </w:tcBorders>
            <w:vAlign w:val="center"/>
          </w:tcPr>
          <w:p>
            <w:pPr>
              <w:widowControl/>
              <w:rPr>
                <w:rFonts w:ascii="Times New Roman" w:hAnsi="Times New Roman" w:eastAsia="宋体" w:cs="Times New Roman"/>
                <w:color w:val="auto"/>
                <w:kern w:val="0"/>
                <w:sz w:val="22"/>
                <w:szCs w:val="24"/>
              </w:rPr>
            </w:pPr>
            <w:r>
              <w:rPr>
                <w:rFonts w:ascii="Times New Roman" w:hAnsi="Times New Roman" w:eastAsia="宋体" w:cs="Times New Roman"/>
                <w:color w:val="auto"/>
                <w:kern w:val="0"/>
                <w:sz w:val="22"/>
              </w:rPr>
              <w:t>单位GDP</w:t>
            </w:r>
            <w:r>
              <w:rPr>
                <w:rFonts w:ascii="宋体" w:hAnsi="宋体" w:eastAsia="宋体" w:cs="Times New Roman"/>
                <w:color w:val="auto"/>
                <w:kern w:val="0"/>
                <w:sz w:val="22"/>
              </w:rPr>
              <w:t>二氧化碳排放降低（</w:t>
            </w:r>
            <w:r>
              <w:rPr>
                <w:rFonts w:ascii="Times New Roman" w:hAnsi="Times New Roman" w:eastAsia="宋体" w:cs="Times New Roman"/>
                <w:color w:val="auto"/>
                <w:kern w:val="0"/>
                <w:sz w:val="22"/>
              </w:rPr>
              <w:t>%</w:t>
            </w:r>
            <w:r>
              <w:rPr>
                <w:rFonts w:ascii="宋体" w:hAnsi="宋体" w:eastAsia="宋体" w:cs="Times New Roman"/>
                <w:color w:val="auto"/>
                <w:kern w:val="0"/>
                <w:sz w:val="22"/>
              </w:rPr>
              <w:t>）</w:t>
            </w:r>
          </w:p>
        </w:tc>
        <w:tc>
          <w:tcPr>
            <w:tcW w:w="1456" w:type="dxa"/>
            <w:tcBorders>
              <w:top w:val="single" w:color="auto" w:sz="4" w:space="0"/>
              <w:left w:val="nil"/>
              <w:bottom w:val="single" w:color="auto" w:sz="8" w:space="0"/>
              <w:right w:val="single" w:color="auto" w:sz="8" w:space="0"/>
            </w:tcBorders>
            <w:vAlign w:val="center"/>
          </w:tcPr>
          <w:p>
            <w:pPr>
              <w:widowControl/>
              <w:jc w:val="center"/>
              <w:rPr>
                <w:rFonts w:hint="eastAsia" w:ascii="Times New Roman" w:hAnsi="Times New Roman" w:eastAsia="宋体" w:cs="Times New Roman"/>
                <w:color w:val="auto"/>
                <w:kern w:val="0"/>
                <w:sz w:val="22"/>
                <w:szCs w:val="24"/>
                <w:lang w:eastAsia="zh-CN"/>
              </w:rPr>
            </w:pPr>
            <w:r>
              <w:rPr>
                <w:rFonts w:hint="eastAsia" w:ascii="Times New Roman" w:hAnsi="Times New Roman" w:eastAsia="宋体" w:cs="Times New Roman"/>
                <w:color w:val="auto"/>
                <w:kern w:val="0"/>
                <w:sz w:val="22"/>
                <w:szCs w:val="24"/>
                <w:lang w:eastAsia="zh-CN"/>
              </w:rPr>
              <w:t>—</w:t>
            </w:r>
          </w:p>
        </w:tc>
        <w:tc>
          <w:tcPr>
            <w:tcW w:w="1966" w:type="dxa"/>
            <w:gridSpan w:val="4"/>
            <w:vMerge w:val="continue"/>
            <w:tcBorders>
              <w:left w:val="single" w:color="auto" w:sz="4" w:space="0"/>
              <w:right w:val="single" w:color="auto" w:sz="4" w:space="0"/>
            </w:tcBorders>
            <w:vAlign w:val="center"/>
          </w:tcPr>
          <w:p>
            <w:pPr>
              <w:widowControl/>
              <w:jc w:val="center"/>
              <w:rPr>
                <w:rFonts w:hint="eastAsia" w:ascii="Times New Roman" w:hAnsi="Times New Roman" w:eastAsia="宋体" w:cs="Times New Roman"/>
                <w:color w:val="auto"/>
                <w:kern w:val="0"/>
                <w:sz w:val="22"/>
                <w:szCs w:val="24"/>
                <w:lang w:eastAsia="zh-CN"/>
              </w:rPr>
            </w:pPr>
          </w:p>
        </w:tc>
        <w:tc>
          <w:tcPr>
            <w:tcW w:w="897" w:type="dxa"/>
            <w:tcBorders>
              <w:top w:val="single" w:color="auto" w:sz="4" w:space="0"/>
              <w:left w:val="single" w:color="auto" w:sz="4" w:space="0"/>
              <w:bottom w:val="single" w:color="auto" w:sz="8" w:space="0"/>
              <w:right w:val="single" w:color="auto" w:sz="8" w:space="0"/>
            </w:tcBorders>
            <w:vAlign w:val="center"/>
          </w:tcPr>
          <w:p>
            <w:pPr>
              <w:widowControl/>
              <w:jc w:val="center"/>
              <w:rPr>
                <w:rFonts w:ascii="Times New Roman" w:hAnsi="Times New Roman" w:eastAsia="宋体" w:cs="Times New Roman"/>
                <w:color w:val="auto"/>
                <w:kern w:val="0"/>
                <w:sz w:val="22"/>
                <w:szCs w:val="24"/>
              </w:rPr>
            </w:pPr>
            <w:r>
              <w:rPr>
                <w:rFonts w:ascii="Times New Roman" w:hAnsi="Times New Roman" w:eastAsia="宋体" w:cs="Times New Roman"/>
                <w:color w:val="auto"/>
                <w:kern w:val="0"/>
                <w:sz w:val="22"/>
              </w:rPr>
              <w:t>约束性</w:t>
            </w:r>
          </w:p>
        </w:tc>
        <w:tc>
          <w:tcPr>
            <w:tcW w:w="2306" w:type="dxa"/>
            <w:tcBorders>
              <w:top w:val="nil"/>
              <w:left w:val="nil"/>
              <w:bottom w:val="single" w:color="auto" w:sz="8" w:space="0"/>
              <w:right w:val="single" w:color="auto" w:sz="8" w:space="0"/>
            </w:tcBorders>
            <w:vAlign w:val="center"/>
          </w:tcPr>
          <w:p>
            <w:pPr>
              <w:widowControl/>
              <w:jc w:val="center"/>
              <w:rPr>
                <w:rFonts w:hint="eastAsia" w:ascii="Times New Roman" w:hAnsi="Times New Roman" w:eastAsia="宋体" w:cs="Times New Roman"/>
                <w:color w:val="auto"/>
                <w:kern w:val="0"/>
                <w:sz w:val="22"/>
                <w:lang w:val="en-US" w:eastAsia="zh-CN"/>
              </w:rPr>
            </w:pPr>
            <w:r>
              <w:rPr>
                <w:rFonts w:hint="eastAsia" w:ascii="Times New Roman" w:hAnsi="Times New Roman" w:eastAsia="宋体" w:cs="Times New Roman"/>
                <w:color w:val="auto"/>
                <w:kern w:val="0"/>
                <w:sz w:val="22"/>
                <w:lang w:val="en-US" w:eastAsia="zh-CN"/>
              </w:rPr>
              <w:t>市生态环境局海陵分局</w:t>
            </w:r>
          </w:p>
        </w:tc>
      </w:tr>
      <w:tr>
        <w:tblPrEx>
          <w:tblCellMar>
            <w:top w:w="0" w:type="dxa"/>
            <w:left w:w="108" w:type="dxa"/>
            <w:bottom w:w="0" w:type="dxa"/>
            <w:right w:w="108" w:type="dxa"/>
          </w:tblCellMar>
        </w:tblPrEx>
        <w:trPr>
          <w:trHeight w:val="389" w:hRule="atLeast"/>
          <w:jc w:val="center"/>
        </w:trPr>
        <w:tc>
          <w:tcPr>
            <w:tcW w:w="856" w:type="dxa"/>
            <w:vMerge w:val="continue"/>
            <w:tcBorders>
              <w:left w:val="single" w:color="auto" w:sz="8" w:space="0"/>
              <w:right w:val="single" w:color="auto" w:sz="8" w:space="0"/>
            </w:tcBorders>
            <w:vAlign w:val="center"/>
          </w:tcPr>
          <w:p>
            <w:pPr>
              <w:widowControl/>
              <w:jc w:val="center"/>
              <w:rPr>
                <w:rFonts w:hint="eastAsia" w:ascii="Times New Roman" w:hAnsi="Times New Roman" w:eastAsia="宋体" w:cs="Times New Roman"/>
                <w:b/>
                <w:bCs/>
                <w:color w:val="000000"/>
                <w:kern w:val="0"/>
                <w:sz w:val="22"/>
              </w:rPr>
            </w:pPr>
          </w:p>
        </w:tc>
        <w:tc>
          <w:tcPr>
            <w:tcW w:w="555" w:type="dxa"/>
            <w:tcBorders>
              <w:top w:val="single" w:color="auto" w:sz="8" w:space="0"/>
              <w:left w:val="single" w:color="auto" w:sz="8" w:space="0"/>
              <w:bottom w:val="single" w:color="auto" w:sz="8" w:space="0"/>
              <w:right w:val="single" w:color="auto" w:sz="4" w:space="0"/>
            </w:tcBorders>
            <w:vAlign w:val="center"/>
          </w:tcPr>
          <w:p>
            <w:pPr>
              <w:widowControl/>
              <w:jc w:val="center"/>
              <w:rPr>
                <w:rFonts w:hint="eastAsia" w:ascii="Times New Roman" w:hAnsi="Times New Roman" w:eastAsia="宋体" w:cs="Times New Roman"/>
                <w:b/>
                <w:bCs/>
                <w:color w:val="000000"/>
                <w:kern w:val="0"/>
                <w:sz w:val="22"/>
                <w:lang w:eastAsia="zh-CN"/>
              </w:rPr>
            </w:pPr>
            <w:r>
              <w:rPr>
                <w:rFonts w:hint="eastAsia" w:ascii="Times New Roman" w:hAnsi="Times New Roman" w:eastAsia="宋体" w:cs="Times New Roman"/>
                <w:b/>
                <w:bCs/>
                <w:color w:val="000000"/>
                <w:kern w:val="0"/>
                <w:sz w:val="22"/>
                <w:lang w:val="en-US" w:eastAsia="zh-CN"/>
              </w:rPr>
              <w:t>20</w:t>
            </w:r>
          </w:p>
        </w:tc>
        <w:tc>
          <w:tcPr>
            <w:tcW w:w="2835" w:type="dxa"/>
            <w:tcBorders>
              <w:top w:val="single" w:color="auto" w:sz="8" w:space="0"/>
              <w:left w:val="single" w:color="auto" w:sz="4" w:space="0"/>
              <w:bottom w:val="single" w:color="auto" w:sz="8" w:space="0"/>
              <w:right w:val="single" w:color="auto" w:sz="4" w:space="0"/>
            </w:tcBorders>
            <w:vAlign w:val="center"/>
          </w:tcPr>
          <w:p>
            <w:pPr>
              <w:widowControl/>
              <w:rPr>
                <w:rFonts w:ascii="Times New Roman" w:hAnsi="Times New Roman" w:eastAsia="宋体" w:cs="Times New Roman"/>
                <w:color w:val="auto"/>
                <w:kern w:val="0"/>
                <w:sz w:val="22"/>
              </w:rPr>
            </w:pPr>
            <w:r>
              <w:rPr>
                <w:rFonts w:hint="eastAsia" w:ascii="Times New Roman" w:hAnsi="Times New Roman" w:eastAsia="宋体" w:cs="Times New Roman"/>
                <w:color w:val="auto"/>
                <w:kern w:val="0"/>
                <w:sz w:val="22"/>
                <w:lang w:val="en-US" w:eastAsia="zh-CN"/>
              </w:rPr>
              <w:t>城市</w:t>
            </w:r>
            <w:r>
              <w:rPr>
                <w:rFonts w:hint="eastAsia" w:ascii="Times New Roman" w:hAnsi="Times New Roman" w:eastAsia="宋体" w:cs="Times New Roman"/>
                <w:color w:val="auto"/>
                <w:kern w:val="0"/>
                <w:sz w:val="22"/>
              </w:rPr>
              <w:t>空气质量</w:t>
            </w:r>
            <w:r>
              <w:rPr>
                <w:rFonts w:hint="eastAsia" w:ascii="Times New Roman" w:hAnsi="Times New Roman" w:eastAsia="宋体" w:cs="Times New Roman"/>
                <w:color w:val="auto"/>
                <w:kern w:val="0"/>
                <w:sz w:val="22"/>
                <w:lang w:val="en-US" w:eastAsia="zh-CN"/>
              </w:rPr>
              <w:t>优良比例</w:t>
            </w:r>
            <w:r>
              <w:rPr>
                <w:rFonts w:hint="eastAsia" w:ascii="Times New Roman" w:hAnsi="Times New Roman" w:eastAsia="宋体" w:cs="Times New Roman"/>
                <w:color w:val="auto"/>
                <w:kern w:val="0"/>
                <w:sz w:val="22"/>
              </w:rPr>
              <w:t>（%）</w:t>
            </w:r>
          </w:p>
        </w:tc>
        <w:tc>
          <w:tcPr>
            <w:tcW w:w="1456" w:type="dxa"/>
            <w:tcBorders>
              <w:top w:val="single" w:color="auto" w:sz="8" w:space="0"/>
              <w:left w:val="single" w:color="auto" w:sz="4" w:space="0"/>
              <w:bottom w:val="single" w:color="auto" w:sz="8" w:space="0"/>
              <w:right w:val="single" w:color="auto" w:sz="4" w:space="0"/>
            </w:tcBorders>
            <w:vAlign w:val="center"/>
          </w:tcPr>
          <w:p>
            <w:pPr>
              <w:widowControl/>
              <w:jc w:val="center"/>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94.2</w:t>
            </w:r>
          </w:p>
        </w:tc>
        <w:tc>
          <w:tcPr>
            <w:tcW w:w="1966" w:type="dxa"/>
            <w:gridSpan w:val="4"/>
            <w:vMerge w:val="continue"/>
            <w:tcBorders>
              <w:left w:val="single" w:color="auto" w:sz="4" w:space="0"/>
              <w:bottom w:val="single" w:color="auto" w:sz="8" w:space="0"/>
              <w:right w:val="single" w:color="auto" w:sz="4" w:space="0"/>
            </w:tcBorders>
            <w:vAlign w:val="center"/>
          </w:tcPr>
          <w:p>
            <w:pPr>
              <w:widowControl/>
              <w:jc w:val="center"/>
              <w:rPr>
                <w:rFonts w:hint="eastAsia" w:ascii="Times New Roman" w:hAnsi="Times New Roman" w:eastAsia="宋体" w:cs="Times New Roman"/>
                <w:color w:val="auto"/>
                <w:kern w:val="0"/>
                <w:sz w:val="22"/>
                <w:szCs w:val="24"/>
                <w:lang w:eastAsia="zh-CN"/>
              </w:rPr>
            </w:pPr>
          </w:p>
        </w:tc>
        <w:tc>
          <w:tcPr>
            <w:tcW w:w="897" w:type="dxa"/>
            <w:tcBorders>
              <w:top w:val="single" w:color="auto" w:sz="8" w:space="0"/>
              <w:left w:val="single" w:color="auto" w:sz="4" w:space="0"/>
              <w:bottom w:val="single" w:color="auto" w:sz="8" w:space="0"/>
              <w:right w:val="single" w:color="auto" w:sz="4" w:space="0"/>
            </w:tcBorders>
            <w:vAlign w:val="center"/>
          </w:tcPr>
          <w:p>
            <w:pPr>
              <w:widowControl/>
              <w:jc w:val="center"/>
              <w:rPr>
                <w:rFonts w:ascii="Times New Roman" w:hAnsi="Times New Roman" w:eastAsia="宋体" w:cs="Times New Roman"/>
                <w:color w:val="auto"/>
                <w:kern w:val="0"/>
                <w:sz w:val="22"/>
              </w:rPr>
            </w:pPr>
            <w:r>
              <w:rPr>
                <w:rFonts w:ascii="Times New Roman" w:hAnsi="Times New Roman" w:eastAsia="宋体" w:cs="Times New Roman"/>
                <w:color w:val="auto"/>
                <w:kern w:val="0"/>
                <w:sz w:val="22"/>
              </w:rPr>
              <w:t>约束性</w:t>
            </w:r>
          </w:p>
        </w:tc>
        <w:tc>
          <w:tcPr>
            <w:tcW w:w="2306" w:type="dxa"/>
            <w:tcBorders>
              <w:top w:val="single" w:color="auto" w:sz="8" w:space="0"/>
              <w:left w:val="single" w:color="auto" w:sz="4" w:space="0"/>
              <w:bottom w:val="single" w:color="auto" w:sz="8" w:space="0"/>
              <w:right w:val="single" w:color="auto" w:sz="8" w:space="0"/>
            </w:tcBorders>
            <w:vAlign w:val="center"/>
          </w:tcPr>
          <w:p>
            <w:pPr>
              <w:widowControl/>
              <w:jc w:val="center"/>
              <w:rPr>
                <w:rFonts w:ascii="Times New Roman" w:hAnsi="Times New Roman" w:eastAsia="宋体" w:cs="Times New Roman"/>
                <w:color w:val="auto"/>
                <w:kern w:val="0"/>
                <w:sz w:val="22"/>
              </w:rPr>
            </w:pPr>
            <w:r>
              <w:rPr>
                <w:rFonts w:hint="eastAsia" w:ascii="Times New Roman" w:hAnsi="Times New Roman" w:eastAsia="宋体" w:cs="Times New Roman"/>
                <w:color w:val="auto"/>
                <w:kern w:val="0"/>
                <w:sz w:val="22"/>
                <w:lang w:val="en-US" w:eastAsia="zh-CN"/>
              </w:rPr>
              <w:t>区生态环境局海陵分局</w:t>
            </w:r>
          </w:p>
        </w:tc>
      </w:tr>
      <w:tr>
        <w:tblPrEx>
          <w:tblCellMar>
            <w:top w:w="0" w:type="dxa"/>
            <w:left w:w="108" w:type="dxa"/>
            <w:bottom w:w="0" w:type="dxa"/>
            <w:right w:w="108" w:type="dxa"/>
          </w:tblCellMar>
        </w:tblPrEx>
        <w:trPr>
          <w:trHeight w:val="389" w:hRule="atLeast"/>
          <w:jc w:val="center"/>
        </w:trPr>
        <w:tc>
          <w:tcPr>
            <w:tcW w:w="856" w:type="dxa"/>
            <w:vMerge w:val="continue"/>
            <w:tcBorders>
              <w:left w:val="single" w:color="auto" w:sz="8" w:space="0"/>
              <w:right w:val="single" w:color="auto" w:sz="8" w:space="0"/>
            </w:tcBorders>
            <w:vAlign w:val="center"/>
          </w:tcPr>
          <w:p>
            <w:pPr>
              <w:widowControl/>
              <w:jc w:val="center"/>
              <w:rPr>
                <w:rFonts w:ascii="Times New Roman" w:hAnsi="Times New Roman" w:eastAsia="宋体" w:cs="Times New Roman"/>
                <w:b/>
                <w:bCs/>
                <w:color w:val="000000"/>
                <w:kern w:val="0"/>
                <w:sz w:val="22"/>
              </w:rPr>
            </w:pPr>
          </w:p>
        </w:tc>
        <w:tc>
          <w:tcPr>
            <w:tcW w:w="555" w:type="dxa"/>
            <w:tcBorders>
              <w:top w:val="single" w:color="auto" w:sz="8" w:space="0"/>
              <w:left w:val="single" w:color="auto" w:sz="8" w:space="0"/>
              <w:bottom w:val="single" w:color="auto" w:sz="8" w:space="0"/>
              <w:right w:val="single" w:color="auto" w:sz="4" w:space="0"/>
            </w:tcBorders>
            <w:vAlign w:val="center"/>
          </w:tcPr>
          <w:p>
            <w:pPr>
              <w:widowControl/>
              <w:jc w:val="center"/>
              <w:rPr>
                <w:rFonts w:ascii="Times New Roman" w:hAnsi="Times New Roman" w:eastAsia="宋体" w:cs="Times New Roman"/>
                <w:b/>
                <w:bCs/>
                <w:color w:val="000000"/>
                <w:kern w:val="0"/>
                <w:sz w:val="22"/>
                <w:szCs w:val="24"/>
              </w:rPr>
            </w:pPr>
            <w:r>
              <w:rPr>
                <w:rFonts w:ascii="Times New Roman" w:hAnsi="Times New Roman" w:eastAsia="宋体" w:cs="Times New Roman"/>
                <w:b/>
                <w:bCs/>
                <w:color w:val="000000"/>
                <w:kern w:val="0"/>
                <w:sz w:val="22"/>
              </w:rPr>
              <w:t>2</w:t>
            </w:r>
            <w:r>
              <w:rPr>
                <w:rFonts w:hint="eastAsia" w:ascii="Times New Roman" w:hAnsi="Times New Roman" w:eastAsia="宋体" w:cs="Times New Roman"/>
                <w:b/>
                <w:bCs/>
                <w:color w:val="000000"/>
                <w:kern w:val="0"/>
                <w:sz w:val="22"/>
                <w:lang w:val="en-US" w:eastAsia="zh-CN"/>
              </w:rPr>
              <w:t>1</w:t>
            </w:r>
          </w:p>
        </w:tc>
        <w:tc>
          <w:tcPr>
            <w:tcW w:w="2835" w:type="dxa"/>
            <w:tcBorders>
              <w:top w:val="single" w:color="auto" w:sz="8" w:space="0"/>
              <w:left w:val="single" w:color="auto" w:sz="4" w:space="0"/>
              <w:bottom w:val="single" w:color="auto" w:sz="8" w:space="0"/>
              <w:right w:val="single" w:color="auto" w:sz="8" w:space="0"/>
            </w:tcBorders>
            <w:vAlign w:val="center"/>
          </w:tcPr>
          <w:p>
            <w:pPr>
              <w:widowControl/>
              <w:rPr>
                <w:rFonts w:ascii="Times New Roman" w:hAnsi="Times New Roman" w:eastAsia="宋体" w:cs="Times New Roman"/>
                <w:color w:val="auto"/>
                <w:kern w:val="0"/>
                <w:sz w:val="22"/>
                <w:szCs w:val="24"/>
              </w:rPr>
            </w:pPr>
            <w:r>
              <w:rPr>
                <w:rFonts w:hint="eastAsia" w:ascii="Times New Roman" w:hAnsi="Times New Roman" w:eastAsia="宋体" w:cs="Times New Roman"/>
                <w:color w:val="auto"/>
                <w:kern w:val="0"/>
                <w:sz w:val="22"/>
                <w:lang w:val="en-US" w:eastAsia="zh-CN"/>
              </w:rPr>
              <w:t>地表水</w:t>
            </w:r>
            <w:r>
              <w:rPr>
                <w:rFonts w:ascii="Times New Roman" w:hAnsi="Times New Roman" w:eastAsia="宋体" w:cs="Times New Roman"/>
                <w:color w:val="auto"/>
                <w:kern w:val="0"/>
                <w:sz w:val="22"/>
              </w:rPr>
              <w:t>达到或好于</w:t>
            </w:r>
            <w:r>
              <w:rPr>
                <w:rFonts w:hint="eastAsia" w:ascii="宋体" w:hAnsi="宋体" w:eastAsia="宋体" w:cs="Times New Roman"/>
                <w:color w:val="auto"/>
                <w:kern w:val="0"/>
                <w:sz w:val="22"/>
              </w:rPr>
              <w:t>Ⅲ</w:t>
            </w:r>
            <w:r>
              <w:rPr>
                <w:rFonts w:ascii="宋体" w:hAnsi="宋体" w:eastAsia="宋体" w:cs="Times New Roman"/>
                <w:color w:val="auto"/>
                <w:kern w:val="0"/>
                <w:sz w:val="22"/>
              </w:rPr>
              <w:t>类</w:t>
            </w:r>
            <w:r>
              <w:rPr>
                <w:rFonts w:hint="eastAsia" w:ascii="宋体" w:hAnsi="宋体" w:eastAsia="宋体" w:cs="Times New Roman"/>
                <w:color w:val="auto"/>
                <w:kern w:val="0"/>
                <w:sz w:val="22"/>
              </w:rPr>
              <w:t>水体</w:t>
            </w:r>
            <w:r>
              <w:rPr>
                <w:rFonts w:ascii="宋体" w:hAnsi="宋体" w:eastAsia="宋体" w:cs="Times New Roman"/>
                <w:color w:val="auto"/>
                <w:kern w:val="0"/>
                <w:sz w:val="22"/>
              </w:rPr>
              <w:t>比例（</w:t>
            </w:r>
            <w:r>
              <w:rPr>
                <w:rFonts w:ascii="Times New Roman" w:hAnsi="Times New Roman" w:eastAsia="宋体" w:cs="Times New Roman"/>
                <w:color w:val="auto"/>
                <w:kern w:val="0"/>
                <w:sz w:val="22"/>
              </w:rPr>
              <w:t>%</w:t>
            </w:r>
            <w:r>
              <w:rPr>
                <w:rFonts w:ascii="宋体" w:hAnsi="宋体" w:eastAsia="宋体" w:cs="Times New Roman"/>
                <w:color w:val="auto"/>
                <w:kern w:val="0"/>
                <w:sz w:val="22"/>
              </w:rPr>
              <w:t>）</w:t>
            </w:r>
          </w:p>
        </w:tc>
        <w:tc>
          <w:tcPr>
            <w:tcW w:w="3422" w:type="dxa"/>
            <w:gridSpan w:val="5"/>
            <w:tcBorders>
              <w:top w:val="single" w:color="auto" w:sz="8" w:space="0"/>
              <w:left w:val="single" w:color="auto" w:sz="8" w:space="0"/>
              <w:bottom w:val="single" w:color="auto" w:sz="8" w:space="0"/>
              <w:right w:val="single" w:color="auto" w:sz="4" w:space="0"/>
            </w:tcBorders>
            <w:vAlign w:val="center"/>
          </w:tcPr>
          <w:p>
            <w:pPr>
              <w:widowControl/>
              <w:jc w:val="center"/>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没有地表水国考断面</w:t>
            </w:r>
          </w:p>
          <w:p>
            <w:pPr>
              <w:widowControl/>
              <w:jc w:val="center"/>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eastAsia="zh-CN"/>
              </w:rPr>
              <w:t>—</w:t>
            </w:r>
          </w:p>
        </w:tc>
        <w:tc>
          <w:tcPr>
            <w:tcW w:w="897" w:type="dxa"/>
            <w:tcBorders>
              <w:top w:val="single" w:color="auto" w:sz="8" w:space="0"/>
              <w:left w:val="single" w:color="auto" w:sz="4" w:space="0"/>
              <w:bottom w:val="single" w:color="auto" w:sz="8" w:space="0"/>
              <w:right w:val="single" w:color="auto" w:sz="8" w:space="0"/>
            </w:tcBorders>
            <w:vAlign w:val="center"/>
          </w:tcPr>
          <w:p>
            <w:pPr>
              <w:widowControl/>
              <w:jc w:val="center"/>
              <w:rPr>
                <w:rFonts w:ascii="Times New Roman" w:hAnsi="Times New Roman" w:eastAsia="宋体" w:cs="Times New Roman"/>
                <w:color w:val="auto"/>
                <w:kern w:val="0"/>
                <w:sz w:val="22"/>
                <w:szCs w:val="24"/>
              </w:rPr>
            </w:pPr>
            <w:r>
              <w:rPr>
                <w:rFonts w:ascii="Times New Roman" w:hAnsi="Times New Roman" w:eastAsia="宋体" w:cs="Times New Roman"/>
                <w:color w:val="auto"/>
                <w:kern w:val="0"/>
                <w:sz w:val="22"/>
              </w:rPr>
              <w:t>约束性</w:t>
            </w:r>
          </w:p>
        </w:tc>
        <w:tc>
          <w:tcPr>
            <w:tcW w:w="2306"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color w:val="auto"/>
                <w:kern w:val="0"/>
                <w:sz w:val="22"/>
              </w:rPr>
            </w:pPr>
            <w:r>
              <w:rPr>
                <w:rFonts w:hint="eastAsia" w:ascii="Times New Roman" w:hAnsi="Times New Roman" w:eastAsia="宋体" w:cs="Times New Roman"/>
                <w:color w:val="auto"/>
                <w:kern w:val="0"/>
                <w:sz w:val="22"/>
                <w:lang w:val="en-US" w:eastAsia="zh-CN"/>
              </w:rPr>
              <w:t>区生态环境局海陵分局</w:t>
            </w:r>
          </w:p>
        </w:tc>
      </w:tr>
      <w:tr>
        <w:tblPrEx>
          <w:tblCellMar>
            <w:top w:w="0" w:type="dxa"/>
            <w:left w:w="108" w:type="dxa"/>
            <w:bottom w:w="0" w:type="dxa"/>
            <w:right w:w="108" w:type="dxa"/>
          </w:tblCellMar>
        </w:tblPrEx>
        <w:trPr>
          <w:trHeight w:val="389" w:hRule="atLeast"/>
          <w:jc w:val="center"/>
        </w:trPr>
        <w:tc>
          <w:tcPr>
            <w:tcW w:w="856" w:type="dxa"/>
            <w:vMerge w:val="continue"/>
            <w:tcBorders>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b/>
                <w:bCs/>
                <w:color w:val="000000"/>
                <w:kern w:val="0"/>
                <w:sz w:val="22"/>
              </w:rPr>
            </w:pPr>
          </w:p>
        </w:tc>
        <w:tc>
          <w:tcPr>
            <w:tcW w:w="555" w:type="dxa"/>
            <w:tcBorders>
              <w:top w:val="nil"/>
              <w:left w:val="single" w:color="auto" w:sz="8" w:space="0"/>
              <w:bottom w:val="single" w:color="auto" w:sz="8" w:space="0"/>
              <w:right w:val="single" w:color="auto" w:sz="4" w:space="0"/>
            </w:tcBorders>
            <w:vAlign w:val="center"/>
          </w:tcPr>
          <w:p>
            <w:pPr>
              <w:widowControl/>
              <w:jc w:val="center"/>
              <w:rPr>
                <w:rFonts w:ascii="Times New Roman" w:hAnsi="Times New Roman" w:eastAsia="宋体" w:cs="Times New Roman"/>
                <w:b/>
                <w:bCs/>
                <w:color w:val="000000"/>
                <w:kern w:val="0"/>
                <w:sz w:val="22"/>
                <w:szCs w:val="24"/>
              </w:rPr>
            </w:pPr>
            <w:r>
              <w:rPr>
                <w:rFonts w:ascii="Times New Roman" w:hAnsi="Times New Roman" w:eastAsia="宋体" w:cs="Times New Roman"/>
                <w:b/>
                <w:bCs/>
                <w:color w:val="000000"/>
                <w:kern w:val="0"/>
                <w:sz w:val="22"/>
              </w:rPr>
              <w:t>2</w:t>
            </w:r>
            <w:r>
              <w:rPr>
                <w:rFonts w:hint="eastAsia" w:ascii="Times New Roman" w:hAnsi="Times New Roman" w:eastAsia="宋体" w:cs="Times New Roman"/>
                <w:b/>
                <w:bCs/>
                <w:color w:val="000000"/>
                <w:kern w:val="0"/>
                <w:sz w:val="22"/>
                <w:lang w:val="en-US" w:eastAsia="zh-CN"/>
              </w:rPr>
              <w:t>2</w:t>
            </w:r>
          </w:p>
        </w:tc>
        <w:tc>
          <w:tcPr>
            <w:tcW w:w="2835" w:type="dxa"/>
            <w:tcBorders>
              <w:top w:val="single" w:color="auto" w:sz="8" w:space="0"/>
              <w:left w:val="single" w:color="auto" w:sz="4" w:space="0"/>
              <w:bottom w:val="single" w:color="auto" w:sz="8" w:space="0"/>
              <w:right w:val="single" w:color="auto" w:sz="8" w:space="0"/>
            </w:tcBorders>
            <w:vAlign w:val="center"/>
          </w:tcPr>
          <w:p>
            <w:pPr>
              <w:widowControl/>
              <w:rPr>
                <w:rFonts w:ascii="Times New Roman" w:hAnsi="Times New Roman" w:eastAsia="宋体" w:cs="Times New Roman"/>
                <w:color w:val="auto"/>
                <w:kern w:val="0"/>
                <w:sz w:val="22"/>
                <w:szCs w:val="24"/>
              </w:rPr>
            </w:pPr>
            <w:r>
              <w:rPr>
                <w:rFonts w:ascii="Times New Roman" w:hAnsi="Times New Roman" w:eastAsia="宋体" w:cs="Times New Roman"/>
                <w:color w:val="auto"/>
                <w:kern w:val="0"/>
                <w:sz w:val="22"/>
              </w:rPr>
              <w:t>森林覆盖率（%</w:t>
            </w:r>
            <w:r>
              <w:rPr>
                <w:rFonts w:ascii="宋体" w:hAnsi="宋体" w:eastAsia="宋体" w:cs="Times New Roman"/>
                <w:color w:val="auto"/>
                <w:kern w:val="0"/>
                <w:sz w:val="22"/>
              </w:rPr>
              <w:t>）</w:t>
            </w:r>
          </w:p>
        </w:tc>
        <w:tc>
          <w:tcPr>
            <w:tcW w:w="1456" w:type="dxa"/>
            <w:tcBorders>
              <w:top w:val="single" w:color="auto" w:sz="8" w:space="0"/>
              <w:left w:val="single" w:color="auto" w:sz="8" w:space="0"/>
              <w:bottom w:val="single" w:color="auto" w:sz="8" w:space="0"/>
              <w:right w:val="single" w:color="auto" w:sz="8" w:space="0"/>
            </w:tcBorders>
            <w:vAlign w:val="center"/>
          </w:tcPr>
          <w:p>
            <w:pPr>
              <w:widowControl/>
              <w:jc w:val="center"/>
              <w:rPr>
                <w:rFonts w:hint="default"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39.98%</w:t>
            </w:r>
          </w:p>
        </w:tc>
        <w:tc>
          <w:tcPr>
            <w:tcW w:w="974"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39.53%</w:t>
            </w:r>
          </w:p>
        </w:tc>
        <w:tc>
          <w:tcPr>
            <w:tcW w:w="992" w:type="dxa"/>
            <w:gridSpan w:val="3"/>
            <w:tcBorders>
              <w:top w:val="single" w:color="auto" w:sz="4" w:space="0"/>
              <w:left w:val="single" w:color="auto" w:sz="8" w:space="0"/>
              <w:bottom w:val="single" w:color="auto" w:sz="8" w:space="0"/>
              <w:right w:val="single" w:color="auto" w:sz="8" w:space="0"/>
            </w:tcBorders>
            <w:vAlign w:val="center"/>
          </w:tcPr>
          <w:p>
            <w:pPr>
              <w:widowControl/>
              <w:jc w:val="center"/>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-0.45</w:t>
            </w:r>
          </w:p>
        </w:tc>
        <w:tc>
          <w:tcPr>
            <w:tcW w:w="89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color w:val="auto"/>
                <w:kern w:val="0"/>
                <w:sz w:val="22"/>
                <w:szCs w:val="24"/>
              </w:rPr>
            </w:pPr>
            <w:r>
              <w:rPr>
                <w:rFonts w:ascii="Times New Roman" w:hAnsi="Times New Roman" w:eastAsia="宋体" w:cs="Times New Roman"/>
                <w:color w:val="auto"/>
                <w:kern w:val="0"/>
                <w:sz w:val="22"/>
              </w:rPr>
              <w:t>约束性</w:t>
            </w:r>
          </w:p>
        </w:tc>
        <w:tc>
          <w:tcPr>
            <w:tcW w:w="2306"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Times New Roman" w:hAnsi="Times New Roman" w:eastAsia="宋体" w:cs="Times New Roman"/>
                <w:color w:val="auto"/>
                <w:kern w:val="0"/>
                <w:sz w:val="22"/>
                <w:lang w:val="en-US" w:eastAsia="zh-CN"/>
              </w:rPr>
            </w:pPr>
            <w:r>
              <w:rPr>
                <w:rFonts w:hint="eastAsia" w:ascii="Times New Roman" w:hAnsi="Times New Roman" w:eastAsia="宋体" w:cs="Times New Roman"/>
                <w:color w:val="auto"/>
                <w:kern w:val="0"/>
                <w:sz w:val="22"/>
                <w:lang w:val="en-US" w:eastAsia="zh-CN"/>
              </w:rPr>
              <w:t>区自然资源局</w:t>
            </w:r>
          </w:p>
        </w:tc>
      </w:tr>
      <w:tr>
        <w:tblPrEx>
          <w:tblCellMar>
            <w:top w:w="0" w:type="dxa"/>
            <w:left w:w="108" w:type="dxa"/>
            <w:bottom w:w="0" w:type="dxa"/>
            <w:right w:w="108" w:type="dxa"/>
          </w:tblCellMar>
        </w:tblPrEx>
        <w:trPr>
          <w:trHeight w:val="389" w:hRule="atLeast"/>
          <w:jc w:val="center"/>
        </w:trPr>
        <w:tc>
          <w:tcPr>
            <w:tcW w:w="856" w:type="dxa"/>
            <w:vMerge w:val="restart"/>
            <w:tcBorders>
              <w:top w:val="single" w:color="auto" w:sz="4" w:space="0"/>
              <w:left w:val="single" w:color="auto" w:sz="8" w:space="0"/>
              <w:right w:val="single" w:color="auto" w:sz="8" w:space="0"/>
            </w:tcBorders>
            <w:vAlign w:val="center"/>
          </w:tcPr>
          <w:p>
            <w:pPr>
              <w:jc w:val="center"/>
              <w:rPr>
                <w:rFonts w:ascii="Times New Roman" w:hAnsi="Times New Roman" w:eastAsia="宋体" w:cs="Times New Roman"/>
                <w:b/>
                <w:bCs/>
                <w:color w:val="000000"/>
                <w:kern w:val="0"/>
                <w:sz w:val="22"/>
                <w:szCs w:val="24"/>
              </w:rPr>
            </w:pPr>
            <w:r>
              <w:rPr>
                <w:rFonts w:hint="eastAsia" w:ascii="Times New Roman" w:hAnsi="Times New Roman" w:eastAsia="黑体" w:cs="Times New Roman"/>
                <w:color w:val="000000"/>
                <w:kern w:val="0"/>
                <w:sz w:val="22"/>
              </w:rPr>
              <w:t>安全保障</w:t>
            </w:r>
          </w:p>
        </w:tc>
        <w:tc>
          <w:tcPr>
            <w:tcW w:w="555" w:type="dxa"/>
            <w:tcBorders>
              <w:top w:val="single" w:color="auto" w:sz="4" w:space="0"/>
              <w:left w:val="single" w:color="auto" w:sz="8" w:space="0"/>
              <w:bottom w:val="single" w:color="auto" w:sz="8" w:space="0"/>
              <w:right w:val="single" w:color="auto" w:sz="8" w:space="0"/>
            </w:tcBorders>
            <w:vAlign w:val="center"/>
          </w:tcPr>
          <w:p>
            <w:pPr>
              <w:jc w:val="center"/>
              <w:rPr>
                <w:rFonts w:ascii="Times New Roman" w:hAnsi="Times New Roman" w:eastAsia="宋体" w:cs="Times New Roman"/>
                <w:b/>
                <w:bCs/>
                <w:color w:val="000000"/>
                <w:kern w:val="0"/>
                <w:sz w:val="22"/>
                <w:szCs w:val="24"/>
              </w:rPr>
            </w:pPr>
            <w:r>
              <w:rPr>
                <w:rFonts w:ascii="Times New Roman" w:hAnsi="Times New Roman" w:eastAsia="宋体" w:cs="Times New Roman"/>
                <w:b/>
                <w:bCs/>
                <w:color w:val="000000"/>
                <w:kern w:val="0"/>
                <w:sz w:val="22"/>
                <w:szCs w:val="24"/>
              </w:rPr>
              <w:t>2</w:t>
            </w:r>
            <w:r>
              <w:rPr>
                <w:rFonts w:hint="eastAsia" w:ascii="Times New Roman" w:hAnsi="Times New Roman" w:eastAsia="宋体" w:cs="Times New Roman"/>
                <w:b/>
                <w:bCs/>
                <w:color w:val="000000"/>
                <w:kern w:val="0"/>
                <w:sz w:val="22"/>
                <w:szCs w:val="24"/>
                <w:lang w:val="en-US" w:eastAsia="zh-CN"/>
              </w:rPr>
              <w:t>3</w:t>
            </w:r>
          </w:p>
        </w:tc>
        <w:tc>
          <w:tcPr>
            <w:tcW w:w="2835" w:type="dxa"/>
            <w:tcBorders>
              <w:top w:val="single" w:color="auto" w:sz="4" w:space="0"/>
              <w:left w:val="nil"/>
              <w:bottom w:val="single" w:color="auto" w:sz="8" w:space="0"/>
              <w:right w:val="single" w:color="000000" w:sz="8" w:space="0"/>
            </w:tcBorders>
            <w:vAlign w:val="center"/>
          </w:tcPr>
          <w:p>
            <w:pPr>
              <w:widowControl/>
              <w:rPr>
                <w:rFonts w:hint="eastAsia" w:ascii="Times New Roman" w:hAnsi="Times New Roman" w:eastAsia="宋体" w:cs="Times New Roman"/>
                <w:color w:val="auto"/>
                <w:kern w:val="0"/>
                <w:sz w:val="22"/>
              </w:rPr>
            </w:pPr>
            <w:r>
              <w:rPr>
                <w:rFonts w:hint="eastAsia" w:ascii="Times New Roman" w:hAnsi="Times New Roman" w:eastAsia="宋体" w:cs="Times New Roman"/>
                <w:color w:val="auto"/>
                <w:kern w:val="0"/>
                <w:sz w:val="22"/>
              </w:rPr>
              <w:t>粮食综合生产能力（万吨）</w:t>
            </w:r>
          </w:p>
        </w:tc>
        <w:tc>
          <w:tcPr>
            <w:tcW w:w="1456"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eastAsia="宋体" w:cs="Times New Roman"/>
                <w:color w:val="auto"/>
                <w:kern w:val="0"/>
                <w:sz w:val="22"/>
                <w:szCs w:val="24"/>
              </w:rPr>
            </w:pPr>
            <w:r>
              <w:rPr>
                <w:rFonts w:hint="eastAsia" w:ascii="Times New Roman" w:hAnsi="Times New Roman" w:eastAsia="宋体" w:cs="Times New Roman"/>
                <w:color w:val="auto"/>
                <w:kern w:val="0"/>
                <w:sz w:val="22"/>
                <w:szCs w:val="24"/>
                <w:lang w:val="en-US" w:eastAsia="zh-CN"/>
              </w:rPr>
              <w:t xml:space="preserve"> </w:t>
            </w:r>
            <w:r>
              <w:rPr>
                <w:rFonts w:hint="default" w:ascii="Times New Roman" w:hAnsi="Times New Roman" w:eastAsia="宋体" w:cs="Times New Roman"/>
                <w:color w:val="auto"/>
                <w:kern w:val="0"/>
                <w:sz w:val="22"/>
                <w:szCs w:val="24"/>
                <w:lang w:val="en-US" w:eastAsia="zh-CN"/>
              </w:rPr>
              <w:t>1.49</w:t>
            </w:r>
          </w:p>
        </w:tc>
        <w:tc>
          <w:tcPr>
            <w:tcW w:w="974"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1.73</w:t>
            </w:r>
          </w:p>
        </w:tc>
        <w:tc>
          <w:tcPr>
            <w:tcW w:w="992" w:type="dxa"/>
            <w:gridSpan w:val="3"/>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0"/>
                <w:sz w:val="22"/>
                <w:szCs w:val="24"/>
                <w:lang w:val="en-US" w:eastAsia="zh-CN"/>
              </w:rPr>
            </w:pPr>
            <w:r>
              <w:rPr>
                <w:rFonts w:hint="eastAsia" w:ascii="Times New Roman" w:hAnsi="Times New Roman" w:eastAsia="宋体" w:cs="Times New Roman"/>
                <w:color w:val="auto"/>
                <w:kern w:val="0"/>
                <w:sz w:val="22"/>
                <w:szCs w:val="24"/>
                <w:lang w:val="en-US" w:eastAsia="zh-CN"/>
              </w:rPr>
              <w:t>—</w:t>
            </w:r>
          </w:p>
        </w:tc>
        <w:tc>
          <w:tcPr>
            <w:tcW w:w="897"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0"/>
                <w:sz w:val="22"/>
                <w:lang w:val="en-US" w:eastAsia="zh-CN"/>
              </w:rPr>
            </w:pPr>
            <w:r>
              <w:rPr>
                <w:rFonts w:hint="eastAsia" w:ascii="Times New Roman" w:hAnsi="Times New Roman" w:eastAsia="宋体" w:cs="Times New Roman"/>
                <w:color w:val="auto"/>
                <w:kern w:val="0"/>
                <w:sz w:val="22"/>
                <w:lang w:val="en-US" w:eastAsia="zh-CN"/>
              </w:rPr>
              <w:t>约束性</w:t>
            </w:r>
          </w:p>
        </w:tc>
        <w:tc>
          <w:tcPr>
            <w:tcW w:w="2306"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0"/>
                <w:sz w:val="22"/>
                <w:lang w:val="en-US" w:eastAsia="zh-CN"/>
              </w:rPr>
            </w:pPr>
            <w:r>
              <w:rPr>
                <w:rFonts w:hint="eastAsia" w:ascii="Times New Roman" w:hAnsi="Times New Roman" w:eastAsia="宋体" w:cs="Times New Roman"/>
                <w:color w:val="auto"/>
                <w:kern w:val="0"/>
                <w:sz w:val="22"/>
                <w:lang w:val="en-US" w:eastAsia="zh-CN"/>
              </w:rPr>
              <w:t>区农业局</w:t>
            </w:r>
          </w:p>
        </w:tc>
      </w:tr>
      <w:tr>
        <w:tblPrEx>
          <w:tblCellMar>
            <w:top w:w="0" w:type="dxa"/>
            <w:left w:w="108" w:type="dxa"/>
            <w:bottom w:w="0" w:type="dxa"/>
            <w:right w:w="108" w:type="dxa"/>
          </w:tblCellMar>
        </w:tblPrEx>
        <w:trPr>
          <w:trHeight w:val="389" w:hRule="atLeast"/>
          <w:jc w:val="center"/>
        </w:trPr>
        <w:tc>
          <w:tcPr>
            <w:tcW w:w="856" w:type="dxa"/>
            <w:vMerge w:val="continue"/>
            <w:tcBorders>
              <w:left w:val="single" w:color="auto" w:sz="8" w:space="0"/>
              <w:bottom w:val="single" w:color="auto" w:sz="8" w:space="0"/>
              <w:right w:val="single" w:color="auto" w:sz="8" w:space="0"/>
            </w:tcBorders>
            <w:vAlign w:val="center"/>
          </w:tcPr>
          <w:p>
            <w:pPr>
              <w:jc w:val="center"/>
              <w:rPr>
                <w:rFonts w:ascii="Times New Roman" w:hAnsi="Times New Roman" w:eastAsia="宋体" w:cs="Times New Roman"/>
                <w:b/>
                <w:bCs/>
                <w:color w:val="000000"/>
                <w:kern w:val="0"/>
                <w:sz w:val="22"/>
              </w:rPr>
            </w:pPr>
          </w:p>
        </w:tc>
        <w:tc>
          <w:tcPr>
            <w:tcW w:w="555"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宋体" w:cs="Times New Roman"/>
                <w:b/>
                <w:bCs/>
                <w:color w:val="000000"/>
                <w:kern w:val="0"/>
                <w:sz w:val="22"/>
                <w:szCs w:val="24"/>
              </w:rPr>
            </w:pPr>
            <w:r>
              <w:rPr>
                <w:rFonts w:ascii="Times New Roman" w:hAnsi="Times New Roman" w:eastAsia="宋体" w:cs="Times New Roman"/>
                <w:b/>
                <w:bCs/>
                <w:color w:val="000000"/>
                <w:kern w:val="0"/>
                <w:sz w:val="22"/>
              </w:rPr>
              <w:t>2</w:t>
            </w:r>
            <w:r>
              <w:rPr>
                <w:rFonts w:hint="eastAsia" w:ascii="Times New Roman" w:hAnsi="Times New Roman" w:eastAsia="宋体" w:cs="Times New Roman"/>
                <w:b/>
                <w:bCs/>
                <w:color w:val="000000"/>
                <w:kern w:val="0"/>
                <w:sz w:val="22"/>
                <w:lang w:val="en-US" w:eastAsia="zh-CN"/>
              </w:rPr>
              <w:t>4</w:t>
            </w:r>
          </w:p>
        </w:tc>
        <w:tc>
          <w:tcPr>
            <w:tcW w:w="2835" w:type="dxa"/>
            <w:tcBorders>
              <w:top w:val="single" w:color="auto" w:sz="8" w:space="0"/>
              <w:left w:val="nil"/>
              <w:bottom w:val="single" w:color="auto" w:sz="8" w:space="0"/>
              <w:right w:val="single" w:color="000000" w:sz="8" w:space="0"/>
            </w:tcBorders>
            <w:vAlign w:val="center"/>
          </w:tcPr>
          <w:p>
            <w:pPr>
              <w:widowControl/>
              <w:rPr>
                <w:rFonts w:ascii="Times New Roman" w:hAnsi="Times New Roman" w:eastAsia="宋体" w:cs="Times New Roman"/>
                <w:color w:val="auto"/>
                <w:kern w:val="0"/>
                <w:sz w:val="22"/>
                <w:szCs w:val="24"/>
              </w:rPr>
            </w:pPr>
            <w:r>
              <w:rPr>
                <w:rFonts w:hint="eastAsia" w:ascii="Times New Roman" w:hAnsi="Times New Roman" w:eastAsia="宋体" w:cs="Times New Roman"/>
                <w:color w:val="auto"/>
                <w:kern w:val="0"/>
                <w:sz w:val="22"/>
              </w:rPr>
              <w:t>能源综合生产能力（</w:t>
            </w:r>
            <w:r>
              <w:rPr>
                <w:rFonts w:hint="eastAsia" w:ascii="Times New Roman" w:hAnsi="Times New Roman" w:eastAsia="宋体" w:cs="Times New Roman"/>
                <w:color w:val="auto"/>
                <w:kern w:val="0"/>
                <w:sz w:val="22"/>
                <w:lang w:val="en-US" w:eastAsia="zh-CN"/>
              </w:rPr>
              <w:t>万吨标准煤</w:t>
            </w:r>
            <w:r>
              <w:rPr>
                <w:rFonts w:hint="eastAsia" w:ascii="Times New Roman" w:hAnsi="Times New Roman" w:eastAsia="宋体" w:cs="Times New Roman"/>
                <w:color w:val="auto"/>
                <w:kern w:val="0"/>
                <w:sz w:val="22"/>
              </w:rPr>
              <w:t>）</w:t>
            </w:r>
          </w:p>
        </w:tc>
        <w:tc>
          <w:tcPr>
            <w:tcW w:w="1456"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eastAsia="宋体" w:cs="Times New Roman"/>
                <w:color w:val="auto"/>
                <w:kern w:val="0"/>
                <w:sz w:val="22"/>
                <w:szCs w:val="24"/>
                <w:highlight w:val="none"/>
                <w:lang w:val="en-US"/>
              </w:rPr>
            </w:pPr>
            <w:r>
              <w:rPr>
                <w:rFonts w:ascii="Times New Roman" w:hAnsi="Times New Roman" w:eastAsia="宋体" w:cs="Times New Roman"/>
                <w:color w:val="auto"/>
                <w:kern w:val="0"/>
                <w:sz w:val="22"/>
                <w:szCs w:val="24"/>
                <w:highlight w:val="none"/>
                <w:lang w:val="en-US"/>
              </w:rPr>
              <w:t>4363.49</w:t>
            </w:r>
          </w:p>
        </w:tc>
        <w:tc>
          <w:tcPr>
            <w:tcW w:w="974"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Times New Roman" w:hAnsi="Times New Roman" w:eastAsia="宋体" w:cs="Times New Roman"/>
                <w:color w:val="auto"/>
                <w:kern w:val="0"/>
                <w:sz w:val="22"/>
                <w:szCs w:val="24"/>
                <w:highlight w:val="none"/>
                <w:lang w:val="en-US"/>
              </w:rPr>
            </w:pPr>
            <w:r>
              <w:rPr>
                <w:rFonts w:ascii="Times New Roman" w:hAnsi="Times New Roman" w:eastAsia="宋体" w:cs="Times New Roman"/>
                <w:color w:val="auto"/>
                <w:kern w:val="0"/>
                <w:sz w:val="22"/>
                <w:szCs w:val="24"/>
                <w:highlight w:val="none"/>
                <w:lang w:val="en-US"/>
              </w:rPr>
              <w:t>9709.1</w:t>
            </w:r>
          </w:p>
        </w:tc>
        <w:tc>
          <w:tcPr>
            <w:tcW w:w="992" w:type="dxa"/>
            <w:gridSpan w:val="3"/>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宋体" w:cs="Times New Roman"/>
                <w:color w:val="auto"/>
                <w:kern w:val="0"/>
                <w:sz w:val="22"/>
                <w:szCs w:val="24"/>
                <w:lang w:val="en-US" w:eastAsia="zh-CN"/>
              </w:rPr>
            </w:pPr>
            <w:r>
              <w:rPr>
                <w:rFonts w:ascii="Times New Roman" w:hAnsi="Times New Roman" w:eastAsia="宋体" w:cs="Times New Roman"/>
                <w:color w:val="auto"/>
                <w:kern w:val="0"/>
                <w:sz w:val="22"/>
                <w:szCs w:val="24"/>
                <w:highlight w:val="none"/>
                <w:lang w:val="en-US"/>
              </w:rPr>
              <w:t>37361.6</w:t>
            </w:r>
          </w:p>
        </w:tc>
        <w:tc>
          <w:tcPr>
            <w:tcW w:w="897"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eastAsia="宋体" w:cs="Times New Roman"/>
                <w:color w:val="auto"/>
                <w:kern w:val="0"/>
                <w:sz w:val="22"/>
                <w:szCs w:val="24"/>
              </w:rPr>
            </w:pPr>
            <w:r>
              <w:rPr>
                <w:rFonts w:hint="eastAsia" w:ascii="Times New Roman" w:hAnsi="Times New Roman" w:eastAsia="宋体" w:cs="Times New Roman"/>
                <w:color w:val="auto"/>
                <w:kern w:val="0"/>
                <w:sz w:val="22"/>
                <w:lang w:val="en-US" w:eastAsia="zh-CN"/>
              </w:rPr>
              <w:t>约束</w:t>
            </w:r>
            <w:r>
              <w:rPr>
                <w:rFonts w:ascii="Times New Roman" w:hAnsi="Times New Roman" w:eastAsia="宋体" w:cs="Times New Roman"/>
                <w:color w:val="auto"/>
                <w:kern w:val="0"/>
                <w:sz w:val="22"/>
              </w:rPr>
              <w:t>性</w:t>
            </w:r>
          </w:p>
        </w:tc>
        <w:tc>
          <w:tcPr>
            <w:tcW w:w="2306"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0"/>
                <w:sz w:val="22"/>
                <w:lang w:val="en-US" w:eastAsia="zh-CN"/>
              </w:rPr>
            </w:pPr>
            <w:r>
              <w:rPr>
                <w:rFonts w:hint="eastAsia" w:ascii="Times New Roman" w:hAnsi="Times New Roman" w:eastAsia="宋体" w:cs="Times New Roman"/>
                <w:color w:val="auto"/>
                <w:kern w:val="0"/>
                <w:sz w:val="22"/>
                <w:lang w:val="en-US" w:eastAsia="zh-CN"/>
              </w:rPr>
              <w:t>区经发局、海陵供电局</w:t>
            </w:r>
          </w:p>
        </w:tc>
      </w:tr>
    </w:tbl>
    <w:p>
      <w:pPr>
        <w:adjustRightInd w:val="0"/>
        <w:snapToGrid w:val="0"/>
        <w:spacing w:line="600" w:lineRule="exact"/>
        <w:jc w:val="center"/>
        <w:outlineLvl w:val="0"/>
        <w:rPr>
          <w:rFonts w:ascii="方正小标宋简体" w:eastAsia="方正小标宋简体" w:cs="仿宋" w:hAnsiTheme="minorEastAsia"/>
          <w:color w:val="auto"/>
          <w:spacing w:val="-12"/>
          <w:sz w:val="32"/>
          <w:szCs w:val="32"/>
        </w:rPr>
      </w:pPr>
      <w:bookmarkStart w:id="44" w:name="_Toc27379"/>
      <w:r>
        <w:rPr>
          <w:rFonts w:hint="eastAsia" w:ascii="方正小标宋简体" w:eastAsia="方正小标宋简体" w:cs="仿宋" w:hAnsiTheme="minorEastAsia"/>
          <w:color w:val="auto"/>
          <w:spacing w:val="-12"/>
          <w:sz w:val="32"/>
          <w:szCs w:val="32"/>
        </w:rPr>
        <w:t>第三章 对接“双区”建设，</w:t>
      </w:r>
      <w:bookmarkEnd w:id="43"/>
      <w:r>
        <w:rPr>
          <w:rFonts w:hint="eastAsia" w:ascii="方正小标宋简体" w:eastAsia="方正小标宋简体" w:cs="仿宋" w:hAnsiTheme="minorEastAsia"/>
          <w:color w:val="auto"/>
          <w:spacing w:val="-12"/>
          <w:sz w:val="32"/>
          <w:szCs w:val="32"/>
        </w:rPr>
        <w:t>融入</w:t>
      </w:r>
      <w:bookmarkStart w:id="45" w:name="OLE_LINK54"/>
      <w:r>
        <w:rPr>
          <w:rFonts w:hint="eastAsia" w:ascii="方正小标宋简体" w:eastAsia="方正小标宋简体" w:cs="仿宋" w:hAnsiTheme="minorEastAsia"/>
          <w:color w:val="auto"/>
          <w:spacing w:val="-12"/>
          <w:sz w:val="32"/>
          <w:szCs w:val="32"/>
        </w:rPr>
        <w:t>“一核一带一区”区域格局</w:t>
      </w:r>
      <w:bookmarkEnd w:id="44"/>
      <w:bookmarkEnd w:id="45"/>
    </w:p>
    <w:bookmarkEnd w:id="2"/>
    <w:p>
      <w:pPr>
        <w:widowControl/>
        <w:adjustRightInd w:val="0"/>
        <w:snapToGrid w:val="0"/>
        <w:spacing w:line="600" w:lineRule="exact"/>
        <w:ind w:firstLine="640" w:firstLineChars="200"/>
        <w:rPr>
          <w:color w:val="auto"/>
        </w:rPr>
      </w:pPr>
      <w:r>
        <w:rPr>
          <w:rFonts w:hint="eastAsia" w:ascii="仿宋" w:hAnsi="仿宋" w:eastAsia="仿宋" w:cs="仿宋_GB2312"/>
          <w:color w:val="auto"/>
          <w:sz w:val="32"/>
          <w:szCs w:val="32"/>
        </w:rPr>
        <w:t>主动融入粤港澳大湾区和深圳中国特色社会主义先行示范区“双区”发展大局，推动形成与“双区”优势互补高质量发展布局，助力我省构建“一核一带一区”区域发展格局。</w:t>
      </w:r>
    </w:p>
    <w:p>
      <w:pPr>
        <w:adjustRightInd w:val="0"/>
        <w:snapToGrid w:val="0"/>
        <w:spacing w:line="600" w:lineRule="exact"/>
        <w:jc w:val="center"/>
        <w:outlineLvl w:val="1"/>
        <w:rPr>
          <w:rFonts w:ascii="黑体" w:hAnsi="黑体" w:eastAsia="黑体" w:cs="仿宋"/>
          <w:color w:val="auto"/>
          <w:sz w:val="32"/>
          <w:szCs w:val="32"/>
        </w:rPr>
      </w:pPr>
      <w:bookmarkStart w:id="46" w:name="_Toc16088"/>
      <w:bookmarkStart w:id="47" w:name="_Toc31422"/>
      <w:r>
        <w:rPr>
          <w:rFonts w:hint="eastAsia" w:ascii="黑体" w:hAnsi="黑体" w:eastAsia="黑体" w:cs="仿宋"/>
          <w:color w:val="auto"/>
          <w:sz w:val="32"/>
          <w:szCs w:val="32"/>
        </w:rPr>
        <w:t>第一节 全力东融粤港澳大湾区</w:t>
      </w:r>
      <w:bookmarkEnd w:id="46"/>
      <w:bookmarkEnd w:id="47"/>
    </w:p>
    <w:p>
      <w:pPr>
        <w:adjustRightInd w:val="0"/>
        <w:snapToGrid w:val="0"/>
        <w:spacing w:line="6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加快融入粤港澳大湾区和深圳中国特色社会主义先行示范区，深化在基础设施、产业合作、科技创新等领域合作，加快“融湾强带”步伐。</w:t>
      </w:r>
    </w:p>
    <w:p>
      <w:pPr>
        <w:adjustRightInd w:val="0"/>
        <w:snapToGrid w:val="0"/>
        <w:spacing w:line="600" w:lineRule="exact"/>
        <w:ind w:firstLine="643" w:firstLineChars="200"/>
        <w:rPr>
          <w:rFonts w:ascii="仿宋" w:hAnsi="仿宋" w:eastAsia="仿宋" w:cs="仿宋_GB2312"/>
          <w:b/>
          <w:bCs/>
          <w:color w:val="auto"/>
          <w:sz w:val="32"/>
          <w:szCs w:val="32"/>
        </w:rPr>
      </w:pPr>
      <w:bookmarkStart w:id="48" w:name="OLE_LINK78"/>
      <w:r>
        <w:rPr>
          <w:rFonts w:hint="eastAsia" w:ascii="仿宋" w:hAnsi="仿宋" w:eastAsia="仿宋" w:cs="仿宋_GB2312"/>
          <w:b/>
          <w:bCs/>
          <w:color w:val="auto"/>
          <w:sz w:val="32"/>
          <w:szCs w:val="32"/>
        </w:rPr>
        <w:t>强化基础设施互联互通</w:t>
      </w:r>
      <w:bookmarkEnd w:id="48"/>
      <w:r>
        <w:rPr>
          <w:rFonts w:hint="eastAsia" w:ascii="仿宋" w:hAnsi="仿宋" w:eastAsia="仿宋" w:cs="仿宋_GB2312"/>
          <w:b/>
          <w:bCs/>
          <w:color w:val="auto"/>
          <w:sz w:val="32"/>
          <w:szCs w:val="32"/>
        </w:rPr>
        <w:t>。</w:t>
      </w:r>
      <w:r>
        <w:rPr>
          <w:rFonts w:hint="eastAsia" w:ascii="仿宋" w:hAnsi="仿宋" w:eastAsia="仿宋" w:cs="仿宋_GB2312"/>
          <w:color w:val="auto"/>
          <w:sz w:val="32"/>
          <w:szCs w:val="32"/>
        </w:rPr>
        <w:t>大力</w:t>
      </w:r>
      <w:bookmarkStart w:id="49" w:name="OLE_LINK79"/>
      <w:r>
        <w:rPr>
          <w:rFonts w:hint="eastAsia" w:ascii="仿宋" w:hAnsi="仿宋" w:eastAsia="仿宋" w:cs="仿宋_GB2312"/>
          <w:color w:val="auto"/>
          <w:sz w:val="32"/>
          <w:szCs w:val="32"/>
        </w:rPr>
        <w:t>推进</w:t>
      </w:r>
      <w:bookmarkStart w:id="50" w:name="OLE_LINK41"/>
      <w:r>
        <w:rPr>
          <w:rFonts w:hint="eastAsia" w:ascii="仿宋" w:hAnsi="仿宋" w:eastAsia="仿宋" w:cs="仿宋_GB2312"/>
          <w:color w:val="auto"/>
          <w:sz w:val="32"/>
          <w:szCs w:val="32"/>
        </w:rPr>
        <w:t>阳江市快速公共交通1号线一期工程</w:t>
      </w:r>
      <w:bookmarkEnd w:id="50"/>
      <w:r>
        <w:rPr>
          <w:rFonts w:hint="eastAsia" w:ascii="仿宋" w:hAnsi="仿宋" w:eastAsia="仿宋" w:cs="仿宋_GB2312"/>
          <w:color w:val="auto"/>
          <w:sz w:val="32"/>
          <w:szCs w:val="32"/>
        </w:rPr>
        <w:t>建设</w:t>
      </w:r>
      <w:bookmarkEnd w:id="49"/>
      <w:r>
        <w:rPr>
          <w:rFonts w:hint="eastAsia" w:ascii="仿宋" w:hAnsi="仿宋" w:eastAsia="仿宋" w:cs="仿宋_GB2312"/>
          <w:color w:val="auto"/>
          <w:sz w:val="32"/>
          <w:szCs w:val="32"/>
        </w:rPr>
        <w:t>，加强对接广湛高铁、深茂铁路等沿海铁路通道，加快构建海陵岛与珠海、广州等粤港澳大湾区重点城市“两小时经济圈”。</w:t>
      </w:r>
      <w:bookmarkStart w:id="51" w:name="OLE_LINK80"/>
      <w:r>
        <w:rPr>
          <w:rFonts w:hint="eastAsia" w:ascii="仿宋" w:hAnsi="仿宋" w:eastAsia="仿宋" w:cs="仿宋_GB2312"/>
          <w:color w:val="auto"/>
          <w:sz w:val="32"/>
          <w:szCs w:val="32"/>
        </w:rPr>
        <w:t>争取开通</w:t>
      </w:r>
      <w:bookmarkStart w:id="52" w:name="OLE_LINK46"/>
      <w:r>
        <w:rPr>
          <w:rFonts w:hint="eastAsia" w:ascii="仿宋" w:hAnsi="仿宋" w:eastAsia="仿宋" w:cs="仿宋_GB2312"/>
          <w:color w:val="auto"/>
          <w:sz w:val="32"/>
          <w:szCs w:val="32"/>
        </w:rPr>
        <w:t>深圳—珠海—海陵岛</w:t>
      </w:r>
      <w:bookmarkEnd w:id="52"/>
      <w:r>
        <w:rPr>
          <w:rFonts w:hint="eastAsia" w:ascii="仿宋" w:hAnsi="仿宋" w:eastAsia="仿宋" w:cs="仿宋_GB2312"/>
          <w:color w:val="auto"/>
          <w:sz w:val="32"/>
          <w:szCs w:val="32"/>
        </w:rPr>
        <w:t>、广州—珠海—海陵岛、香港-珠海-海陵岛等海上旅游航线。支持大湾区各类企业参与海陵岛交通、信息、园区等基础设施建设。</w:t>
      </w:r>
    </w:p>
    <w:bookmarkEnd w:id="51"/>
    <w:p>
      <w:pPr>
        <w:adjustRightInd w:val="0"/>
        <w:snapToGrid w:val="0"/>
        <w:spacing w:line="600" w:lineRule="exact"/>
        <w:ind w:firstLine="643" w:firstLineChars="200"/>
        <w:rPr>
          <w:rFonts w:ascii="仿宋" w:hAnsi="仿宋" w:eastAsia="仿宋" w:cs="仿宋_GB2312"/>
          <w:bCs/>
          <w:color w:val="auto"/>
          <w:sz w:val="32"/>
          <w:szCs w:val="32"/>
        </w:rPr>
      </w:pPr>
      <w:bookmarkStart w:id="53" w:name="OLE_LINK81"/>
      <w:bookmarkStart w:id="54" w:name="OLE_LINK36"/>
      <w:bookmarkStart w:id="55" w:name="OLE_LINK84"/>
      <w:r>
        <w:rPr>
          <w:rFonts w:hint="eastAsia" w:ascii="仿宋" w:hAnsi="仿宋" w:eastAsia="仿宋" w:cs="仿宋_GB2312"/>
          <w:b/>
          <w:color w:val="auto"/>
          <w:sz w:val="32"/>
          <w:szCs w:val="32"/>
        </w:rPr>
        <w:t>共建海洋产业高质量发展体系</w:t>
      </w:r>
      <w:bookmarkEnd w:id="53"/>
      <w:r>
        <w:rPr>
          <w:rFonts w:hint="eastAsia" w:ascii="仿宋" w:hAnsi="仿宋" w:eastAsia="仿宋" w:cs="仿宋_GB2312"/>
          <w:b/>
          <w:color w:val="auto"/>
          <w:sz w:val="32"/>
          <w:szCs w:val="32"/>
        </w:rPr>
        <w:t>。</w:t>
      </w:r>
      <w:bookmarkEnd w:id="54"/>
      <w:r>
        <w:rPr>
          <w:rFonts w:hint="eastAsia" w:ascii="仿宋" w:hAnsi="仿宋" w:eastAsia="仿宋" w:cs="仿宋_GB2312"/>
          <w:bCs/>
          <w:color w:val="auto"/>
          <w:sz w:val="32"/>
          <w:szCs w:val="32"/>
        </w:rPr>
        <w:t>依托滨海旅游、海丝文化、海岛美食等优势基础，打造大湾区精品旅游休闲目的地。以大湾区国际游艇旅游自由港建设为契机，推动海陵岛与大湾区在海洋文旅领域的创新合作，探索开设海洋旅游路线，大力吸引大湾区旅客到海陵岛旅游消费，共同打造海洋文化品牌。</w:t>
      </w:r>
      <w:r>
        <w:rPr>
          <w:rFonts w:hint="eastAsia" w:ascii="仿宋" w:hAnsi="仿宋" w:eastAsia="仿宋" w:cs="仿宋_GB2312"/>
          <w:color w:val="auto"/>
          <w:sz w:val="32"/>
          <w:szCs w:val="32"/>
        </w:rPr>
        <w:t>主动承接粤港澳大湾区产业链转移，</w:t>
      </w:r>
      <w:bookmarkStart w:id="56" w:name="OLE_LINK82"/>
      <w:r>
        <w:rPr>
          <w:rFonts w:hint="eastAsia" w:ascii="仿宋" w:hAnsi="仿宋" w:eastAsia="仿宋" w:cs="仿宋_GB2312"/>
          <w:bCs/>
          <w:color w:val="auto"/>
          <w:sz w:val="32"/>
          <w:szCs w:val="32"/>
        </w:rPr>
        <w:t>争取大湾区海洋生物医药、交通运输、精深加工渔业等领域龙头企业将相关配套环节落户海陵岛</w:t>
      </w:r>
      <w:bookmarkEnd w:id="56"/>
      <w:r>
        <w:rPr>
          <w:rFonts w:hint="eastAsia" w:ascii="仿宋" w:hAnsi="仿宋" w:eastAsia="仿宋" w:cs="仿宋_GB2312"/>
          <w:color w:val="auto"/>
          <w:sz w:val="32"/>
          <w:szCs w:val="32"/>
        </w:rPr>
        <w:t>。</w:t>
      </w:r>
      <w:r>
        <w:rPr>
          <w:rFonts w:hint="eastAsia" w:ascii="仿宋" w:hAnsi="仿宋" w:eastAsia="仿宋" w:cs="仿宋_GB2312"/>
          <w:bCs/>
          <w:color w:val="auto"/>
          <w:sz w:val="32"/>
          <w:szCs w:val="32"/>
        </w:rPr>
        <w:t>推动在广州、深圳、香港、澳门等粤港澳大湾区核心城市设立招商联络处，实施精准招商、项目招商、产业链招商行动，引进重大项目落户。</w:t>
      </w:r>
    </w:p>
    <w:p>
      <w:pPr>
        <w:adjustRightInd w:val="0"/>
        <w:snapToGrid w:val="0"/>
        <w:spacing w:line="600" w:lineRule="exact"/>
        <w:ind w:firstLine="643" w:firstLineChars="200"/>
        <w:rPr>
          <w:rFonts w:ascii="仿宋" w:hAnsi="仿宋" w:eastAsia="仿宋" w:cs="仿宋_GB2312"/>
          <w:color w:val="auto"/>
          <w:sz w:val="32"/>
          <w:szCs w:val="32"/>
        </w:rPr>
      </w:pPr>
      <w:r>
        <w:rPr>
          <w:rFonts w:hint="eastAsia" w:ascii="仿宋" w:hAnsi="仿宋" w:eastAsia="仿宋" w:cs="仿宋_GB2312"/>
          <w:b/>
          <w:bCs/>
          <w:color w:val="auto"/>
          <w:sz w:val="32"/>
          <w:szCs w:val="32"/>
        </w:rPr>
        <w:t>打造大湾区农渔产品供应基地</w:t>
      </w:r>
      <w:bookmarkEnd w:id="55"/>
      <w:r>
        <w:rPr>
          <w:rFonts w:hint="eastAsia" w:ascii="仿宋" w:hAnsi="仿宋" w:eastAsia="仿宋" w:cs="仿宋_GB2312"/>
          <w:b/>
          <w:bCs/>
          <w:color w:val="auto"/>
          <w:sz w:val="32"/>
          <w:szCs w:val="32"/>
        </w:rPr>
        <w:t>。</w:t>
      </w:r>
      <w:bookmarkStart w:id="57" w:name="OLE_LINK87"/>
      <w:r>
        <w:rPr>
          <w:rFonts w:hint="eastAsia" w:ascii="仿宋" w:hAnsi="仿宋" w:eastAsia="仿宋" w:cs="仿宋_GB2312"/>
          <w:color w:val="auto"/>
          <w:sz w:val="32"/>
          <w:szCs w:val="32"/>
        </w:rPr>
        <w:t>深入对接广州、深圳、珠海、东莞等城市，争取将海陵岛优势农产品基地认定为大湾区“菜篮子”基地</w:t>
      </w:r>
      <w:bookmarkEnd w:id="57"/>
      <w:r>
        <w:rPr>
          <w:rFonts w:hint="eastAsia" w:ascii="仿宋" w:hAnsi="仿宋" w:eastAsia="仿宋" w:cs="仿宋_GB2312"/>
          <w:color w:val="auto"/>
          <w:sz w:val="32"/>
          <w:szCs w:val="32"/>
        </w:rPr>
        <w:t>，畅通海陵岛优质特色农渔产品进入大湾区市场渠道，满足珠三角核心区和港澳地区市场消费需求。加快打通农渔产品与大湾区产销流通堵点，大力发展农村电商、冷链物流，推广“农超对接”等产销一体化模式，</w:t>
      </w:r>
      <w:bookmarkStart w:id="58" w:name="OLE_LINK85"/>
      <w:r>
        <w:rPr>
          <w:rFonts w:hint="eastAsia" w:ascii="仿宋" w:hAnsi="仿宋" w:eastAsia="仿宋" w:cs="仿宋_GB2312"/>
          <w:color w:val="auto"/>
          <w:sz w:val="32"/>
          <w:szCs w:val="32"/>
        </w:rPr>
        <w:t>组织本土农渔业经营主体和名优特产企业参加农产品宣传推介和展销会展活动</w:t>
      </w:r>
      <w:bookmarkEnd w:id="58"/>
      <w:r>
        <w:rPr>
          <w:rFonts w:hint="eastAsia" w:ascii="仿宋" w:hAnsi="仿宋" w:eastAsia="仿宋" w:cs="仿宋_GB2312"/>
          <w:color w:val="auto"/>
          <w:sz w:val="32"/>
          <w:szCs w:val="32"/>
        </w:rPr>
        <w:t>。大力扶持农渔产品及食品加工企业发展，实施扶持供应大湾区特色农渔产品食品企业倍增计划，支持企业对接大湾区市场。</w:t>
      </w:r>
      <w:bookmarkStart w:id="59" w:name="OLE_LINK86"/>
      <w:r>
        <w:rPr>
          <w:rFonts w:hint="eastAsia" w:ascii="仿宋" w:hAnsi="仿宋" w:eastAsia="仿宋" w:cs="仿宋_GB2312"/>
          <w:color w:val="auto"/>
          <w:sz w:val="32"/>
          <w:szCs w:val="32"/>
        </w:rPr>
        <w:t>成立供港澳食品企业联盟，对标港澳农渔食品在检验检疫等方面准入标准，推动农渔产品食品进入港澳市场。</w:t>
      </w:r>
      <w:bookmarkEnd w:id="59"/>
    </w:p>
    <w:p>
      <w:pPr>
        <w:adjustRightInd w:val="0"/>
        <w:snapToGrid w:val="0"/>
        <w:spacing w:line="600" w:lineRule="exact"/>
        <w:ind w:firstLine="643" w:firstLineChars="200"/>
        <w:rPr>
          <w:rFonts w:ascii="仿宋" w:hAnsi="仿宋" w:eastAsia="仿宋" w:cs="仿宋_GB2312"/>
          <w:color w:val="auto"/>
          <w:sz w:val="32"/>
          <w:szCs w:val="32"/>
        </w:rPr>
      </w:pPr>
      <w:bookmarkStart w:id="60" w:name="OLE_LINK88"/>
      <w:r>
        <w:rPr>
          <w:rFonts w:hint="eastAsia" w:ascii="仿宋" w:hAnsi="仿宋" w:eastAsia="仿宋" w:cs="仿宋_GB2312"/>
          <w:b/>
          <w:color w:val="auto"/>
          <w:sz w:val="32"/>
          <w:szCs w:val="32"/>
        </w:rPr>
        <w:t>深化科技创新协同发展</w:t>
      </w:r>
      <w:bookmarkEnd w:id="60"/>
      <w:r>
        <w:rPr>
          <w:rFonts w:hint="eastAsia" w:ascii="仿宋" w:hAnsi="仿宋" w:eastAsia="仿宋" w:cs="仿宋_GB2312"/>
          <w:b/>
          <w:color w:val="auto"/>
          <w:sz w:val="32"/>
          <w:szCs w:val="32"/>
        </w:rPr>
        <w:t>。</w:t>
      </w:r>
      <w:r>
        <w:rPr>
          <w:rFonts w:hint="eastAsia" w:ascii="仿宋" w:hAnsi="仿宋" w:eastAsia="仿宋" w:cs="仿宋_GB2312"/>
          <w:bCs/>
          <w:color w:val="auto"/>
          <w:sz w:val="32"/>
          <w:szCs w:val="32"/>
        </w:rPr>
        <w:t>统筹利用大湾区海洋科技创新资源，</w:t>
      </w:r>
      <w:bookmarkStart w:id="61" w:name="OLE_LINK89"/>
      <w:r>
        <w:rPr>
          <w:rFonts w:hint="eastAsia" w:ascii="仿宋" w:hAnsi="仿宋" w:eastAsia="仿宋" w:cs="仿宋_GB2312"/>
          <w:bCs/>
          <w:color w:val="auto"/>
          <w:sz w:val="32"/>
          <w:szCs w:val="32"/>
        </w:rPr>
        <w:t>鼓励各类高校、科研机构在海陵岛设立分支机构、研究生培养实践基地</w:t>
      </w:r>
      <w:bookmarkEnd w:id="61"/>
      <w:r>
        <w:rPr>
          <w:rFonts w:hint="eastAsia" w:ascii="仿宋" w:hAnsi="仿宋" w:eastAsia="仿宋" w:cs="仿宋_GB2312"/>
          <w:bCs/>
          <w:color w:val="auto"/>
          <w:sz w:val="32"/>
          <w:szCs w:val="32"/>
        </w:rPr>
        <w:t>和新型研发机构，搭建产学研技术联盟、海洋科技成果转移中心、产业联盟等合作平台，为海陵岛企业提升创新能级创造条件。支持海王医药等海洋生物医药重点企业参与南海海洋生物技术国家工程研究中心阳江分中心建设，形成与大湾区功能互补、优势叠加的研发平台。</w:t>
      </w:r>
      <w:bookmarkStart w:id="62" w:name="_Toc8900266"/>
      <w:bookmarkStart w:id="63" w:name="OLE_LINK90"/>
      <w:r>
        <w:rPr>
          <w:rFonts w:hint="eastAsia" w:ascii="仿宋" w:hAnsi="仿宋" w:eastAsia="仿宋" w:cs="仿宋_GB2312"/>
          <w:color w:val="auto"/>
          <w:sz w:val="32"/>
          <w:szCs w:val="32"/>
        </w:rPr>
        <w:t>联合大湾区高校和龙头涉海企业，组织举办国际性海洋技术创新高端论坛。</w:t>
      </w:r>
      <w:bookmarkEnd w:id="62"/>
      <w:r>
        <w:rPr>
          <w:rFonts w:hint="eastAsia" w:ascii="仿宋" w:hAnsi="仿宋" w:eastAsia="仿宋" w:cs="仿宋_GB2312"/>
          <w:color w:val="auto"/>
          <w:sz w:val="32"/>
          <w:szCs w:val="32"/>
        </w:rPr>
        <w:t>鼓励重点企业与大湾区市场主体联合申报国家、省重大科技专项。</w:t>
      </w:r>
    </w:p>
    <w:bookmarkEnd w:id="63"/>
    <w:p>
      <w:pPr>
        <w:pStyle w:val="9"/>
        <w:adjustRightInd w:val="0"/>
        <w:snapToGrid w:val="0"/>
        <w:spacing w:after="0" w:line="600" w:lineRule="exact"/>
        <w:ind w:left="0" w:leftChars="0" w:firstLine="643" w:firstLineChars="200"/>
        <w:rPr>
          <w:rFonts w:hint="eastAsia" w:ascii="仿宋" w:hAnsi="仿宋" w:eastAsia="仿宋" w:cs="仿宋_GB2312"/>
          <w:color w:val="auto"/>
          <w:sz w:val="32"/>
          <w:szCs w:val="32"/>
        </w:rPr>
      </w:pPr>
      <w:bookmarkStart w:id="64" w:name="OLE_LINK91"/>
      <w:r>
        <w:rPr>
          <w:rFonts w:hint="eastAsia" w:ascii="仿宋" w:hAnsi="仿宋" w:eastAsia="仿宋" w:cs="仿宋_GB2312"/>
          <w:b/>
          <w:bCs/>
          <w:color w:val="auto"/>
          <w:sz w:val="32"/>
          <w:szCs w:val="32"/>
        </w:rPr>
        <w:t>进一步对接深圳中国特色社会主义先行示范区建设</w:t>
      </w:r>
      <w:bookmarkEnd w:id="64"/>
      <w:r>
        <w:rPr>
          <w:rFonts w:hint="eastAsia" w:ascii="仿宋" w:hAnsi="仿宋" w:eastAsia="仿宋" w:cs="仿宋_GB2312"/>
          <w:b/>
          <w:bCs/>
          <w:color w:val="auto"/>
          <w:sz w:val="32"/>
          <w:szCs w:val="32"/>
        </w:rPr>
        <w:t>。</w:t>
      </w:r>
      <w:bookmarkStart w:id="65" w:name="OLE_LINK92"/>
      <w:r>
        <w:rPr>
          <w:rFonts w:hint="eastAsia" w:ascii="仿宋" w:hAnsi="仿宋" w:eastAsia="仿宋" w:cs="仿宋_GB2312"/>
          <w:color w:val="auto"/>
          <w:sz w:val="32"/>
          <w:szCs w:val="32"/>
        </w:rPr>
        <w:t>鼓励深圳高新技术企业到海陵岛发展研发类业务。</w:t>
      </w:r>
      <w:bookmarkEnd w:id="65"/>
      <w:r>
        <w:rPr>
          <w:rFonts w:hint="eastAsia" w:ascii="仿宋" w:hAnsi="仿宋" w:eastAsia="仿宋" w:cs="仿宋_GB2312"/>
          <w:color w:val="auto"/>
          <w:sz w:val="32"/>
          <w:szCs w:val="32"/>
        </w:rPr>
        <w:t>加强与深圳科研机构和高科技企业对接合作，推动两地在海洋生物医药、新能源等领域共建重大科技创新平台。</w:t>
      </w:r>
      <w:bookmarkStart w:id="66" w:name="OLE_LINK94"/>
      <w:r>
        <w:rPr>
          <w:rFonts w:hint="eastAsia" w:ascii="仿宋" w:hAnsi="仿宋" w:eastAsia="仿宋" w:cs="仿宋_GB2312"/>
          <w:color w:val="auto"/>
          <w:sz w:val="32"/>
          <w:szCs w:val="32"/>
        </w:rPr>
        <w:t>学习深圳在总部企业招商、落地、服务方面先进经验</w:t>
      </w:r>
      <w:bookmarkEnd w:id="66"/>
      <w:r>
        <w:rPr>
          <w:rFonts w:hint="eastAsia" w:ascii="仿宋" w:hAnsi="仿宋" w:eastAsia="仿宋" w:cs="仿宋_GB2312"/>
          <w:color w:val="auto"/>
          <w:sz w:val="32"/>
          <w:szCs w:val="32"/>
        </w:rPr>
        <w:t>，就相关领域的政府合作、项目发展、产业互利、协同发展开展深度探索。学习深圳改革开放先进经验，在构建高水平投资贸易规则、打造法治化、国际化、便利化营商环境等方面找差距补短板，</w:t>
      </w:r>
      <w:bookmarkStart w:id="67" w:name="OLE_LINK93"/>
      <w:r>
        <w:rPr>
          <w:rFonts w:hint="eastAsia" w:ascii="仿宋" w:hAnsi="仿宋" w:eastAsia="仿宋" w:cs="仿宋_GB2312"/>
          <w:color w:val="auto"/>
          <w:sz w:val="32"/>
          <w:szCs w:val="32"/>
        </w:rPr>
        <w:t>积极推动改革创新经验在海陵岛复制推广</w:t>
      </w:r>
      <w:bookmarkEnd w:id="67"/>
      <w:r>
        <w:rPr>
          <w:rFonts w:hint="eastAsia" w:ascii="仿宋" w:hAnsi="仿宋" w:eastAsia="仿宋" w:cs="仿宋_GB2312"/>
          <w:color w:val="auto"/>
          <w:sz w:val="32"/>
          <w:szCs w:val="32"/>
        </w:rPr>
        <w:t>。</w:t>
      </w:r>
    </w:p>
    <w:p>
      <w:pPr>
        <w:pStyle w:val="9"/>
        <w:adjustRightInd w:val="0"/>
        <w:snapToGrid w:val="0"/>
        <w:spacing w:after="0" w:line="600" w:lineRule="exact"/>
        <w:ind w:left="0" w:leftChars="0" w:firstLine="640" w:firstLineChars="200"/>
        <w:rPr>
          <w:rFonts w:hint="eastAsia" w:ascii="仿宋" w:hAnsi="仿宋" w:eastAsia="仿宋" w:cs="仿宋_GB2312"/>
          <w:color w:val="auto"/>
          <w:sz w:val="32"/>
          <w:szCs w:val="32"/>
        </w:rPr>
      </w:pPr>
    </w:p>
    <w:p>
      <w:pPr>
        <w:adjustRightInd w:val="0"/>
        <w:snapToGrid w:val="0"/>
        <w:spacing w:line="600" w:lineRule="exact"/>
        <w:jc w:val="center"/>
        <w:outlineLvl w:val="1"/>
        <w:rPr>
          <w:rFonts w:ascii="黑体" w:hAnsi="黑体" w:eastAsia="黑体" w:cs="仿宋"/>
          <w:color w:val="auto"/>
          <w:sz w:val="32"/>
          <w:szCs w:val="32"/>
        </w:rPr>
      </w:pPr>
      <w:bookmarkStart w:id="68" w:name="_Toc18078"/>
      <w:bookmarkStart w:id="69" w:name="OLE_LINK48"/>
      <w:bookmarkStart w:id="70" w:name="_Toc8755"/>
      <w:r>
        <w:rPr>
          <w:rFonts w:hint="eastAsia" w:ascii="黑体" w:hAnsi="黑体" w:eastAsia="黑体" w:cs="仿宋"/>
          <w:color w:val="auto"/>
          <w:sz w:val="32"/>
          <w:szCs w:val="32"/>
        </w:rPr>
        <w:t>第二节 深化</w:t>
      </w:r>
      <w:bookmarkStart w:id="71" w:name="OLE_LINK66"/>
      <w:r>
        <w:rPr>
          <w:rFonts w:hint="eastAsia" w:ascii="黑体" w:hAnsi="黑体" w:eastAsia="黑体" w:cs="仿宋"/>
          <w:color w:val="auto"/>
          <w:sz w:val="32"/>
          <w:szCs w:val="32"/>
        </w:rPr>
        <w:t>横琴新区-海陵岛</w:t>
      </w:r>
      <w:bookmarkEnd w:id="68"/>
      <w:r>
        <w:rPr>
          <w:rFonts w:hint="eastAsia" w:ascii="黑体" w:hAnsi="黑体" w:eastAsia="黑体" w:cs="仿宋"/>
          <w:color w:val="auto"/>
          <w:sz w:val="32"/>
          <w:szCs w:val="32"/>
        </w:rPr>
        <w:t>对口帮扶合作</w:t>
      </w:r>
      <w:bookmarkEnd w:id="69"/>
      <w:bookmarkEnd w:id="70"/>
      <w:bookmarkEnd w:id="71"/>
    </w:p>
    <w:p>
      <w:pPr>
        <w:adjustRightInd w:val="0"/>
        <w:snapToGrid w:val="0"/>
        <w:spacing w:line="6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用足用好珠三角地区与粤东粤西粤北地区对口帮扶机制，依托珠海-阳江对口帮扶机制，推动构建横琴新区-海陵岛产业帮扶、民生帮扶、人才帮扶等多元化帮扶模式，进一步激发海陵岛经济发展内生动力。</w:t>
      </w:r>
    </w:p>
    <w:p>
      <w:pPr>
        <w:adjustRightInd w:val="0"/>
        <w:snapToGrid w:val="0"/>
        <w:spacing w:line="600" w:lineRule="exact"/>
        <w:ind w:firstLine="643" w:firstLineChars="200"/>
        <w:rPr>
          <w:rFonts w:ascii="仿宋" w:hAnsi="仿宋" w:eastAsia="仿宋" w:cs="仿宋_GB2312"/>
          <w:color w:val="auto"/>
          <w:sz w:val="32"/>
          <w:szCs w:val="32"/>
        </w:rPr>
      </w:pPr>
      <w:r>
        <w:rPr>
          <w:rFonts w:hint="eastAsia" w:ascii="仿宋" w:hAnsi="仿宋" w:eastAsia="仿宋" w:cs="仿宋_GB2312"/>
          <w:b/>
          <w:color w:val="auto"/>
          <w:sz w:val="32"/>
          <w:szCs w:val="32"/>
        </w:rPr>
        <w:t>深化海洋经济合作。</w:t>
      </w:r>
      <w:r>
        <w:rPr>
          <w:rFonts w:hint="eastAsia" w:ascii="仿宋" w:hAnsi="仿宋" w:eastAsia="仿宋" w:cs="仿宋_GB2312"/>
          <w:color w:val="auto"/>
          <w:sz w:val="32"/>
          <w:szCs w:val="32"/>
        </w:rPr>
        <w:t>依托海陵岛海洋经济优势基础，</w:t>
      </w:r>
      <w:bookmarkStart w:id="72" w:name="OLE_LINK76"/>
      <w:r>
        <w:rPr>
          <w:rFonts w:hint="eastAsia" w:ascii="仿宋" w:hAnsi="仿宋" w:eastAsia="仿宋" w:cs="仿宋_GB2312"/>
          <w:color w:val="auto"/>
          <w:sz w:val="32"/>
          <w:szCs w:val="32"/>
        </w:rPr>
        <w:t>争取珠海在临港工业、海洋生物医药、滨海旅游、海洋生态环保、海洋新能源等优势海洋经济延伸产业链，</w:t>
      </w:r>
      <w:bookmarkEnd w:id="72"/>
      <w:r>
        <w:rPr>
          <w:rFonts w:hint="eastAsia" w:ascii="仿宋" w:hAnsi="仿宋" w:eastAsia="仿宋" w:cs="仿宋_GB2312"/>
          <w:color w:val="auto"/>
          <w:sz w:val="32"/>
          <w:szCs w:val="32"/>
        </w:rPr>
        <w:t>支持珠海海洋生物医药企业在海陵岛探索设立科研基地，协同布局海洋经济产业链供应链，携手打造阳江-珠海海洋经济协作示范区。</w:t>
      </w:r>
      <w:bookmarkStart w:id="73" w:name="OLE_LINK95"/>
      <w:r>
        <w:rPr>
          <w:rFonts w:hint="eastAsia" w:ascii="仿宋" w:hAnsi="仿宋" w:eastAsia="仿宋" w:cs="仿宋_GB2312"/>
          <w:color w:val="auto"/>
          <w:sz w:val="32"/>
          <w:szCs w:val="32"/>
        </w:rPr>
        <w:t>积极开展海洋高等教育交流合作</w:t>
      </w:r>
      <w:bookmarkEnd w:id="73"/>
      <w:r>
        <w:rPr>
          <w:rFonts w:hint="eastAsia" w:ascii="仿宋" w:hAnsi="仿宋" w:eastAsia="仿宋" w:cs="仿宋_GB2312"/>
          <w:color w:val="auto"/>
          <w:sz w:val="32"/>
          <w:szCs w:val="32"/>
        </w:rPr>
        <w:t>，打造集海洋基础研究、应用研究、人才培养、成果转化于一体的海洋科技创新高地。</w:t>
      </w:r>
    </w:p>
    <w:p>
      <w:pPr>
        <w:adjustRightInd w:val="0"/>
        <w:snapToGrid w:val="0"/>
        <w:spacing w:line="600" w:lineRule="exact"/>
        <w:ind w:firstLine="643" w:firstLineChars="200"/>
        <w:rPr>
          <w:rFonts w:ascii="仿宋" w:hAnsi="仿宋" w:eastAsia="仿宋" w:cs="仿宋_GB2312"/>
          <w:color w:val="auto"/>
          <w:sz w:val="32"/>
          <w:szCs w:val="32"/>
        </w:rPr>
      </w:pPr>
      <w:r>
        <w:rPr>
          <w:rFonts w:hint="eastAsia" w:ascii="仿宋" w:hAnsi="仿宋" w:eastAsia="仿宋" w:cs="仿宋_GB2312"/>
          <w:b/>
          <w:bCs/>
          <w:color w:val="auto"/>
          <w:sz w:val="32"/>
          <w:szCs w:val="32"/>
        </w:rPr>
        <w:t>扩大旅游产业合作。</w:t>
      </w:r>
      <w:r>
        <w:rPr>
          <w:rFonts w:hint="eastAsia" w:ascii="仿宋" w:hAnsi="仿宋" w:eastAsia="仿宋" w:cs="仿宋_GB2312"/>
          <w:color w:val="auto"/>
          <w:sz w:val="32"/>
          <w:szCs w:val="32"/>
        </w:rPr>
        <w:t>深度挖掘海陵岛海岛度假休闲旅游资源的独特魅力，</w:t>
      </w:r>
      <w:bookmarkStart w:id="74" w:name="OLE_LINK72"/>
      <w:r>
        <w:rPr>
          <w:rFonts w:hint="eastAsia" w:ascii="仿宋" w:hAnsi="仿宋" w:eastAsia="仿宋" w:cs="仿宋_GB2312"/>
          <w:color w:val="auto"/>
          <w:sz w:val="32"/>
          <w:szCs w:val="32"/>
        </w:rPr>
        <w:t>联合横琴推出</w:t>
      </w:r>
      <w:bookmarkStart w:id="75" w:name="OLE_LINK33"/>
      <w:r>
        <w:rPr>
          <w:rFonts w:hint="eastAsia" w:ascii="仿宋" w:hAnsi="仿宋" w:eastAsia="仿宋" w:cs="仿宋_GB2312"/>
          <w:color w:val="auto"/>
          <w:sz w:val="32"/>
          <w:szCs w:val="32"/>
        </w:rPr>
        <w:t>“长隆-海陵岛”</w:t>
      </w:r>
      <w:bookmarkEnd w:id="75"/>
      <w:r>
        <w:rPr>
          <w:rFonts w:hint="eastAsia" w:ascii="仿宋" w:hAnsi="仿宋" w:eastAsia="仿宋" w:cs="仿宋_GB2312"/>
          <w:color w:val="auto"/>
          <w:sz w:val="32"/>
          <w:szCs w:val="32"/>
        </w:rPr>
        <w:t>旅游线路</w:t>
      </w:r>
      <w:bookmarkEnd w:id="74"/>
      <w:r>
        <w:rPr>
          <w:rFonts w:hint="eastAsia" w:ascii="仿宋" w:hAnsi="仿宋" w:eastAsia="仿宋" w:cs="仿宋_GB2312"/>
          <w:color w:val="auto"/>
          <w:sz w:val="32"/>
          <w:szCs w:val="32"/>
        </w:rPr>
        <w:t>，</w:t>
      </w:r>
      <w:bookmarkStart w:id="76" w:name="OLE_LINK73"/>
      <w:r>
        <w:rPr>
          <w:rFonts w:hint="eastAsia" w:ascii="仿宋" w:hAnsi="仿宋" w:eastAsia="仿宋" w:cs="仿宋_GB2312"/>
          <w:color w:val="auto"/>
          <w:sz w:val="32"/>
          <w:szCs w:val="32"/>
        </w:rPr>
        <w:t>研究</w:t>
      </w:r>
      <w:bookmarkStart w:id="77" w:name="OLE_LINK75"/>
      <w:r>
        <w:rPr>
          <w:rFonts w:hint="eastAsia" w:ascii="仿宋" w:hAnsi="仿宋" w:eastAsia="仿宋" w:cs="仿宋_GB2312"/>
          <w:color w:val="auto"/>
          <w:sz w:val="32"/>
          <w:szCs w:val="32"/>
        </w:rPr>
        <w:t>开通海陵岛-珠海长隆海洋王国、海陵岛-珠海国际机场等</w:t>
      </w:r>
      <w:bookmarkEnd w:id="77"/>
      <w:r>
        <w:rPr>
          <w:rFonts w:hint="eastAsia" w:ascii="仿宋" w:hAnsi="仿宋" w:eastAsia="仿宋" w:cs="仿宋_GB2312"/>
          <w:color w:val="auto"/>
          <w:sz w:val="32"/>
          <w:szCs w:val="32"/>
        </w:rPr>
        <w:t>精品旅游巴士线路</w:t>
      </w:r>
      <w:bookmarkEnd w:id="76"/>
      <w:r>
        <w:rPr>
          <w:rFonts w:hint="eastAsia" w:ascii="仿宋" w:hAnsi="仿宋" w:eastAsia="仿宋" w:cs="仿宋_GB2312"/>
          <w:color w:val="auto"/>
          <w:sz w:val="32"/>
          <w:szCs w:val="32"/>
        </w:rPr>
        <w:t>，进一步提升两地旅游产品美誉度。构建两地旅游业常态化合作机制，</w:t>
      </w:r>
      <w:bookmarkStart w:id="78" w:name="OLE_LINK74"/>
      <w:r>
        <w:rPr>
          <w:rFonts w:hint="eastAsia" w:ascii="仿宋" w:hAnsi="仿宋" w:eastAsia="仿宋" w:cs="仿宋_GB2312"/>
          <w:color w:val="auto"/>
          <w:sz w:val="32"/>
          <w:szCs w:val="32"/>
        </w:rPr>
        <w:t>推动两地旅游行业协会、旅游企业等市场主体共建旅游业合作联盟</w:t>
      </w:r>
      <w:bookmarkEnd w:id="78"/>
      <w:r>
        <w:rPr>
          <w:rFonts w:hint="eastAsia" w:ascii="仿宋" w:hAnsi="仿宋" w:eastAsia="仿宋" w:cs="仿宋_GB2312"/>
          <w:color w:val="auto"/>
          <w:sz w:val="32"/>
          <w:szCs w:val="32"/>
        </w:rPr>
        <w:t>，深化旅游线路、旅游项目、旅游产品等领域合作。</w:t>
      </w:r>
    </w:p>
    <w:p>
      <w:pPr>
        <w:pStyle w:val="6"/>
        <w:adjustRightInd w:val="0"/>
        <w:snapToGrid w:val="0"/>
        <w:spacing w:line="600" w:lineRule="exact"/>
        <w:ind w:firstLine="643"/>
        <w:rPr>
          <w:rFonts w:ascii="仿宋" w:hAnsi="仿宋" w:eastAsia="仿宋" w:cs="仿宋_GB2312"/>
          <w:color w:val="auto"/>
          <w:sz w:val="32"/>
          <w:szCs w:val="32"/>
        </w:rPr>
      </w:pPr>
      <w:bookmarkStart w:id="79" w:name="OLE_LINK67"/>
      <w:r>
        <w:rPr>
          <w:rFonts w:hint="eastAsia" w:ascii="仿宋" w:hAnsi="仿宋" w:eastAsia="仿宋" w:cs="仿宋_GB2312"/>
          <w:b/>
          <w:bCs/>
          <w:color w:val="auto"/>
          <w:sz w:val="32"/>
          <w:szCs w:val="32"/>
        </w:rPr>
        <w:t>强化民生事业帮扶合作</w:t>
      </w:r>
      <w:bookmarkEnd w:id="79"/>
      <w:r>
        <w:rPr>
          <w:rFonts w:hint="eastAsia" w:ascii="仿宋" w:hAnsi="仿宋" w:eastAsia="仿宋" w:cs="仿宋_GB2312"/>
          <w:b/>
          <w:bCs/>
          <w:color w:val="auto"/>
          <w:sz w:val="32"/>
          <w:szCs w:val="32"/>
        </w:rPr>
        <w:t>力度。</w:t>
      </w:r>
      <w:bookmarkStart w:id="80" w:name="OLE_LINK71"/>
      <w:r>
        <w:rPr>
          <w:rFonts w:hint="eastAsia" w:ascii="仿宋" w:hAnsi="仿宋" w:eastAsia="仿宋" w:cs="仿宋_GB2312"/>
          <w:color w:val="auto"/>
          <w:sz w:val="32"/>
          <w:szCs w:val="32"/>
        </w:rPr>
        <w:t>争取横琴新区加大对海陵岛民生事业帮扶力度，优化海陵岛教育、医疗、文化等公共服务资源配置。</w:t>
      </w:r>
      <w:bookmarkEnd w:id="80"/>
      <w:bookmarkStart w:id="81" w:name="OLE_LINK96"/>
      <w:r>
        <w:rPr>
          <w:rFonts w:hint="eastAsia" w:ascii="仿宋" w:hAnsi="仿宋" w:eastAsia="仿宋" w:cs="仿宋_GB2312"/>
          <w:color w:val="auto"/>
          <w:sz w:val="32"/>
          <w:szCs w:val="32"/>
        </w:rPr>
        <w:t>争取横琴新区重点中小学以联合办学等方式扩大海陵岛优质教育资源供给</w:t>
      </w:r>
      <w:bookmarkEnd w:id="81"/>
      <w:r>
        <w:rPr>
          <w:rFonts w:hint="eastAsia" w:ascii="仿宋" w:hAnsi="仿宋" w:eastAsia="仿宋" w:cs="仿宋_GB2312"/>
          <w:color w:val="auto"/>
          <w:sz w:val="32"/>
          <w:szCs w:val="32"/>
        </w:rPr>
        <w:t>，支持开展各类支教、巡回讲学、远程教育交流活动，促进横琴新区先进的教学资源与海陵岛共享。</w:t>
      </w:r>
      <w:bookmarkStart w:id="82" w:name="OLE_LINK97"/>
      <w:r>
        <w:rPr>
          <w:rFonts w:hint="eastAsia" w:ascii="仿宋" w:hAnsi="仿宋" w:eastAsia="仿宋" w:cs="仿宋_GB2312"/>
          <w:color w:val="auto"/>
          <w:sz w:val="32"/>
          <w:szCs w:val="32"/>
        </w:rPr>
        <w:t>支持两地医院开展结对帮扶，推进医疗专业技术人才双向交流。</w:t>
      </w:r>
      <w:bookmarkEnd w:id="82"/>
      <w:r>
        <w:rPr>
          <w:rFonts w:hint="eastAsia" w:ascii="仿宋" w:hAnsi="仿宋" w:eastAsia="仿宋" w:cs="仿宋_GB2312"/>
          <w:color w:val="auto"/>
          <w:sz w:val="32"/>
          <w:szCs w:val="32"/>
        </w:rPr>
        <w:t>整合海陵岛人力资源优势，</w:t>
      </w:r>
      <w:bookmarkStart w:id="83" w:name="OLE_LINK98"/>
      <w:r>
        <w:rPr>
          <w:rFonts w:hint="eastAsia" w:ascii="仿宋" w:hAnsi="仿宋" w:eastAsia="仿宋" w:cs="仿宋_GB2312"/>
          <w:color w:val="auto"/>
          <w:sz w:val="32"/>
          <w:szCs w:val="32"/>
        </w:rPr>
        <w:t>为横琴新区输出定岗、定向、订单式技能人才。</w:t>
      </w:r>
      <w:bookmarkEnd w:id="83"/>
    </w:p>
    <w:p>
      <w:pPr>
        <w:adjustRightInd w:val="0"/>
        <w:snapToGrid w:val="0"/>
        <w:spacing w:line="600" w:lineRule="exact"/>
        <w:ind w:firstLine="643" w:firstLineChars="200"/>
        <w:rPr>
          <w:rFonts w:ascii="仿宋" w:hAnsi="仿宋" w:eastAsia="仿宋"/>
          <w:color w:val="auto"/>
          <w:sz w:val="32"/>
          <w:szCs w:val="32"/>
          <w:highlight w:val="yellow"/>
        </w:rPr>
      </w:pPr>
      <w:r>
        <w:rPr>
          <w:rFonts w:hint="eastAsia" w:ascii="仿宋" w:hAnsi="仿宋" w:eastAsia="仿宋" w:cs="仿宋_GB2312"/>
          <w:b/>
          <w:bCs/>
          <w:color w:val="auto"/>
          <w:sz w:val="32"/>
          <w:szCs w:val="32"/>
        </w:rPr>
        <w:t>推动</w:t>
      </w:r>
      <w:bookmarkStart w:id="84" w:name="OLE_LINK68"/>
      <w:r>
        <w:rPr>
          <w:rFonts w:hint="eastAsia" w:ascii="仿宋" w:hAnsi="仿宋" w:eastAsia="仿宋" w:cs="仿宋_GB2312"/>
          <w:b/>
          <w:bCs/>
          <w:color w:val="auto"/>
          <w:sz w:val="32"/>
          <w:szCs w:val="32"/>
        </w:rPr>
        <w:t>建设</w:t>
      </w:r>
      <w:bookmarkStart w:id="85" w:name="OLE_LINK69"/>
      <w:r>
        <w:rPr>
          <w:rFonts w:hint="eastAsia" w:ascii="仿宋" w:hAnsi="仿宋" w:eastAsia="仿宋" w:cs="仿宋_GB2312"/>
          <w:b/>
          <w:bCs/>
          <w:color w:val="auto"/>
          <w:sz w:val="32"/>
          <w:szCs w:val="32"/>
        </w:rPr>
        <w:t>海陵岛（横琴）创新飞地</w:t>
      </w:r>
      <w:bookmarkEnd w:id="84"/>
      <w:bookmarkEnd w:id="85"/>
      <w:r>
        <w:rPr>
          <w:rFonts w:hint="eastAsia" w:ascii="仿宋" w:hAnsi="仿宋" w:eastAsia="仿宋" w:cs="仿宋_GB2312"/>
          <w:b/>
          <w:bCs/>
          <w:color w:val="auto"/>
          <w:sz w:val="32"/>
          <w:szCs w:val="32"/>
        </w:rPr>
        <w:t>。</w:t>
      </w:r>
      <w:r>
        <w:rPr>
          <w:rFonts w:hint="eastAsia" w:ascii="仿宋" w:hAnsi="仿宋" w:eastAsia="仿宋" w:cs="仿宋_GB2312"/>
          <w:color w:val="auto"/>
          <w:sz w:val="32"/>
          <w:szCs w:val="32"/>
        </w:rPr>
        <w:t>探索</w:t>
      </w:r>
      <w:bookmarkStart w:id="86" w:name="OLE_LINK70"/>
      <w:r>
        <w:rPr>
          <w:rFonts w:hint="eastAsia" w:ascii="仿宋" w:hAnsi="仿宋" w:eastAsia="仿宋" w:cs="仿宋_GB2312"/>
          <w:color w:val="auto"/>
          <w:sz w:val="32"/>
          <w:szCs w:val="32"/>
        </w:rPr>
        <w:t>在横琴中医药产业园等重点园区通过购买租赁等方式建立“创新飞地”</w:t>
      </w:r>
      <w:bookmarkEnd w:id="86"/>
      <w:r>
        <w:rPr>
          <w:rFonts w:hint="eastAsia" w:ascii="仿宋" w:hAnsi="仿宋" w:eastAsia="仿宋" w:cs="仿宋_GB2312"/>
          <w:color w:val="auto"/>
          <w:sz w:val="32"/>
          <w:szCs w:val="32"/>
        </w:rPr>
        <w:t>。以产业链契合为切入点，推动海陵岛传统旅游业、渔业、农业嵌入横琴度假旅游、海洋生物医药、中医药等产业链。大力引进创新型人才、创新型企业等高端创新资源进入海陵岛（横琴）创新飞地，推动海陵岛共享横琴人才、技术、科研设备等创新资源。</w:t>
      </w:r>
    </w:p>
    <w:p>
      <w:pPr>
        <w:adjustRightInd w:val="0"/>
        <w:snapToGrid w:val="0"/>
        <w:spacing w:line="600" w:lineRule="exact"/>
        <w:jc w:val="center"/>
        <w:outlineLvl w:val="1"/>
        <w:rPr>
          <w:rFonts w:ascii="黑体" w:hAnsi="黑体" w:eastAsia="黑体" w:cs="仿宋"/>
          <w:color w:val="auto"/>
          <w:sz w:val="32"/>
          <w:szCs w:val="32"/>
        </w:rPr>
      </w:pPr>
      <w:bookmarkStart w:id="87" w:name="_Toc14533"/>
      <w:r>
        <w:rPr>
          <w:rFonts w:hint="eastAsia" w:ascii="黑体" w:hAnsi="黑体" w:eastAsia="黑体" w:cs="仿宋"/>
          <w:color w:val="auto"/>
          <w:sz w:val="32"/>
          <w:szCs w:val="32"/>
        </w:rPr>
        <w:t xml:space="preserve">第三节 </w:t>
      </w:r>
      <w:r>
        <w:rPr>
          <w:rFonts w:hint="eastAsia" w:ascii="黑体" w:hAnsi="黑体" w:eastAsia="黑体" w:cs="仿宋"/>
          <w:color w:val="auto"/>
          <w:sz w:val="32"/>
          <w:szCs w:val="32"/>
          <w:lang w:eastAsia="zh-CN"/>
        </w:rPr>
        <w:t>主动参与</w:t>
      </w:r>
      <w:r>
        <w:rPr>
          <w:rFonts w:hint="eastAsia" w:ascii="黑体" w:hAnsi="黑体" w:eastAsia="黑体" w:cs="仿宋"/>
          <w:color w:val="auto"/>
          <w:sz w:val="32"/>
          <w:szCs w:val="32"/>
        </w:rPr>
        <w:t>海陵湾沿海经济带</w:t>
      </w:r>
      <w:bookmarkEnd w:id="87"/>
    </w:p>
    <w:p>
      <w:pPr>
        <w:pStyle w:val="11"/>
        <w:adjustRightInd w:val="0"/>
        <w:snapToGrid w:val="0"/>
        <w:spacing w:after="0" w:line="600" w:lineRule="exact"/>
        <w:ind w:left="0" w:leftChars="0" w:firstLine="640" w:firstLineChars="200"/>
        <w:rPr>
          <w:rFonts w:ascii="仿宋" w:hAnsi="仿宋" w:eastAsia="仿宋" w:cs="仿宋_GB2312"/>
          <w:color w:val="auto"/>
          <w:kern w:val="0"/>
          <w:sz w:val="32"/>
          <w:szCs w:val="32"/>
        </w:rPr>
      </w:pPr>
      <w:r>
        <w:rPr>
          <w:rFonts w:hint="eastAsia" w:ascii="仿宋" w:hAnsi="仿宋" w:eastAsia="仿宋" w:cs="仿宋_GB2312"/>
          <w:color w:val="auto"/>
          <w:kern w:val="0"/>
          <w:sz w:val="32"/>
          <w:szCs w:val="32"/>
        </w:rPr>
        <w:t>加快融入阳江海陵湾</w:t>
      </w:r>
      <w:bookmarkStart w:id="88" w:name="OLE_LINK21"/>
      <w:r>
        <w:rPr>
          <w:rFonts w:hint="eastAsia" w:ascii="仿宋" w:hAnsi="仿宋" w:eastAsia="仿宋" w:cs="仿宋_GB2312"/>
          <w:color w:val="auto"/>
          <w:kern w:val="0"/>
          <w:sz w:val="32"/>
          <w:szCs w:val="32"/>
        </w:rPr>
        <w:t>“一核两区、一脊三轴”发展总体格局</w:t>
      </w:r>
      <w:bookmarkEnd w:id="88"/>
      <w:r>
        <w:rPr>
          <w:rFonts w:hint="eastAsia" w:ascii="仿宋" w:hAnsi="仿宋" w:eastAsia="仿宋" w:cs="仿宋_GB2312"/>
          <w:color w:val="auto"/>
          <w:kern w:val="0"/>
          <w:sz w:val="32"/>
          <w:szCs w:val="32"/>
        </w:rPr>
        <w:t>，推动与阳江市内重点区域强化滨海旅游、农渔业等领域合作，助力阳江打造广东沿海经济带重要支点城市。</w:t>
      </w:r>
    </w:p>
    <w:p>
      <w:pPr>
        <w:pStyle w:val="11"/>
        <w:adjustRightInd w:val="0"/>
        <w:snapToGrid w:val="0"/>
        <w:spacing w:after="0" w:line="600" w:lineRule="exact"/>
        <w:ind w:left="0" w:leftChars="0" w:firstLine="643" w:firstLineChars="200"/>
        <w:rPr>
          <w:rFonts w:ascii="仿宋" w:hAnsi="仿宋" w:eastAsia="仿宋" w:cs="仿宋_GB2312"/>
          <w:color w:val="auto"/>
          <w:sz w:val="32"/>
          <w:szCs w:val="32"/>
        </w:rPr>
      </w:pPr>
      <w:r>
        <w:rPr>
          <w:rFonts w:hint="eastAsia" w:ascii="仿宋" w:hAnsi="仿宋" w:eastAsia="仿宋" w:cs="仿宋_GB2312"/>
          <w:b/>
          <w:bCs/>
          <w:color w:val="auto"/>
          <w:sz w:val="32"/>
          <w:szCs w:val="32"/>
        </w:rPr>
        <w:t>共同打造滨海旅游品牌。</w:t>
      </w:r>
      <w:r>
        <w:rPr>
          <w:rFonts w:hint="eastAsia" w:ascii="仿宋" w:hAnsi="仿宋" w:eastAsia="仿宋" w:cs="仿宋_GB2312"/>
          <w:color w:val="auto"/>
          <w:sz w:val="32"/>
          <w:szCs w:val="32"/>
        </w:rPr>
        <w:t>依托阳江滨海旅游发展轴和山海旅游发展轴，推动海陵岛滨海旅游与阳西滨海温泉、江城滨海文化、阳春生态养生等区域旅游特色优势互补，共同擦亮阳江旅游品牌。推动闸坡与东平、沙扒、阳春春湾镇等旅游特色小镇加强旅游度假合作，探索共同开通一程多站旅游线路。加强与东平镇、沙扒镇在现代文明渔港建设等领域互学互鉴。</w:t>
      </w:r>
    </w:p>
    <w:p>
      <w:pPr>
        <w:pStyle w:val="11"/>
        <w:adjustRightInd w:val="0"/>
        <w:snapToGrid w:val="0"/>
        <w:spacing w:after="0" w:line="600" w:lineRule="exact"/>
        <w:ind w:left="0" w:leftChars="0" w:firstLine="643" w:firstLineChars="200"/>
        <w:rPr>
          <w:rFonts w:hint="eastAsia" w:ascii="仿宋" w:hAnsi="仿宋" w:eastAsia="仿宋" w:cs="仿宋_GB2312"/>
          <w:color w:val="auto"/>
          <w:sz w:val="32"/>
          <w:szCs w:val="32"/>
        </w:rPr>
      </w:pPr>
      <w:r>
        <w:rPr>
          <w:rFonts w:hint="eastAsia" w:ascii="仿宋" w:hAnsi="仿宋" w:eastAsia="仿宋" w:cs="仿宋_GB2312"/>
          <w:b/>
          <w:bCs/>
          <w:color w:val="auto"/>
          <w:sz w:val="32"/>
          <w:szCs w:val="32"/>
        </w:rPr>
        <w:t>推动农渔业全方位合作。</w:t>
      </w:r>
      <w:r>
        <w:rPr>
          <w:rFonts w:hint="eastAsia" w:ascii="仿宋" w:hAnsi="仿宋" w:eastAsia="仿宋" w:cs="仿宋_GB2312"/>
          <w:color w:val="auto"/>
          <w:sz w:val="32"/>
          <w:szCs w:val="32"/>
        </w:rPr>
        <w:t>依托海陵岛农渔产品资源优势基础，重点推动海陵岛与阳江高新区开展农渔产品精深加工产业链供应链合作，实现海陵岛资源与高新区产业创新优势互补、合作共赢。加强与雅韶镇、阳西儒洞镇在水果业、水产业、畜牧业和特色作物种植等领域合作，支持与大沟镇、上洋镇深化水产品生产养殖领域交流合作，在交流互鉴中提升农业融合发展，促进农业新业态新模式发展，携手推进乡村振兴。</w:t>
      </w:r>
    </w:p>
    <w:p>
      <w:pPr>
        <w:widowControl/>
        <w:jc w:val="center"/>
        <w:rPr>
          <w:rFonts w:eastAsia="方正小标宋简体"/>
          <w:color w:val="auto"/>
        </w:rPr>
      </w:pPr>
      <w:bookmarkStart w:id="89" w:name="OLE_LINK65"/>
      <w:r>
        <w:rPr>
          <w:rFonts w:hint="eastAsia" w:eastAsia="方正小标宋简体"/>
          <w:b/>
          <w:bCs/>
          <w:color w:val="auto"/>
          <w:kern w:val="0"/>
          <w:sz w:val="28"/>
          <w:szCs w:val="28"/>
        </w:rPr>
        <w:t xml:space="preserve">专栏 </w:t>
      </w:r>
      <w:r>
        <w:rPr>
          <w:rFonts w:eastAsia="方正小标宋简体"/>
          <w:b/>
          <w:bCs/>
          <w:color w:val="auto"/>
          <w:kern w:val="0"/>
          <w:sz w:val="28"/>
          <w:szCs w:val="28"/>
        </w:rPr>
        <w:t xml:space="preserve"> </w:t>
      </w:r>
      <w:r>
        <w:rPr>
          <w:rFonts w:hint="eastAsia" w:eastAsia="方正小标宋简体"/>
          <w:b/>
          <w:bCs/>
          <w:color w:val="auto"/>
          <w:kern w:val="0"/>
          <w:sz w:val="28"/>
          <w:szCs w:val="28"/>
        </w:rPr>
        <w:t>阳江市海陵湾沿海经济带规划</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4" w:type="dxa"/>
          </w:tcPr>
          <w:p>
            <w:pPr>
              <w:spacing w:line="360" w:lineRule="auto"/>
              <w:ind w:firstLine="480" w:firstLineChars="200"/>
              <w:rPr>
                <w:rFonts w:ascii="仿宋_GB2312" w:hAnsi="等线" w:eastAsia="仿宋"/>
                <w:color w:val="auto"/>
                <w:sz w:val="24"/>
                <w:szCs w:val="30"/>
              </w:rPr>
            </w:pPr>
            <w:r>
              <w:rPr>
                <w:rFonts w:hint="eastAsia" w:ascii="仿宋_GB2312" w:hAnsi="等线" w:eastAsia="仿宋"/>
                <w:color w:val="auto"/>
                <w:sz w:val="24"/>
                <w:szCs w:val="30"/>
              </w:rPr>
              <w:t>阳江市海陵湾沿海经济带规划范围包括阳江市陆域及相关海域，总面积为 2.0256 万平方公里，着力构建“一核两区、一脊三轴”格局。</w:t>
            </w:r>
          </w:p>
          <w:p>
            <w:pPr>
              <w:spacing w:line="360" w:lineRule="auto"/>
              <w:ind w:firstLine="482" w:firstLineChars="200"/>
              <w:rPr>
                <w:rFonts w:ascii="仿宋_GB2312" w:hAnsi="等线" w:eastAsia="仿宋"/>
                <w:color w:val="auto"/>
                <w:sz w:val="24"/>
                <w:szCs w:val="30"/>
              </w:rPr>
            </w:pPr>
            <w:r>
              <w:rPr>
                <w:rFonts w:hint="eastAsia" w:ascii="仿宋_GB2312" w:hAnsi="等线" w:eastAsia="仿宋"/>
                <w:b/>
                <w:bCs/>
                <w:color w:val="auto"/>
                <w:sz w:val="24"/>
                <w:szCs w:val="30"/>
              </w:rPr>
              <w:t>“一核”</w:t>
            </w:r>
            <w:r>
              <w:rPr>
                <w:rFonts w:hint="eastAsia" w:ascii="仿宋_GB2312" w:hAnsi="等线" w:eastAsia="仿宋"/>
                <w:color w:val="auto"/>
                <w:sz w:val="24"/>
                <w:szCs w:val="30"/>
              </w:rPr>
              <w:t>指都市功能区，包括江城区、阳东城区、阳江高新区、海陵岛试验区、阳江滨海新区，是引领全市高质量发展、提升城市发展能级的核心载体。</w:t>
            </w:r>
          </w:p>
          <w:p>
            <w:pPr>
              <w:spacing w:line="360" w:lineRule="auto"/>
              <w:ind w:firstLine="482" w:firstLineChars="200"/>
              <w:rPr>
                <w:rFonts w:ascii="仿宋_GB2312" w:hAnsi="等线" w:eastAsia="仿宋"/>
                <w:color w:val="auto"/>
                <w:sz w:val="24"/>
                <w:szCs w:val="30"/>
              </w:rPr>
            </w:pPr>
            <w:r>
              <w:rPr>
                <w:rFonts w:hint="eastAsia" w:ascii="仿宋_GB2312" w:hAnsi="等线" w:eastAsia="仿宋"/>
                <w:b/>
                <w:bCs/>
                <w:color w:val="auto"/>
                <w:sz w:val="24"/>
                <w:szCs w:val="30"/>
              </w:rPr>
              <w:t>“两区”</w:t>
            </w:r>
            <w:r>
              <w:rPr>
                <w:rFonts w:hint="eastAsia" w:ascii="仿宋_GB2312" w:hAnsi="等线" w:eastAsia="仿宋"/>
                <w:color w:val="auto"/>
                <w:sz w:val="24"/>
                <w:szCs w:val="30"/>
              </w:rPr>
              <w:t>指沿海经济核心发展区和联动发展区。核心发展区包括市域南部沿海的江城区（含阳江高新区、海陵试验区）、阳东区和阳西县行政管辖范围，是全市海洋经济发展主战场，是集聚高端要素、强化资源配置能力、增强沿海区域协作的核心区域。联动发展区包括市域北部的阳春市行政管辖范围，是全市海洋经济发展的联动区、拓展海洋经济腹地的首选地。</w:t>
            </w:r>
          </w:p>
          <w:p>
            <w:pPr>
              <w:spacing w:line="360" w:lineRule="auto"/>
              <w:ind w:firstLine="482" w:firstLineChars="200"/>
              <w:rPr>
                <w:rFonts w:ascii="仿宋_GB2312" w:hAnsi="等线" w:eastAsia="仿宋"/>
                <w:color w:val="auto"/>
                <w:sz w:val="24"/>
                <w:szCs w:val="30"/>
              </w:rPr>
            </w:pPr>
            <w:r>
              <w:rPr>
                <w:rFonts w:hint="eastAsia" w:ascii="仿宋_GB2312" w:hAnsi="等线" w:eastAsia="仿宋"/>
                <w:b/>
                <w:bCs/>
                <w:color w:val="auto"/>
                <w:sz w:val="24"/>
                <w:szCs w:val="30"/>
              </w:rPr>
              <w:t>“一脊”</w:t>
            </w:r>
            <w:r>
              <w:rPr>
                <w:rFonts w:hint="eastAsia" w:ascii="仿宋_GB2312" w:hAnsi="等线" w:eastAsia="仿宋"/>
                <w:color w:val="auto"/>
                <w:sz w:val="24"/>
                <w:szCs w:val="30"/>
              </w:rPr>
              <w:t>指陆海联动发展脊梁，指依托罗阳高速、国道234线，打造联接“海陵岛－中心城区－阳春”的南北向发展脊梁。</w:t>
            </w:r>
          </w:p>
          <w:p>
            <w:pPr>
              <w:spacing w:line="360" w:lineRule="auto"/>
              <w:ind w:firstLine="482" w:firstLineChars="200"/>
              <w:rPr>
                <w:rFonts w:ascii="仿宋" w:hAnsi="仿宋" w:eastAsia="仿宋"/>
                <w:color w:val="auto"/>
                <w:sz w:val="24"/>
              </w:rPr>
            </w:pPr>
            <w:r>
              <w:rPr>
                <w:rFonts w:hint="eastAsia" w:ascii="仿宋_GB2312" w:hAnsi="等线" w:eastAsia="仿宋"/>
                <w:b/>
                <w:bCs/>
                <w:color w:val="auto"/>
                <w:sz w:val="24"/>
                <w:szCs w:val="30"/>
              </w:rPr>
              <w:t>“三轴”</w:t>
            </w:r>
            <w:r>
              <w:rPr>
                <w:rFonts w:hint="eastAsia" w:ascii="仿宋_GB2312" w:hAnsi="等线" w:eastAsia="仿宋"/>
                <w:color w:val="auto"/>
                <w:sz w:val="24"/>
                <w:szCs w:val="30"/>
              </w:rPr>
              <w:t>指陆海联动发展轴，指依托广东滨海旅游公路、沈海高速公路、汕湛高速公路等主要交通通道，打造连接粤港澳大湾区和粤西地区乃至北部湾城市群的发展轴带。</w:t>
            </w:r>
          </w:p>
        </w:tc>
      </w:tr>
      <w:bookmarkEnd w:id="89"/>
    </w:tbl>
    <w:p>
      <w:pPr>
        <w:adjustRightInd w:val="0"/>
        <w:snapToGrid w:val="0"/>
        <w:spacing w:line="600" w:lineRule="exact"/>
        <w:jc w:val="center"/>
        <w:outlineLvl w:val="0"/>
        <w:rPr>
          <w:rFonts w:ascii="方正小标宋简体" w:eastAsia="方正小标宋简体" w:cs="仿宋" w:hAnsiTheme="minorEastAsia"/>
          <w:color w:val="auto"/>
          <w:spacing w:val="-12"/>
          <w:sz w:val="32"/>
          <w:szCs w:val="32"/>
        </w:rPr>
      </w:pPr>
      <w:bookmarkStart w:id="90" w:name="_Toc27533"/>
      <w:bookmarkStart w:id="91" w:name="_Toc23024"/>
      <w:bookmarkStart w:id="92" w:name="OLE_LINK25"/>
      <w:bookmarkStart w:id="93" w:name="_Toc62"/>
      <w:r>
        <w:rPr>
          <w:rFonts w:hint="eastAsia" w:ascii="方正小标宋简体" w:eastAsia="方正小标宋简体" w:cs="仿宋" w:hAnsiTheme="minorEastAsia"/>
          <w:color w:val="auto"/>
          <w:spacing w:val="-12"/>
          <w:sz w:val="32"/>
          <w:szCs w:val="32"/>
        </w:rPr>
        <w:t>第四章 深入实施创新驱动发展战略，完善区域创新创业体系</w:t>
      </w:r>
      <w:bookmarkEnd w:id="90"/>
      <w:bookmarkEnd w:id="91"/>
    </w:p>
    <w:p>
      <w:pPr>
        <w:adjustRightInd w:val="0"/>
        <w:snapToGrid w:val="0"/>
        <w:spacing w:line="6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深入实施创新驱动发展战略，通过集聚涉海高端创新要素、打造海洋产业创新园区、构建创新创业生态系统等举措，完善建立海岛特色创新创新体系，支撑海陵岛海洋经济跨越式发展。</w:t>
      </w:r>
    </w:p>
    <w:p>
      <w:pPr>
        <w:adjustRightInd w:val="0"/>
        <w:snapToGrid w:val="0"/>
        <w:spacing w:line="600" w:lineRule="exact"/>
        <w:jc w:val="center"/>
        <w:outlineLvl w:val="1"/>
        <w:rPr>
          <w:rFonts w:ascii="黑体" w:hAnsi="黑体" w:eastAsia="黑体" w:cs="仿宋"/>
          <w:color w:val="auto"/>
          <w:sz w:val="32"/>
          <w:szCs w:val="32"/>
        </w:rPr>
      </w:pPr>
      <w:bookmarkStart w:id="94" w:name="_Toc13724"/>
      <w:bookmarkStart w:id="95" w:name="_Toc25784"/>
      <w:r>
        <w:rPr>
          <w:rFonts w:hint="eastAsia" w:ascii="黑体" w:hAnsi="黑体" w:eastAsia="黑体" w:cs="仿宋"/>
          <w:color w:val="auto"/>
          <w:sz w:val="32"/>
          <w:szCs w:val="32"/>
        </w:rPr>
        <w:t>第一节 建设高端创新要素集聚区</w:t>
      </w:r>
      <w:bookmarkEnd w:id="94"/>
      <w:bookmarkEnd w:id="95"/>
    </w:p>
    <w:p>
      <w:pPr>
        <w:adjustRightInd w:val="0"/>
        <w:snapToGrid w:val="0"/>
        <w:spacing w:line="600" w:lineRule="exact"/>
        <w:ind w:firstLine="643" w:firstLineChars="200"/>
        <w:rPr>
          <w:rFonts w:ascii="仿宋" w:hAnsi="仿宋" w:eastAsia="仿宋" w:cs="仿宋_GB2312"/>
          <w:color w:val="auto"/>
          <w:sz w:val="32"/>
          <w:szCs w:val="32"/>
        </w:rPr>
      </w:pPr>
      <w:bookmarkStart w:id="96" w:name="OLE_LINK34"/>
      <w:r>
        <w:rPr>
          <w:rFonts w:hint="eastAsia" w:ascii="仿宋" w:hAnsi="仿宋" w:eastAsia="仿宋" w:cs="仿宋_GB2312"/>
          <w:b/>
          <w:bCs/>
          <w:color w:val="auto"/>
          <w:sz w:val="32"/>
          <w:szCs w:val="32"/>
        </w:rPr>
        <w:t>加大创新型人才引进培育力度。</w:t>
      </w:r>
      <w:bookmarkEnd w:id="96"/>
      <w:r>
        <w:rPr>
          <w:rFonts w:hint="eastAsia" w:ascii="仿宋" w:hAnsi="仿宋" w:eastAsia="仿宋" w:cs="仿宋_GB2312"/>
          <w:color w:val="auto"/>
          <w:sz w:val="32"/>
          <w:szCs w:val="32"/>
        </w:rPr>
        <w:t>鼓励滨海旅游、海洋生物医药、海洋新能源等领域创新型人才和团队来海陵岛创业。谋划建立全国海洋技术创新实践基地、院士工作站和博士后（科研）工作站、技能人才培训基地、技能大师工作室等载体，为创业者提供良好发展环境。支持区内企业与粤港澳大湾区各类职业院校建立产教融合合作机制，通过建立实训基地、新型学徒制等新型合作机制，联合开展重点领域技能人才培养。</w:t>
      </w:r>
    </w:p>
    <w:p>
      <w:pPr>
        <w:adjustRightInd w:val="0"/>
        <w:snapToGrid w:val="0"/>
        <w:spacing w:line="600" w:lineRule="exact"/>
        <w:ind w:firstLine="643" w:firstLineChars="200"/>
        <w:rPr>
          <w:rFonts w:ascii="仿宋" w:hAnsi="仿宋" w:eastAsia="仿宋" w:cs="仿宋_GB2312"/>
          <w:color w:val="auto"/>
          <w:sz w:val="32"/>
          <w:szCs w:val="32"/>
        </w:rPr>
      </w:pPr>
      <w:r>
        <w:rPr>
          <w:rFonts w:hint="eastAsia" w:ascii="仿宋" w:hAnsi="仿宋" w:eastAsia="仿宋" w:cs="仿宋_GB2312"/>
          <w:b/>
          <w:bCs/>
          <w:color w:val="auto"/>
          <w:sz w:val="32"/>
          <w:szCs w:val="32"/>
        </w:rPr>
        <w:t>大力培育本土创新创业企业。</w:t>
      </w:r>
      <w:r>
        <w:rPr>
          <w:rFonts w:hint="eastAsia" w:ascii="仿宋" w:hAnsi="仿宋" w:eastAsia="仿宋" w:cs="仿宋_GB2312"/>
          <w:color w:val="auto"/>
          <w:sz w:val="32"/>
          <w:szCs w:val="32"/>
        </w:rPr>
        <w:t>鼓励海洋渔业龙头企业从事海洋科技研发、海洋技术服务，促进海洋科技创新。支持农渔产品生产加工企业延伸产业链，发展跨境电商、冷链物流等新业态，培育经济新动能。围绕</w:t>
      </w:r>
      <w:r>
        <w:rPr>
          <w:rFonts w:hint="eastAsia" w:ascii="仿宋" w:hAnsi="仿宋" w:eastAsia="仿宋" w:cs="仿宋_GB2312"/>
          <w:bCs/>
          <w:color w:val="auto"/>
          <w:sz w:val="32"/>
          <w:szCs w:val="32"/>
        </w:rPr>
        <w:t>南海海洋生物技术国家工程研究中心阳江分中心</w:t>
      </w:r>
      <w:r>
        <w:rPr>
          <w:rFonts w:hint="eastAsia" w:ascii="仿宋" w:hAnsi="仿宋" w:eastAsia="仿宋" w:cs="仿宋_GB2312"/>
          <w:color w:val="auto"/>
          <w:sz w:val="32"/>
          <w:szCs w:val="32"/>
        </w:rPr>
        <w:t>等载体建设海洋生物产业创新孵化基地，打造科技企业孵化器、加速器、众创空间，大力扶持中小微海洋企业发展。</w:t>
      </w:r>
    </w:p>
    <w:p>
      <w:pPr>
        <w:pStyle w:val="8"/>
        <w:adjustRightInd w:val="0"/>
        <w:snapToGrid w:val="0"/>
        <w:spacing w:after="0" w:line="600" w:lineRule="exact"/>
        <w:jc w:val="both"/>
        <w:rPr>
          <w:rFonts w:ascii="仿宋" w:hAnsi="仿宋" w:eastAsia="仿宋" w:cs="仿宋_GB2312"/>
          <w:color w:val="auto"/>
          <w:kern w:val="2"/>
          <w:sz w:val="32"/>
          <w:szCs w:val="32"/>
          <w:lang w:eastAsia="zh-CN" w:bidi="ar-SA"/>
        </w:rPr>
      </w:pPr>
      <w:r>
        <w:rPr>
          <w:rFonts w:hint="eastAsia" w:ascii="仿宋" w:hAnsi="仿宋" w:eastAsia="仿宋" w:cs="仿宋_GB2312"/>
          <w:color w:val="auto"/>
          <w:kern w:val="2"/>
          <w:sz w:val="32"/>
          <w:szCs w:val="32"/>
          <w:lang w:eastAsia="zh-CN" w:bidi="ar-SA"/>
        </w:rPr>
        <w:t xml:space="preserve">    </w:t>
      </w:r>
      <w:r>
        <w:rPr>
          <w:rFonts w:hint="eastAsia" w:ascii="仿宋" w:hAnsi="仿宋" w:eastAsia="仿宋" w:cs="仿宋_GB2312"/>
          <w:b/>
          <w:bCs/>
          <w:color w:val="auto"/>
          <w:kern w:val="2"/>
          <w:sz w:val="32"/>
          <w:szCs w:val="32"/>
          <w:lang w:eastAsia="zh-CN" w:bidi="ar-SA"/>
        </w:rPr>
        <w:t>打造阳江制造业企业创新平台。</w:t>
      </w:r>
      <w:r>
        <w:rPr>
          <w:rFonts w:hint="eastAsia" w:ascii="仿宋" w:hAnsi="仿宋" w:eastAsia="仿宋" w:cs="仿宋_GB2312"/>
          <w:color w:val="auto"/>
          <w:kern w:val="2"/>
          <w:sz w:val="32"/>
          <w:szCs w:val="32"/>
          <w:lang w:eastAsia="zh-CN" w:bidi="ar-SA"/>
        </w:rPr>
        <w:t>争取阳江刀剪、新能源等制造业企业来海陵岛设立区域总部，对在海陵岛购买租赁产业用房用地等企业实施补贴政策，重点发展研究开发、技术转移、检验检测认证、创业孵化、工业设计、知识产权、科技咨询等专业技术服务和综合科技服务，延展创新服务链，加快培育科技服务新兴业态，构建海陵岛独特的区域创新模式。</w:t>
      </w:r>
    </w:p>
    <w:p>
      <w:pPr>
        <w:adjustRightInd w:val="0"/>
        <w:snapToGrid w:val="0"/>
        <w:spacing w:line="600" w:lineRule="exact"/>
        <w:jc w:val="center"/>
        <w:outlineLvl w:val="1"/>
        <w:rPr>
          <w:rFonts w:ascii="黑体" w:hAnsi="黑体" w:eastAsia="黑体" w:cs="仿宋"/>
          <w:color w:val="auto"/>
          <w:sz w:val="32"/>
          <w:szCs w:val="32"/>
        </w:rPr>
      </w:pPr>
      <w:bookmarkStart w:id="97" w:name="_Toc53079486"/>
      <w:bookmarkStart w:id="98" w:name="_Toc30175"/>
      <w:bookmarkStart w:id="99" w:name="_Toc26987"/>
      <w:bookmarkStart w:id="100" w:name="_Toc25271"/>
      <w:r>
        <w:rPr>
          <w:rFonts w:hint="eastAsia" w:ascii="黑体" w:hAnsi="黑体" w:eastAsia="黑体" w:cs="仿宋"/>
          <w:color w:val="auto"/>
          <w:sz w:val="32"/>
          <w:szCs w:val="32"/>
        </w:rPr>
        <w:t>第二节 构建产业创新服务体系</w:t>
      </w:r>
      <w:bookmarkEnd w:id="97"/>
      <w:bookmarkEnd w:id="98"/>
      <w:bookmarkEnd w:id="99"/>
      <w:bookmarkEnd w:id="100"/>
    </w:p>
    <w:p>
      <w:pPr>
        <w:adjustRightInd w:val="0"/>
        <w:snapToGrid w:val="0"/>
        <w:spacing w:line="600" w:lineRule="exact"/>
        <w:ind w:firstLine="643" w:firstLineChars="200"/>
        <w:rPr>
          <w:rFonts w:ascii="仿宋" w:hAnsi="仿宋" w:eastAsia="仿宋" w:cs="宋体"/>
          <w:color w:val="auto"/>
          <w:sz w:val="32"/>
          <w:szCs w:val="32"/>
        </w:rPr>
      </w:pPr>
      <w:r>
        <w:rPr>
          <w:rFonts w:hint="eastAsia" w:ascii="仿宋" w:hAnsi="仿宋" w:eastAsia="仿宋" w:cs="宋体"/>
          <w:b/>
          <w:bCs/>
          <w:color w:val="auto"/>
          <w:sz w:val="32"/>
          <w:szCs w:val="32"/>
        </w:rPr>
        <w:t>推动建设创新创业基地。</w:t>
      </w:r>
      <w:r>
        <w:rPr>
          <w:rFonts w:hint="eastAsia" w:ascii="仿宋" w:hAnsi="仿宋" w:eastAsia="仿宋" w:cs="宋体"/>
          <w:color w:val="auto"/>
          <w:sz w:val="32"/>
          <w:szCs w:val="32"/>
        </w:rPr>
        <w:t>引导鼓励重点企业等各类市场主体在海陵岛建设低成本、便利化、全要素、开放式的众创空间。借鉴国际规划设计标准，在海陵岛规划建设国际化</w:t>
      </w:r>
      <w:r>
        <w:rPr>
          <w:rFonts w:hint="eastAsia" w:ascii="仿宋" w:hAnsi="仿宋" w:eastAsia="仿宋" w:cs="宋体"/>
          <w:b w:val="0"/>
          <w:bCs w:val="0"/>
          <w:color w:val="auto"/>
          <w:sz w:val="32"/>
          <w:szCs w:val="32"/>
        </w:rPr>
        <w:t>创新街</w:t>
      </w:r>
      <w:r>
        <w:rPr>
          <w:rFonts w:hint="eastAsia" w:ascii="仿宋" w:hAnsi="仿宋" w:eastAsia="仿宋" w:cs="宋体"/>
          <w:color w:val="auto"/>
          <w:sz w:val="32"/>
          <w:szCs w:val="32"/>
        </w:rPr>
        <w:t xml:space="preserve">区，探索建设粤港澳创新创业基地，大力吸引港澳及国际青年创新创业，重点发展电子商务、智慧旅游等产业新业态，构筑以科技创新服务业为主导的现代产业新高地。加大财税政策支持力度，扩大孵化培育体系建设专项资金规模，完善创新创业产品和服务政府采购等政策，推动“双创”发展动力升级。   </w:t>
      </w:r>
    </w:p>
    <w:p>
      <w:pPr>
        <w:adjustRightInd w:val="0"/>
        <w:snapToGrid w:val="0"/>
        <w:spacing w:line="600" w:lineRule="exact"/>
        <w:ind w:firstLine="643" w:firstLineChars="200"/>
        <w:rPr>
          <w:rFonts w:ascii="仿宋" w:hAnsi="仿宋" w:eastAsia="仿宋" w:cs="宋体"/>
          <w:color w:val="auto"/>
          <w:sz w:val="32"/>
          <w:szCs w:val="32"/>
        </w:rPr>
      </w:pPr>
      <w:r>
        <w:rPr>
          <w:rFonts w:hint="eastAsia" w:ascii="仿宋" w:hAnsi="仿宋" w:eastAsia="仿宋" w:cs="宋体"/>
          <w:b/>
          <w:bCs/>
          <w:color w:val="auto"/>
          <w:sz w:val="32"/>
          <w:szCs w:val="32"/>
        </w:rPr>
        <w:t>提升产学研合作水平。</w:t>
      </w:r>
      <w:r>
        <w:rPr>
          <w:rFonts w:hint="eastAsia" w:ascii="仿宋" w:hAnsi="仿宋" w:eastAsia="仿宋" w:cs="宋体"/>
          <w:color w:val="auto"/>
          <w:sz w:val="32"/>
          <w:szCs w:val="32"/>
        </w:rPr>
        <w:t>鼓励采用资金入股，高校技术和人才入股的形式共建促进政</w:t>
      </w:r>
      <w:bookmarkStart w:id="101" w:name="OLE_LINK15"/>
      <w:r>
        <w:rPr>
          <w:rFonts w:hint="eastAsia" w:ascii="仿宋" w:hAnsi="仿宋" w:eastAsia="仿宋" w:cs="宋体"/>
          <w:color w:val="auto"/>
          <w:sz w:val="32"/>
          <w:szCs w:val="32"/>
        </w:rPr>
        <w:t>产学研</w:t>
      </w:r>
      <w:bookmarkEnd w:id="101"/>
      <w:r>
        <w:rPr>
          <w:rFonts w:hint="eastAsia" w:ascii="仿宋" w:hAnsi="仿宋" w:eastAsia="仿宋" w:cs="宋体"/>
          <w:color w:val="auto"/>
          <w:sz w:val="32"/>
          <w:szCs w:val="32"/>
        </w:rPr>
        <w:t>金介交流合作的公共创新中心。</w:t>
      </w:r>
      <w:r>
        <w:rPr>
          <w:rFonts w:hint="eastAsia" w:ascii="仿宋" w:hAnsi="仿宋" w:eastAsia="仿宋" w:cs="仿宋_GB2312"/>
          <w:bCs/>
          <w:color w:val="auto"/>
          <w:sz w:val="32"/>
          <w:szCs w:val="32"/>
        </w:rPr>
        <w:t>加强与大湾区科研院所产学研合作，力争大湾区大院大所在海陵岛建立创新联合体和产业技术研究院。</w:t>
      </w:r>
      <w:r>
        <w:rPr>
          <w:rFonts w:hint="eastAsia" w:ascii="仿宋" w:hAnsi="仿宋" w:eastAsia="仿宋" w:cs="宋体"/>
          <w:color w:val="auto"/>
          <w:sz w:val="32"/>
          <w:szCs w:val="32"/>
        </w:rPr>
        <w:t>主动对接广东海洋大学、中国海洋大学等知名涉海高校和中科院南海海洋研究所等海洋科研院所，在海陵岛合作共建科研平台、新型研发机构和联合实验室。支持各类企业以项目为纽带在海陵岛实现科技成果转移转化。</w:t>
      </w:r>
    </w:p>
    <w:p>
      <w:pPr>
        <w:adjustRightInd w:val="0"/>
        <w:snapToGrid w:val="0"/>
        <w:spacing w:line="600" w:lineRule="exact"/>
        <w:jc w:val="center"/>
        <w:outlineLvl w:val="1"/>
        <w:rPr>
          <w:rFonts w:ascii="黑体" w:hAnsi="黑体" w:eastAsia="黑体" w:cs="仿宋"/>
          <w:color w:val="auto"/>
          <w:sz w:val="32"/>
          <w:szCs w:val="32"/>
        </w:rPr>
      </w:pPr>
      <w:bookmarkStart w:id="102" w:name="_Toc567"/>
      <w:bookmarkStart w:id="103" w:name="_Toc4645"/>
      <w:bookmarkStart w:id="104" w:name="_Toc9833"/>
      <w:bookmarkStart w:id="105" w:name="_Toc30855"/>
      <w:r>
        <w:rPr>
          <w:rFonts w:hint="eastAsia" w:ascii="黑体" w:hAnsi="黑体" w:eastAsia="黑体" w:cs="仿宋"/>
          <w:color w:val="auto"/>
          <w:sz w:val="32"/>
          <w:szCs w:val="32"/>
        </w:rPr>
        <w:t>第三节 建设国家级科技兴海产业示范基地</w:t>
      </w:r>
      <w:bookmarkEnd w:id="102"/>
      <w:bookmarkEnd w:id="103"/>
    </w:p>
    <w:p>
      <w:pPr>
        <w:adjustRightInd w:val="0"/>
        <w:snapToGrid w:val="0"/>
        <w:spacing w:line="600" w:lineRule="exact"/>
        <w:ind w:firstLine="643" w:firstLineChars="200"/>
        <w:rPr>
          <w:rFonts w:ascii="仿宋" w:hAnsi="仿宋" w:eastAsia="仿宋" w:cs="仿宋_GB2312"/>
          <w:bCs/>
          <w:color w:val="auto"/>
          <w:sz w:val="32"/>
          <w:szCs w:val="32"/>
        </w:rPr>
      </w:pPr>
      <w:bookmarkStart w:id="106" w:name="OLE_LINK7"/>
      <w:r>
        <w:rPr>
          <w:rFonts w:hint="eastAsia" w:ascii="仿宋" w:hAnsi="仿宋" w:eastAsia="仿宋" w:cs="仿宋_GB2312"/>
          <w:b/>
          <w:color w:val="auto"/>
          <w:sz w:val="32"/>
          <w:szCs w:val="32"/>
        </w:rPr>
        <w:t>提升海洋生物技术创新能力。</w:t>
      </w:r>
      <w:r>
        <w:rPr>
          <w:rFonts w:hint="eastAsia" w:ascii="仿宋" w:hAnsi="仿宋" w:eastAsia="仿宋" w:cs="仿宋_GB2312"/>
          <w:bCs/>
          <w:color w:val="auto"/>
          <w:sz w:val="32"/>
          <w:szCs w:val="32"/>
        </w:rPr>
        <w:t>围绕南海海洋生物技术国家工程研究中心阳江分中心</w:t>
      </w:r>
      <w:bookmarkEnd w:id="106"/>
      <w:r>
        <w:rPr>
          <w:rFonts w:hint="eastAsia" w:ascii="仿宋" w:hAnsi="仿宋" w:eastAsia="仿宋" w:cs="仿宋_GB2312"/>
          <w:bCs/>
          <w:color w:val="auto"/>
          <w:sz w:val="32"/>
          <w:szCs w:val="32"/>
        </w:rPr>
        <w:t>项目，组织开展海洋生物育种、海洋生物医药、海产品精深加工等海洋科技攻关，形成一批具有自主知识产权的海洋科技创新成果。</w:t>
      </w:r>
    </w:p>
    <w:bookmarkEnd w:id="104"/>
    <w:bookmarkEnd w:id="105"/>
    <w:p>
      <w:pPr>
        <w:adjustRightInd w:val="0"/>
        <w:snapToGrid w:val="0"/>
        <w:spacing w:line="600" w:lineRule="exact"/>
        <w:ind w:firstLine="643" w:firstLineChars="200"/>
        <w:rPr>
          <w:rFonts w:ascii="仿宋" w:hAnsi="仿宋" w:eastAsia="仿宋" w:cs="仿宋_GB2312"/>
          <w:color w:val="auto"/>
          <w:sz w:val="32"/>
          <w:szCs w:val="32"/>
        </w:rPr>
      </w:pPr>
      <w:bookmarkStart w:id="107" w:name="_Toc26619"/>
      <w:bookmarkStart w:id="108" w:name="_Toc9976"/>
      <w:r>
        <w:rPr>
          <w:rFonts w:hint="eastAsia" w:ascii="仿宋" w:hAnsi="仿宋" w:eastAsia="仿宋" w:cs="仿宋_GB2312"/>
          <w:b/>
          <w:bCs/>
          <w:color w:val="auto"/>
          <w:sz w:val="32"/>
          <w:szCs w:val="32"/>
        </w:rPr>
        <w:t>建设海陵岛海洋生物医药制品基地。</w:t>
      </w:r>
      <w:r>
        <w:rPr>
          <w:rFonts w:hint="eastAsia" w:ascii="仿宋" w:hAnsi="仿宋" w:eastAsia="仿宋" w:cs="仿宋_GB2312"/>
          <w:color w:val="auto"/>
          <w:sz w:val="32"/>
          <w:szCs w:val="32"/>
        </w:rPr>
        <w:t>在岛东蓝色海谷科技园区建立海洋生物产业基地，鼓励阳江市现有医药企业通过联合、兼并、改制、参股、控股等多种形式，实施战略性并购重组，培育形成一批骨干企业集团。设立海洋生物产业专项发展基金，支持规模以上海洋生物企业重点技术创新和技术改造项目。</w:t>
      </w:r>
      <w:bookmarkEnd w:id="107"/>
      <w:bookmarkEnd w:id="108"/>
    </w:p>
    <w:p>
      <w:pPr>
        <w:adjustRightInd w:val="0"/>
        <w:snapToGrid w:val="0"/>
        <w:spacing w:line="600" w:lineRule="exact"/>
        <w:ind w:firstLine="643" w:firstLineChars="200"/>
        <w:rPr>
          <w:rFonts w:ascii="方正小标宋简体" w:eastAsia="方正小标宋简体" w:cs="仿宋" w:hAnsiTheme="minorEastAsia"/>
          <w:color w:val="auto"/>
          <w:spacing w:val="-12"/>
          <w:sz w:val="32"/>
          <w:szCs w:val="32"/>
        </w:rPr>
      </w:pPr>
      <w:bookmarkStart w:id="109" w:name="_Toc8738"/>
      <w:bookmarkStart w:id="110" w:name="_Toc23328"/>
      <w:r>
        <w:rPr>
          <w:rFonts w:hint="eastAsia" w:ascii="仿宋" w:hAnsi="仿宋" w:eastAsia="仿宋" w:cs="仿宋_GB2312"/>
          <w:b/>
          <w:bCs/>
          <w:color w:val="auto"/>
          <w:sz w:val="32"/>
          <w:szCs w:val="32"/>
        </w:rPr>
        <w:t>建设海产品精深加工基地。</w:t>
      </w:r>
      <w:r>
        <w:rPr>
          <w:rFonts w:hint="eastAsia" w:ascii="仿宋" w:hAnsi="仿宋" w:eastAsia="仿宋" w:cs="仿宋_GB2312"/>
          <w:color w:val="auto"/>
          <w:sz w:val="32"/>
          <w:szCs w:val="32"/>
        </w:rPr>
        <w:t>利用闸坡国家级中心渔港以及海产品交易市场优势，建设海产品精深加工区，加快科技攻关和技术改造，以精深加工、高值化加工和副产物综合利用为重点，提升海产品价值。</w:t>
      </w:r>
      <w:bookmarkEnd w:id="109"/>
      <w:bookmarkEnd w:id="110"/>
      <w:bookmarkStart w:id="111" w:name="_Toc21259"/>
      <w:bookmarkStart w:id="112" w:name="_Toc16068"/>
      <w:bookmarkStart w:id="113" w:name="_Toc7971"/>
      <w:bookmarkStart w:id="114" w:name="_Toc32535"/>
      <w:bookmarkStart w:id="115" w:name="_Toc59624845"/>
      <w:bookmarkStart w:id="116" w:name="_Toc9927"/>
    </w:p>
    <w:p>
      <w:pPr>
        <w:adjustRightInd w:val="0"/>
        <w:snapToGrid w:val="0"/>
        <w:spacing w:line="600" w:lineRule="exact"/>
        <w:jc w:val="center"/>
        <w:outlineLvl w:val="0"/>
        <w:rPr>
          <w:rFonts w:ascii="方正小标宋简体" w:eastAsia="方正小标宋简体" w:cs="仿宋" w:hAnsiTheme="minorEastAsia"/>
          <w:color w:val="auto"/>
          <w:spacing w:val="-12"/>
          <w:sz w:val="32"/>
          <w:szCs w:val="32"/>
        </w:rPr>
      </w:pPr>
      <w:bookmarkStart w:id="117" w:name="_Toc14917"/>
      <w:r>
        <w:rPr>
          <w:rFonts w:hint="eastAsia" w:ascii="方正小标宋简体" w:eastAsia="方正小标宋简体" w:cs="仿宋" w:hAnsiTheme="minorEastAsia"/>
          <w:color w:val="auto"/>
          <w:spacing w:val="-12"/>
          <w:sz w:val="32"/>
          <w:szCs w:val="32"/>
        </w:rPr>
        <w:t>第五章 大力发展旅游业，构建有海陵岛特色的现代产业体系</w:t>
      </w:r>
      <w:bookmarkEnd w:id="111"/>
      <w:bookmarkEnd w:id="112"/>
      <w:bookmarkEnd w:id="113"/>
      <w:bookmarkEnd w:id="114"/>
      <w:bookmarkEnd w:id="115"/>
      <w:bookmarkEnd w:id="117"/>
    </w:p>
    <w:bookmarkEnd w:id="116"/>
    <w:p>
      <w:pPr>
        <w:adjustRightInd w:val="0"/>
        <w:snapToGrid w:val="0"/>
        <w:spacing w:line="600" w:lineRule="exact"/>
        <w:ind w:firstLine="640" w:firstLineChars="200"/>
        <w:rPr>
          <w:rFonts w:ascii="仿宋" w:hAnsi="仿宋" w:eastAsia="仿宋" w:cs="方正仿宋简体"/>
          <w:color w:val="auto"/>
          <w:sz w:val="32"/>
          <w:szCs w:val="32"/>
        </w:rPr>
      </w:pPr>
      <w:r>
        <w:rPr>
          <w:rFonts w:hint="eastAsia" w:ascii="仿宋" w:hAnsi="仿宋" w:eastAsia="仿宋" w:cs="方正仿宋简体"/>
          <w:color w:val="auto"/>
          <w:sz w:val="32"/>
          <w:szCs w:val="32"/>
        </w:rPr>
        <w:t>依托滨海旅游和海洋渔业、现代农业等产业基础，以争创国家全域旅游示范区为抓手，加快构建以海岛旅游业为主导，以海洋渔业为重点，以现代农业为基础，以海洋战略性新兴产业为引领的现代产业体系。</w:t>
      </w:r>
    </w:p>
    <w:p>
      <w:pPr>
        <w:adjustRightInd w:val="0"/>
        <w:snapToGrid w:val="0"/>
        <w:spacing w:line="600" w:lineRule="exact"/>
        <w:jc w:val="center"/>
        <w:outlineLvl w:val="1"/>
        <w:rPr>
          <w:rFonts w:ascii="黑体" w:hAnsi="黑体" w:eastAsia="黑体" w:cs="仿宋"/>
          <w:color w:val="auto"/>
          <w:sz w:val="32"/>
          <w:szCs w:val="32"/>
        </w:rPr>
      </w:pPr>
      <w:bookmarkStart w:id="118" w:name="_Toc21458"/>
      <w:bookmarkStart w:id="119" w:name="_Toc59624846"/>
      <w:bookmarkStart w:id="120" w:name="_Toc19694"/>
      <w:bookmarkStart w:id="121" w:name="_Toc18073"/>
      <w:r>
        <w:rPr>
          <w:rFonts w:hint="eastAsia" w:ascii="黑体" w:hAnsi="黑体" w:eastAsia="黑体" w:cs="仿宋"/>
          <w:color w:val="auto"/>
          <w:sz w:val="32"/>
          <w:szCs w:val="32"/>
        </w:rPr>
        <w:t>第一节 推动海岛旅游业跨越式发展</w:t>
      </w:r>
      <w:bookmarkEnd w:id="118"/>
      <w:bookmarkEnd w:id="119"/>
      <w:bookmarkEnd w:id="120"/>
      <w:bookmarkEnd w:id="121"/>
    </w:p>
    <w:p>
      <w:pPr>
        <w:pStyle w:val="15"/>
        <w:adjustRightInd w:val="0"/>
        <w:spacing w:line="600" w:lineRule="exact"/>
        <w:ind w:firstLine="640" w:firstLineChars="200"/>
        <w:jc w:val="both"/>
        <w:rPr>
          <w:rFonts w:ascii="仿宋" w:hAnsi="仿宋" w:eastAsia="仿宋" w:cs="方正仿宋简体"/>
          <w:color w:val="auto"/>
          <w:sz w:val="32"/>
          <w:szCs w:val="32"/>
        </w:rPr>
      </w:pPr>
      <w:r>
        <w:rPr>
          <w:rFonts w:hint="eastAsia" w:ascii="仿宋" w:hAnsi="仿宋" w:eastAsia="仿宋" w:cs="方正仿宋简体"/>
          <w:color w:val="auto"/>
          <w:sz w:val="32"/>
          <w:szCs w:val="32"/>
        </w:rPr>
        <w:t>充分发挥海陵岛位于海上丝绸之路经济带重要战略节点的交通区位优势和海洋生态资源优势，抓住国际健康旅游、文化旅游方兴未艾的重大机遇，重点发展健康旅游和文化旅游两大核心产业，积极推动“旅游+”产业融合发展，加快促进旅游相关服务业高质量发展，实现海岛旅游业跨越式发展。</w:t>
      </w:r>
    </w:p>
    <w:p>
      <w:pPr>
        <w:pStyle w:val="15"/>
        <w:adjustRightInd w:val="0"/>
        <w:spacing w:line="600" w:lineRule="exact"/>
        <w:ind w:firstLine="643" w:firstLineChars="200"/>
        <w:jc w:val="both"/>
        <w:rPr>
          <w:rFonts w:ascii="仿宋" w:hAnsi="仿宋" w:eastAsia="仿宋" w:cs="仿宋_GB2312"/>
          <w:b/>
          <w:bCs/>
          <w:color w:val="auto"/>
          <w:sz w:val="32"/>
          <w:szCs w:val="32"/>
        </w:rPr>
      </w:pPr>
      <w:r>
        <w:rPr>
          <w:rFonts w:hint="eastAsia" w:ascii="仿宋" w:hAnsi="仿宋" w:eastAsia="仿宋" w:cs="方正仿宋简体"/>
          <w:b/>
          <w:bCs/>
          <w:color w:val="auto"/>
          <w:sz w:val="32"/>
          <w:szCs w:val="32"/>
        </w:rPr>
        <w:t>一、大力发展健康旅游</w:t>
      </w:r>
    </w:p>
    <w:p>
      <w:pPr>
        <w:pStyle w:val="15"/>
        <w:adjustRightInd w:val="0"/>
        <w:spacing w:line="600" w:lineRule="exact"/>
        <w:ind w:firstLine="640" w:firstLineChars="200"/>
        <w:jc w:val="both"/>
        <w:rPr>
          <w:rFonts w:ascii="仿宋" w:hAnsi="仿宋" w:eastAsia="仿宋" w:cs="方正仿宋简体"/>
          <w:color w:val="auto"/>
          <w:sz w:val="32"/>
          <w:szCs w:val="32"/>
        </w:rPr>
      </w:pPr>
      <w:r>
        <w:rPr>
          <w:rFonts w:hint="eastAsia" w:ascii="仿宋" w:hAnsi="仿宋" w:eastAsia="仿宋" w:cs="方正仿宋简体"/>
          <w:color w:val="auto"/>
          <w:sz w:val="32"/>
          <w:szCs w:val="32"/>
        </w:rPr>
        <w:t>围绕海陵岛“国际健康旅游岛”的战略定位，结合海陵岛健康资源禀赋优势和旅游产业发展基础，以打造国际健康度假岛和国际健康度假胜地为抓手，重点发展康复疗养旅游、高端医疗旅游、中医药特色旅游、健康养老旅游、健康旅游配套产业等具海岛特色的健康旅游新业态，促进海陵岛健康旅游业高质量发展。</w:t>
      </w:r>
    </w:p>
    <w:p>
      <w:pPr>
        <w:pStyle w:val="15"/>
        <w:adjustRightInd w:val="0"/>
        <w:spacing w:line="600" w:lineRule="exact"/>
        <w:ind w:firstLine="643" w:firstLineChars="200"/>
        <w:jc w:val="both"/>
        <w:rPr>
          <w:rFonts w:ascii="仿宋" w:hAnsi="仿宋" w:eastAsia="仿宋" w:cs="仿宋_GB2312"/>
          <w:color w:val="auto"/>
          <w:sz w:val="32"/>
          <w:szCs w:val="32"/>
        </w:rPr>
      </w:pPr>
      <w:r>
        <w:rPr>
          <w:rFonts w:hint="eastAsia" w:ascii="仿宋" w:hAnsi="仿宋" w:eastAsia="仿宋" w:cs="方正仿宋简体"/>
          <w:b/>
          <w:bCs/>
          <w:color w:val="auto"/>
          <w:sz w:val="32"/>
          <w:szCs w:val="32"/>
        </w:rPr>
        <w:t>海岛康复疗养旅游业。</w:t>
      </w:r>
      <w:r>
        <w:rPr>
          <w:rFonts w:hint="eastAsia" w:ascii="仿宋" w:hAnsi="仿宋" w:eastAsia="仿宋" w:cs="方正仿宋简体"/>
          <w:color w:val="auto"/>
          <w:sz w:val="32"/>
          <w:szCs w:val="32"/>
        </w:rPr>
        <w:t>以海陵岛良好的生态环境优势和丰富的海水、海盐、滩涂、藻类、森林、高负氧离子空气等资源为基础，依托专业康复疗养机构、医科大学康复中心等载体，吸引和培育社会健康服务企业和产业，通过多样化服务形式，面向国内外市场提供高品质美容美体、健康疗养、慢性病疗养、产后康复、运动康复、职业病疗养、老年病疗养等健康产品和服务，把海陵岛建设成为面向粤港澳大湾区乃至国内外的知名慢性病康复疗养基地。</w:t>
      </w:r>
    </w:p>
    <w:p>
      <w:pPr>
        <w:widowControl/>
        <w:jc w:val="center"/>
        <w:rPr>
          <w:rFonts w:eastAsia="方正小标宋简体"/>
          <w:color w:val="auto"/>
        </w:rPr>
      </w:pPr>
      <w:r>
        <w:rPr>
          <w:rFonts w:hint="eastAsia" w:eastAsia="方正小标宋简体"/>
          <w:b/>
          <w:bCs/>
          <w:color w:val="auto"/>
          <w:kern w:val="0"/>
          <w:sz w:val="28"/>
          <w:szCs w:val="28"/>
        </w:rPr>
        <w:t>专栏  海陵岛康复疗养旅游重点项目</w:t>
      </w:r>
    </w:p>
    <w:p>
      <w:pPr>
        <w:pBdr>
          <w:top w:val="single" w:color="auto" w:sz="4" w:space="1"/>
          <w:left w:val="single" w:color="auto" w:sz="4" w:space="4"/>
          <w:bottom w:val="single" w:color="auto" w:sz="4" w:space="1"/>
          <w:right w:val="single" w:color="auto" w:sz="4" w:space="4"/>
        </w:pBdr>
        <w:spacing w:line="360" w:lineRule="auto"/>
        <w:rPr>
          <w:rFonts w:ascii="仿宋_GB2312" w:hAnsi="等线" w:eastAsia="仿宋"/>
          <w:color w:val="auto"/>
          <w:sz w:val="24"/>
          <w:szCs w:val="30"/>
        </w:rPr>
      </w:pPr>
      <w:r>
        <w:rPr>
          <w:rFonts w:hint="eastAsia" w:ascii="仿宋_GB2312" w:hAnsi="等线" w:eastAsia="仿宋"/>
          <w:b/>
          <w:bCs/>
          <w:color w:val="auto"/>
          <w:sz w:val="24"/>
          <w:szCs w:val="30"/>
        </w:rPr>
        <w:t>1</w:t>
      </w:r>
      <w:r>
        <w:rPr>
          <w:rFonts w:ascii="仿宋_GB2312" w:hAnsi="等线" w:eastAsia="仿宋"/>
          <w:b/>
          <w:bCs/>
          <w:color w:val="auto"/>
          <w:sz w:val="24"/>
          <w:szCs w:val="30"/>
        </w:rPr>
        <w:t>.</w:t>
      </w:r>
      <w:r>
        <w:rPr>
          <w:rFonts w:hint="eastAsia" w:ascii="等线" w:hAnsi="等线"/>
          <w:b/>
          <w:bCs/>
          <w:color w:val="auto"/>
          <w:sz w:val="24"/>
          <w:szCs w:val="22"/>
        </w:rPr>
        <w:t xml:space="preserve"> </w:t>
      </w:r>
      <w:r>
        <w:rPr>
          <w:rFonts w:hint="eastAsia" w:ascii="仿宋_GB2312" w:hAnsi="等线" w:eastAsia="仿宋"/>
          <w:b/>
          <w:bCs/>
          <w:color w:val="auto"/>
          <w:sz w:val="24"/>
          <w:szCs w:val="30"/>
        </w:rPr>
        <w:t>滨海康养：</w:t>
      </w:r>
      <w:r>
        <w:rPr>
          <w:rFonts w:hint="eastAsia" w:ascii="仿宋_GB2312" w:hAnsi="等线" w:eastAsia="仿宋"/>
          <w:color w:val="auto"/>
          <w:sz w:val="24"/>
          <w:szCs w:val="30"/>
        </w:rPr>
        <w:t>以海陵岛海水、海沙、海泥、海藻、海洋食物等海洋资源为依托，以疗养保健、医疗预防、慢性老年病治疗及康复为主攻方向，合理布局滨海疗养院、滨海疗养中心、滨海疗养综合体，积极探索海洋疗法，充分运用中医、中药、针灸、按摩、理疗等中国传统医学特色疗法，辅以自然因子、物理疗法、药物疗法、药膳疗法等手段，加快开发沙疗、海水浴、海底泥等海洋康复疗养产品，把海陵岛打造成世界一流的滨海康养旅游胜地。</w:t>
      </w:r>
    </w:p>
    <w:p>
      <w:pPr>
        <w:pBdr>
          <w:top w:val="single" w:color="auto" w:sz="4" w:space="1"/>
          <w:left w:val="single" w:color="auto" w:sz="4" w:space="4"/>
          <w:bottom w:val="single" w:color="auto" w:sz="4" w:space="1"/>
          <w:right w:val="single" w:color="auto" w:sz="4" w:space="4"/>
        </w:pBdr>
        <w:spacing w:line="360" w:lineRule="auto"/>
        <w:rPr>
          <w:rFonts w:ascii="仿宋_GB2312" w:hAnsi="等线" w:eastAsia="仿宋"/>
          <w:color w:val="auto"/>
          <w:sz w:val="24"/>
          <w:szCs w:val="30"/>
        </w:rPr>
      </w:pPr>
      <w:r>
        <w:rPr>
          <w:rFonts w:hint="eastAsia" w:ascii="仿宋_GB2312" w:hAnsi="等线" w:eastAsia="仿宋"/>
          <w:b/>
          <w:bCs/>
          <w:color w:val="auto"/>
          <w:sz w:val="24"/>
          <w:szCs w:val="30"/>
        </w:rPr>
        <w:t>2</w:t>
      </w:r>
      <w:r>
        <w:rPr>
          <w:rFonts w:ascii="仿宋_GB2312" w:hAnsi="等线" w:eastAsia="仿宋"/>
          <w:b/>
          <w:bCs/>
          <w:color w:val="auto"/>
          <w:sz w:val="24"/>
          <w:szCs w:val="30"/>
        </w:rPr>
        <w:t>.</w:t>
      </w:r>
      <w:r>
        <w:rPr>
          <w:rFonts w:hint="eastAsia" w:ascii="仿宋_GB2312" w:hAnsi="等线" w:eastAsia="仿宋"/>
          <w:b/>
          <w:bCs/>
          <w:color w:val="auto"/>
          <w:sz w:val="24"/>
          <w:szCs w:val="30"/>
        </w:rPr>
        <w:t xml:space="preserve"> 气候康养：</w:t>
      </w:r>
      <w:r>
        <w:rPr>
          <w:rFonts w:hint="eastAsia" w:ascii="仿宋_GB2312" w:hAnsi="等线" w:eastAsia="仿宋"/>
          <w:color w:val="auto"/>
          <w:sz w:val="24"/>
          <w:szCs w:val="30"/>
        </w:rPr>
        <w:t>依托海陵岛良好的亚热带气候条件和得天独厚的光热资源，面向哮喘、支气管炎、鼻炎等呼吸道疾病以及关节类患者开发世界一流的气候康养产品，打造具有海岛特色的气候康养服务业态。发挥海陵岛阳光充足、避寒康养的气候优势，将海陵岛打造成为国内外知名的避寒度假康养胜地。</w:t>
      </w:r>
    </w:p>
    <w:p>
      <w:pPr>
        <w:pBdr>
          <w:top w:val="single" w:color="auto" w:sz="4" w:space="1"/>
          <w:left w:val="single" w:color="auto" w:sz="4" w:space="4"/>
          <w:bottom w:val="single" w:color="auto" w:sz="4" w:space="1"/>
          <w:right w:val="single" w:color="auto" w:sz="4" w:space="4"/>
        </w:pBdr>
        <w:spacing w:line="360" w:lineRule="auto"/>
        <w:rPr>
          <w:rFonts w:ascii="仿宋_GB2312" w:hAnsi="等线" w:eastAsia="仿宋"/>
          <w:color w:val="auto"/>
          <w:sz w:val="24"/>
          <w:szCs w:val="30"/>
        </w:rPr>
      </w:pPr>
      <w:r>
        <w:rPr>
          <w:rFonts w:hint="eastAsia" w:ascii="仿宋_GB2312" w:hAnsi="等线" w:eastAsia="仿宋"/>
          <w:b/>
          <w:bCs/>
          <w:color w:val="auto"/>
          <w:sz w:val="24"/>
          <w:szCs w:val="30"/>
        </w:rPr>
        <w:t>3</w:t>
      </w:r>
      <w:r>
        <w:rPr>
          <w:rFonts w:ascii="仿宋_GB2312" w:hAnsi="等线" w:eastAsia="仿宋"/>
          <w:b/>
          <w:bCs/>
          <w:color w:val="auto"/>
          <w:sz w:val="24"/>
          <w:szCs w:val="30"/>
        </w:rPr>
        <w:t>.</w:t>
      </w:r>
      <w:r>
        <w:rPr>
          <w:rFonts w:hint="eastAsia" w:ascii="仿宋_GB2312" w:hAnsi="等线" w:eastAsia="仿宋"/>
          <w:b/>
          <w:bCs/>
          <w:color w:val="auto"/>
          <w:sz w:val="24"/>
          <w:szCs w:val="30"/>
        </w:rPr>
        <w:t>森林康养：</w:t>
      </w:r>
      <w:r>
        <w:rPr>
          <w:rFonts w:hint="eastAsia" w:ascii="仿宋_GB2312" w:hAnsi="等线" w:eastAsia="仿宋"/>
          <w:color w:val="auto"/>
          <w:sz w:val="24"/>
          <w:szCs w:val="30"/>
        </w:rPr>
        <w:t>依托海陵岛良好的生态环境和红树林湿地、草王山、竹眼顶、大角山等森林资源，以促进相关慢性疾病的康复疗养为目标，以优化森林康养环境、完善森林康养基础设施、丰富森林康养产品、建设森林康养基地、繁荣森林康养文化、提高森林康养服务水平为重点，把海陵岛打造成国家级森林康养胜地。</w:t>
      </w:r>
    </w:p>
    <w:p>
      <w:pPr>
        <w:pBdr>
          <w:top w:val="single" w:color="auto" w:sz="4" w:space="1"/>
          <w:left w:val="single" w:color="auto" w:sz="4" w:space="4"/>
          <w:bottom w:val="single" w:color="auto" w:sz="4" w:space="1"/>
          <w:right w:val="single" w:color="auto" w:sz="4" w:space="4"/>
        </w:pBdr>
        <w:spacing w:line="360" w:lineRule="auto"/>
        <w:rPr>
          <w:color w:val="auto"/>
        </w:rPr>
      </w:pPr>
      <w:r>
        <w:rPr>
          <w:rFonts w:hint="eastAsia" w:ascii="仿宋_GB2312" w:hAnsi="等线" w:eastAsia="仿宋"/>
          <w:b/>
          <w:bCs/>
          <w:color w:val="auto"/>
          <w:sz w:val="24"/>
          <w:szCs w:val="30"/>
          <w:lang w:val="en-US" w:eastAsia="zh-CN"/>
        </w:rPr>
        <w:t>4</w:t>
      </w:r>
      <w:r>
        <w:rPr>
          <w:rFonts w:ascii="仿宋_GB2312" w:hAnsi="等线" w:eastAsia="仿宋"/>
          <w:b/>
          <w:bCs/>
          <w:color w:val="auto"/>
          <w:sz w:val="24"/>
          <w:szCs w:val="30"/>
        </w:rPr>
        <w:t>.</w:t>
      </w:r>
      <w:r>
        <w:rPr>
          <w:rFonts w:hint="eastAsia" w:ascii="等线" w:hAnsi="等线"/>
          <w:color w:val="auto"/>
          <w:sz w:val="24"/>
          <w:szCs w:val="22"/>
        </w:rPr>
        <w:t xml:space="preserve"> </w:t>
      </w:r>
      <w:r>
        <w:rPr>
          <w:rFonts w:hint="eastAsia" w:ascii="仿宋_GB2312" w:hAnsi="等线" w:eastAsia="仿宋"/>
          <w:b/>
          <w:bCs/>
          <w:color w:val="auto"/>
          <w:sz w:val="24"/>
          <w:szCs w:val="30"/>
        </w:rPr>
        <w:t>田园康养：</w:t>
      </w:r>
      <w:r>
        <w:rPr>
          <w:rFonts w:hint="eastAsia" w:ascii="仿宋_GB2312" w:hAnsi="等线" w:eastAsia="仿宋"/>
          <w:color w:val="auto"/>
          <w:sz w:val="24"/>
          <w:szCs w:val="30"/>
        </w:rPr>
        <w:t>依托海陵岛得天独厚的生态环境和优美的田园风光，以调节旅游者的身心健康、恢复游客的身体机能为目标，以乡村疗养院、乡村康养社区、乡村康养民宿为载体，打造一批具有海陵岛特色的田园康养旅游示范基地，丰富乡村康养旅游产品体系，形成竞争力较强的海陵岛田园康养旅游市场品牌形象。</w:t>
      </w:r>
    </w:p>
    <w:p>
      <w:pPr>
        <w:adjustRightInd w:val="0"/>
        <w:snapToGrid w:val="0"/>
        <w:spacing w:line="600" w:lineRule="exact"/>
        <w:ind w:firstLine="643" w:firstLineChars="200"/>
        <w:rPr>
          <w:rFonts w:ascii="仿宋" w:hAnsi="仿宋" w:eastAsia="仿宋"/>
          <w:color w:val="auto"/>
          <w:sz w:val="32"/>
          <w:szCs w:val="32"/>
        </w:rPr>
      </w:pPr>
      <w:r>
        <w:rPr>
          <w:rFonts w:hint="eastAsia" w:ascii="仿宋" w:hAnsi="仿宋" w:eastAsia="仿宋"/>
          <w:b/>
          <w:color w:val="auto"/>
          <w:sz w:val="32"/>
          <w:szCs w:val="32"/>
        </w:rPr>
        <w:t>高端医疗旅游业。</w:t>
      </w:r>
      <w:r>
        <w:rPr>
          <w:rFonts w:hint="eastAsia" w:ascii="仿宋" w:hAnsi="仿宋" w:eastAsia="仿宋"/>
          <w:color w:val="auto"/>
          <w:sz w:val="32"/>
          <w:szCs w:val="32"/>
        </w:rPr>
        <w:t>依托海陵岛自然、人文、生态、区位等特色资源，鼓励社会资本以中高端人群为对象提供以疾病治疗为主的国际先进医疗服务，重点发展具有海岛特色的高端医疗旅游服务体系，把海陵岛打造成在世界具有极高影响力的国际医疗旅游健康岛。</w:t>
      </w:r>
    </w:p>
    <w:p>
      <w:pPr>
        <w:widowControl/>
        <w:jc w:val="center"/>
        <w:rPr>
          <w:rFonts w:eastAsia="方正小标宋简体"/>
          <w:color w:val="auto"/>
        </w:rPr>
      </w:pPr>
      <w:r>
        <w:rPr>
          <w:rFonts w:hint="eastAsia" w:eastAsia="方正小标宋简体"/>
          <w:b/>
          <w:bCs/>
          <w:color w:val="auto"/>
          <w:kern w:val="0"/>
          <w:sz w:val="28"/>
          <w:szCs w:val="28"/>
        </w:rPr>
        <w:t xml:space="preserve">专栏 </w:t>
      </w:r>
      <w:r>
        <w:rPr>
          <w:rFonts w:eastAsia="方正小标宋简体"/>
          <w:b/>
          <w:bCs/>
          <w:color w:val="auto"/>
          <w:kern w:val="0"/>
          <w:sz w:val="28"/>
          <w:szCs w:val="28"/>
        </w:rPr>
        <w:t xml:space="preserve"> </w:t>
      </w:r>
      <w:r>
        <w:rPr>
          <w:rFonts w:hint="eastAsia" w:eastAsia="方正小标宋简体"/>
          <w:b/>
          <w:bCs/>
          <w:color w:val="auto"/>
          <w:kern w:val="0"/>
          <w:sz w:val="28"/>
          <w:szCs w:val="28"/>
        </w:rPr>
        <w:t>海陵岛高端医疗旅游重点项目</w:t>
      </w:r>
    </w:p>
    <w:p>
      <w:pPr>
        <w:pBdr>
          <w:top w:val="single" w:color="auto" w:sz="4" w:space="1"/>
          <w:left w:val="single" w:color="auto" w:sz="4" w:space="4"/>
          <w:bottom w:val="single" w:color="auto" w:sz="4" w:space="1"/>
          <w:right w:val="single" w:color="auto" w:sz="4" w:space="4"/>
        </w:pBdr>
        <w:spacing w:line="360" w:lineRule="auto"/>
        <w:rPr>
          <w:rFonts w:ascii="仿宋_GB2312" w:hAnsi="等线" w:eastAsia="仿宋"/>
          <w:color w:val="auto"/>
          <w:sz w:val="24"/>
          <w:szCs w:val="30"/>
        </w:rPr>
      </w:pPr>
      <w:r>
        <w:rPr>
          <w:rFonts w:hint="eastAsia" w:ascii="仿宋_GB2312" w:hAnsi="等线" w:eastAsia="仿宋"/>
          <w:b/>
          <w:bCs/>
          <w:color w:val="auto"/>
          <w:sz w:val="24"/>
          <w:szCs w:val="30"/>
        </w:rPr>
        <w:t>1</w:t>
      </w:r>
      <w:r>
        <w:rPr>
          <w:rFonts w:ascii="仿宋_GB2312" w:hAnsi="等线" w:eastAsia="仿宋"/>
          <w:b/>
          <w:bCs/>
          <w:color w:val="auto"/>
          <w:sz w:val="24"/>
          <w:szCs w:val="30"/>
        </w:rPr>
        <w:t>.</w:t>
      </w:r>
      <w:r>
        <w:rPr>
          <w:rFonts w:hint="eastAsia" w:ascii="等线" w:hAnsi="等线"/>
          <w:b/>
          <w:bCs/>
          <w:color w:val="auto"/>
          <w:sz w:val="24"/>
          <w:szCs w:val="22"/>
        </w:rPr>
        <w:t xml:space="preserve"> </w:t>
      </w:r>
      <w:r>
        <w:rPr>
          <w:rFonts w:hint="eastAsia" w:ascii="仿宋_GB2312" w:hAnsi="等线" w:eastAsia="仿宋"/>
          <w:b/>
          <w:bCs/>
          <w:color w:val="auto"/>
          <w:sz w:val="24"/>
          <w:szCs w:val="30"/>
        </w:rPr>
        <w:t>医学美容和抗衰老：</w:t>
      </w:r>
      <w:r>
        <w:rPr>
          <w:rFonts w:hint="eastAsia" w:ascii="仿宋_GB2312" w:hAnsi="等线" w:eastAsia="仿宋"/>
          <w:color w:val="auto"/>
          <w:sz w:val="24"/>
          <w:szCs w:val="30"/>
        </w:rPr>
        <w:t>以高端医学美容市场需求为导向，培育和扶持具有发展潜力和较强产业带动效应的医美企业，引进国际国内一流医美机构和世界顶尖技术，重点发展以五官美容、美体美容、皮肤美容、无创美容、口腔美容、整形美容等医学美容服务。加快引进一批国际国内知名医美产业高端人才，提升海陵岛医学美容和抗衰老品牌影响力，着力打造医学美容抗老示范基地。</w:t>
      </w:r>
    </w:p>
    <w:p>
      <w:pPr>
        <w:pBdr>
          <w:top w:val="single" w:color="auto" w:sz="4" w:space="1"/>
          <w:left w:val="single" w:color="auto" w:sz="4" w:space="4"/>
          <w:bottom w:val="single" w:color="auto" w:sz="4" w:space="1"/>
          <w:right w:val="single" w:color="auto" w:sz="4" w:space="4"/>
        </w:pBdr>
        <w:spacing w:line="360" w:lineRule="auto"/>
        <w:rPr>
          <w:rFonts w:ascii="仿宋_GB2312" w:hAnsi="等线" w:eastAsia="仿宋"/>
          <w:color w:val="auto"/>
          <w:sz w:val="24"/>
          <w:szCs w:val="30"/>
        </w:rPr>
      </w:pPr>
      <w:r>
        <w:rPr>
          <w:rFonts w:hint="eastAsia" w:ascii="仿宋_GB2312" w:hAnsi="等线" w:eastAsia="仿宋"/>
          <w:b/>
          <w:bCs/>
          <w:color w:val="auto"/>
          <w:sz w:val="24"/>
          <w:szCs w:val="30"/>
        </w:rPr>
        <w:t>2</w:t>
      </w:r>
      <w:r>
        <w:rPr>
          <w:rFonts w:ascii="仿宋_GB2312" w:hAnsi="等线" w:eastAsia="仿宋"/>
          <w:b/>
          <w:bCs/>
          <w:color w:val="auto"/>
          <w:sz w:val="24"/>
          <w:szCs w:val="30"/>
        </w:rPr>
        <w:t>.</w:t>
      </w:r>
      <w:r>
        <w:rPr>
          <w:rFonts w:hint="eastAsia" w:ascii="仿宋_GB2312" w:hAnsi="等线" w:eastAsia="仿宋"/>
          <w:b/>
          <w:bCs/>
          <w:color w:val="auto"/>
          <w:sz w:val="24"/>
          <w:szCs w:val="30"/>
        </w:rPr>
        <w:t xml:space="preserve"> 癌症防治：</w:t>
      </w:r>
      <w:r>
        <w:rPr>
          <w:rFonts w:hint="eastAsia" w:ascii="仿宋_GB2312" w:hAnsi="等线" w:eastAsia="仿宋"/>
          <w:color w:val="auto"/>
          <w:sz w:val="24"/>
          <w:szCs w:val="30"/>
        </w:rPr>
        <w:t>规划建设国际一流的肿瘤医院、肿瘤专项病症治疗研究中心、细胞免疫治疗中心等肿瘤治疗高端医疗机构，加快引进治疗癌症最先进的质子刀、智能化直线加速器等尖端医疗设备，重点开展早期癌症筛查及检测服务(包括超早期肿瘤风险DNA检查)和以新药、新疗法为特色的肿瘤(癌症)治疗与康复服务。</w:t>
      </w:r>
    </w:p>
    <w:p>
      <w:pPr>
        <w:pBdr>
          <w:top w:val="single" w:color="auto" w:sz="4" w:space="1"/>
          <w:left w:val="single" w:color="auto" w:sz="4" w:space="4"/>
          <w:bottom w:val="single" w:color="auto" w:sz="4" w:space="1"/>
          <w:right w:val="single" w:color="auto" w:sz="4" w:space="4"/>
        </w:pBdr>
        <w:spacing w:line="360" w:lineRule="auto"/>
        <w:rPr>
          <w:rFonts w:ascii="仿宋_GB2312" w:hAnsi="等线" w:eastAsia="仿宋"/>
          <w:color w:val="auto"/>
          <w:sz w:val="24"/>
          <w:szCs w:val="30"/>
        </w:rPr>
      </w:pPr>
      <w:r>
        <w:rPr>
          <w:rFonts w:hint="eastAsia" w:ascii="仿宋_GB2312" w:hAnsi="等线" w:eastAsia="仿宋"/>
          <w:b/>
          <w:bCs/>
          <w:color w:val="auto"/>
          <w:sz w:val="24"/>
          <w:szCs w:val="30"/>
        </w:rPr>
        <w:t>3</w:t>
      </w:r>
      <w:r>
        <w:rPr>
          <w:rFonts w:ascii="仿宋_GB2312" w:hAnsi="等线" w:eastAsia="仿宋"/>
          <w:b/>
          <w:bCs/>
          <w:color w:val="auto"/>
          <w:sz w:val="24"/>
          <w:szCs w:val="30"/>
        </w:rPr>
        <w:t>.</w:t>
      </w:r>
      <w:r>
        <w:rPr>
          <w:rFonts w:hint="eastAsia" w:ascii="等线" w:hAnsi="等线"/>
          <w:color w:val="auto"/>
          <w:sz w:val="24"/>
          <w:szCs w:val="22"/>
        </w:rPr>
        <w:t xml:space="preserve"> </w:t>
      </w:r>
      <w:r>
        <w:rPr>
          <w:rFonts w:hint="eastAsia" w:ascii="仿宋_GB2312" w:hAnsi="等线" w:eastAsia="仿宋"/>
          <w:b/>
          <w:bCs/>
          <w:color w:val="auto"/>
          <w:sz w:val="24"/>
          <w:szCs w:val="30"/>
        </w:rPr>
        <w:t>辅助生殖：</w:t>
      </w:r>
      <w:r>
        <w:rPr>
          <w:rFonts w:hint="eastAsia" w:ascii="仿宋_GB2312" w:hAnsi="等线" w:eastAsia="仿宋"/>
          <w:color w:val="auto"/>
          <w:sz w:val="24"/>
          <w:szCs w:val="30"/>
        </w:rPr>
        <w:t>借鉴以色列在试管婴儿领域的成功经验，以生殖医学中心、不孕不育医院、男科医院、妇女儿童医院等专科医院为载体，主要面向辅助生殖技术助孕的需求，尤其是重、难不孕不育症患者，开展以生殖医疗服务、试管婴儿生育为特色的医疗旅游服务。</w:t>
      </w:r>
    </w:p>
    <w:p>
      <w:pPr>
        <w:pBdr>
          <w:top w:val="single" w:color="auto" w:sz="4" w:space="1"/>
          <w:left w:val="single" w:color="auto" w:sz="4" w:space="4"/>
          <w:bottom w:val="single" w:color="auto" w:sz="4" w:space="1"/>
          <w:right w:val="single" w:color="auto" w:sz="4" w:space="4"/>
        </w:pBdr>
        <w:spacing w:line="360" w:lineRule="auto"/>
        <w:rPr>
          <w:rFonts w:ascii="仿宋_GB2312" w:hAnsi="等线" w:eastAsia="仿宋"/>
          <w:color w:val="auto"/>
          <w:sz w:val="24"/>
          <w:szCs w:val="30"/>
        </w:rPr>
      </w:pPr>
      <w:r>
        <w:rPr>
          <w:rFonts w:hint="eastAsia" w:ascii="仿宋_GB2312" w:hAnsi="等线" w:eastAsia="仿宋"/>
          <w:b/>
          <w:bCs/>
          <w:color w:val="auto"/>
          <w:sz w:val="24"/>
          <w:szCs w:val="30"/>
        </w:rPr>
        <w:t>4</w:t>
      </w:r>
      <w:r>
        <w:rPr>
          <w:rFonts w:ascii="仿宋_GB2312" w:hAnsi="等线" w:eastAsia="仿宋"/>
          <w:b/>
          <w:bCs/>
          <w:color w:val="auto"/>
          <w:sz w:val="24"/>
          <w:szCs w:val="30"/>
        </w:rPr>
        <w:t>.</w:t>
      </w:r>
      <w:r>
        <w:rPr>
          <w:rFonts w:hint="eastAsia" w:ascii="等线" w:hAnsi="等线"/>
          <w:color w:val="auto"/>
          <w:sz w:val="24"/>
          <w:szCs w:val="22"/>
        </w:rPr>
        <w:t xml:space="preserve"> </w:t>
      </w:r>
      <w:r>
        <w:rPr>
          <w:rFonts w:hint="eastAsia" w:ascii="仿宋_GB2312" w:hAnsi="等线" w:eastAsia="仿宋"/>
          <w:b/>
          <w:bCs/>
          <w:color w:val="auto"/>
          <w:sz w:val="24"/>
          <w:szCs w:val="30"/>
        </w:rPr>
        <w:t>基因检测：</w:t>
      </w:r>
      <w:r>
        <w:rPr>
          <w:rFonts w:hint="eastAsia" w:ascii="仿宋_GB2312" w:hAnsi="等线" w:eastAsia="仿宋"/>
          <w:color w:val="auto"/>
          <w:sz w:val="24"/>
          <w:szCs w:val="30"/>
        </w:rPr>
        <w:t>依托基因检测技术应用示范中心、第三方医学检验机构等建设项目，积极引进华大基因等国内外知名基因检测公司，鼓励发展基因检测，重点开发针对出生缺陷疾病、遗传性疾病、肿瘤、心脑血管疾病、感染性疾病等重大疾病的基因测序产品和服务。</w:t>
      </w:r>
    </w:p>
    <w:p>
      <w:pPr>
        <w:pBdr>
          <w:top w:val="single" w:color="auto" w:sz="4" w:space="1"/>
          <w:left w:val="single" w:color="auto" w:sz="4" w:space="4"/>
          <w:bottom w:val="single" w:color="auto" w:sz="4" w:space="1"/>
          <w:right w:val="single" w:color="auto" w:sz="4" w:space="4"/>
        </w:pBdr>
        <w:spacing w:line="360" w:lineRule="auto"/>
        <w:rPr>
          <w:rFonts w:ascii="仿宋" w:hAnsi="仿宋" w:eastAsia="仿宋" w:cs="仿宋_GB2312"/>
          <w:color w:val="auto"/>
          <w:sz w:val="32"/>
          <w:szCs w:val="32"/>
        </w:rPr>
      </w:pPr>
      <w:r>
        <w:rPr>
          <w:rFonts w:hint="eastAsia" w:ascii="仿宋_GB2312" w:hAnsi="等线" w:eastAsia="仿宋"/>
          <w:b/>
          <w:bCs/>
          <w:color w:val="auto"/>
          <w:sz w:val="24"/>
          <w:szCs w:val="30"/>
        </w:rPr>
        <w:t>5</w:t>
      </w:r>
      <w:r>
        <w:rPr>
          <w:rFonts w:ascii="仿宋_GB2312" w:hAnsi="等线" w:eastAsia="仿宋"/>
          <w:b/>
          <w:bCs/>
          <w:color w:val="auto"/>
          <w:sz w:val="24"/>
          <w:szCs w:val="30"/>
        </w:rPr>
        <w:t>.</w:t>
      </w:r>
      <w:r>
        <w:rPr>
          <w:rFonts w:hint="eastAsia" w:ascii="等线" w:hAnsi="等线"/>
          <w:color w:val="auto"/>
          <w:sz w:val="24"/>
          <w:szCs w:val="22"/>
        </w:rPr>
        <w:t xml:space="preserve"> </w:t>
      </w:r>
      <w:r>
        <w:rPr>
          <w:rFonts w:hint="eastAsia" w:ascii="仿宋_GB2312" w:hAnsi="等线" w:eastAsia="仿宋"/>
          <w:b/>
          <w:bCs/>
          <w:color w:val="auto"/>
          <w:sz w:val="24"/>
          <w:szCs w:val="30"/>
        </w:rPr>
        <w:t>精准医疗：</w:t>
      </w:r>
      <w:r>
        <w:rPr>
          <w:rFonts w:hint="eastAsia" w:ascii="仿宋_GB2312" w:hAnsi="等线" w:eastAsia="仿宋"/>
          <w:color w:val="auto"/>
          <w:sz w:val="24"/>
          <w:szCs w:val="30"/>
        </w:rPr>
        <w:t>充分利用国际国内资源要素，积极参与全球、全国精准医疗产业布局，着力引进一批重大精准医疗产业项目和专业技术人才，打造国内一流精准医学研发创新中心和精准医疗健康数据服务与应用开发中心，重点发展生物信息分析、基因工程技术应用、移动医疗、医疗大数据应用。</w:t>
      </w:r>
    </w:p>
    <w:p>
      <w:pPr>
        <w:adjustRightInd w:val="0"/>
        <w:snapToGrid w:val="0"/>
        <w:spacing w:line="600" w:lineRule="exact"/>
        <w:ind w:firstLine="643" w:firstLineChars="200"/>
        <w:rPr>
          <w:color w:val="auto"/>
        </w:rPr>
      </w:pPr>
      <w:r>
        <w:rPr>
          <w:rFonts w:hint="eastAsia" w:ascii="仿宋" w:hAnsi="仿宋" w:eastAsia="仿宋" w:cs="仿宋_GB2312"/>
          <w:b/>
          <w:bCs/>
          <w:color w:val="auto"/>
          <w:sz w:val="32"/>
          <w:szCs w:val="32"/>
        </w:rPr>
        <w:t>海岛中医药特色旅游业。</w:t>
      </w:r>
      <w:r>
        <w:rPr>
          <w:rFonts w:hint="eastAsia" w:ascii="仿宋" w:hAnsi="仿宋" w:eastAsia="仿宋" w:cs="仿宋_GB2312"/>
          <w:color w:val="auto"/>
          <w:sz w:val="32"/>
          <w:szCs w:val="32"/>
        </w:rPr>
        <w:t>依托海陵岛中医药资源以及康复疗养基础设施，以中国传统中医药独具特色的理论体系和内容为基础，将现代科技和传统中医养生理论相结合，开发一系列具有海陵岛特色、体验性强、参与度广的中医药健康旅游路线，丰富中医药健康旅游产品体系，建设一批集养生保健、医疗康复、观光休闲、美食娱乐等为一体的中医药健康旅游示范基地，形成海陵岛特色鲜明的中医药健康旅游品牌。</w:t>
      </w:r>
    </w:p>
    <w:p>
      <w:pPr>
        <w:widowControl/>
        <w:jc w:val="center"/>
        <w:rPr>
          <w:rFonts w:eastAsia="方正小标宋简体"/>
          <w:color w:val="auto"/>
        </w:rPr>
      </w:pPr>
      <w:r>
        <w:rPr>
          <w:rFonts w:hint="eastAsia" w:eastAsia="方正小标宋简体"/>
          <w:b/>
          <w:bCs/>
          <w:color w:val="auto"/>
          <w:kern w:val="0"/>
          <w:sz w:val="28"/>
          <w:szCs w:val="28"/>
        </w:rPr>
        <w:t xml:space="preserve">专栏 </w:t>
      </w:r>
      <w:r>
        <w:rPr>
          <w:rFonts w:eastAsia="方正小标宋简体"/>
          <w:b/>
          <w:bCs/>
          <w:color w:val="auto"/>
          <w:kern w:val="0"/>
          <w:sz w:val="28"/>
          <w:szCs w:val="28"/>
        </w:rPr>
        <w:t xml:space="preserve"> </w:t>
      </w:r>
      <w:r>
        <w:rPr>
          <w:rFonts w:hint="eastAsia" w:eastAsia="方正小标宋简体"/>
          <w:b/>
          <w:bCs/>
          <w:color w:val="auto"/>
          <w:kern w:val="0"/>
          <w:sz w:val="28"/>
          <w:szCs w:val="28"/>
        </w:rPr>
        <w:t>海陵岛中医药特色重点项目</w:t>
      </w:r>
    </w:p>
    <w:p>
      <w:pPr>
        <w:pBdr>
          <w:top w:val="single" w:color="auto" w:sz="4" w:space="1"/>
          <w:left w:val="single" w:color="auto" w:sz="4" w:space="4"/>
          <w:bottom w:val="single" w:color="auto" w:sz="4" w:space="1"/>
          <w:right w:val="single" w:color="auto" w:sz="4" w:space="4"/>
        </w:pBdr>
        <w:spacing w:line="360" w:lineRule="auto"/>
        <w:rPr>
          <w:rFonts w:ascii="仿宋_GB2312" w:hAnsi="等线" w:eastAsia="仿宋"/>
          <w:color w:val="auto"/>
          <w:sz w:val="24"/>
          <w:szCs w:val="30"/>
        </w:rPr>
      </w:pPr>
      <w:r>
        <w:rPr>
          <w:rFonts w:hint="eastAsia" w:ascii="仿宋_GB2312" w:hAnsi="等线" w:eastAsia="仿宋"/>
          <w:b/>
          <w:bCs/>
          <w:color w:val="auto"/>
          <w:sz w:val="24"/>
          <w:szCs w:val="30"/>
        </w:rPr>
        <w:t>1</w:t>
      </w:r>
      <w:r>
        <w:rPr>
          <w:rFonts w:ascii="仿宋_GB2312" w:hAnsi="等线" w:eastAsia="仿宋"/>
          <w:b/>
          <w:bCs/>
          <w:color w:val="auto"/>
          <w:sz w:val="24"/>
          <w:szCs w:val="30"/>
        </w:rPr>
        <w:t>.</w:t>
      </w:r>
      <w:r>
        <w:rPr>
          <w:rFonts w:hint="eastAsia" w:ascii="等线" w:hAnsi="等线"/>
          <w:b/>
          <w:bCs/>
          <w:color w:val="auto"/>
          <w:sz w:val="24"/>
          <w:szCs w:val="22"/>
        </w:rPr>
        <w:t xml:space="preserve"> </w:t>
      </w:r>
      <w:r>
        <w:rPr>
          <w:rFonts w:hint="eastAsia" w:ascii="仿宋_GB2312" w:hAnsi="等线" w:eastAsia="仿宋"/>
          <w:b/>
          <w:bCs/>
          <w:color w:val="auto"/>
          <w:sz w:val="24"/>
          <w:szCs w:val="30"/>
        </w:rPr>
        <w:t>中医药观光休闲：</w:t>
      </w:r>
      <w:r>
        <w:rPr>
          <w:rFonts w:hint="eastAsia" w:ascii="仿宋_GB2312" w:hAnsi="等线" w:eastAsia="仿宋"/>
          <w:color w:val="auto"/>
          <w:sz w:val="24"/>
          <w:szCs w:val="30"/>
        </w:rPr>
        <w:t>积极引进和培育适宜海陵岛种植的新型中药材优良品种，规划建设一批中医药观光休闲旅游基地，打造海陵岛中医药观光休闲旅游精品路线，积极开展采摘和使用中草药，简单制作和品尝药膳，调配和体验药浴、识别简易保健穴位、了解艾灸、拔火罐疗效、参加中医养生讲座等多元化中医药体验活动。</w:t>
      </w:r>
    </w:p>
    <w:p>
      <w:pPr>
        <w:pBdr>
          <w:top w:val="single" w:color="auto" w:sz="4" w:space="1"/>
          <w:left w:val="single" w:color="auto" w:sz="4" w:space="4"/>
          <w:bottom w:val="single" w:color="auto" w:sz="4" w:space="1"/>
          <w:right w:val="single" w:color="auto" w:sz="4" w:space="4"/>
        </w:pBdr>
        <w:spacing w:line="360" w:lineRule="auto"/>
        <w:rPr>
          <w:rFonts w:ascii="仿宋_GB2312" w:hAnsi="等线" w:eastAsia="仿宋"/>
          <w:color w:val="auto"/>
          <w:sz w:val="24"/>
          <w:szCs w:val="30"/>
        </w:rPr>
      </w:pPr>
      <w:r>
        <w:rPr>
          <w:rFonts w:hint="eastAsia" w:ascii="仿宋_GB2312" w:hAnsi="等线" w:eastAsia="仿宋"/>
          <w:b/>
          <w:bCs/>
          <w:color w:val="auto"/>
          <w:sz w:val="24"/>
          <w:szCs w:val="30"/>
        </w:rPr>
        <w:t>2</w:t>
      </w:r>
      <w:r>
        <w:rPr>
          <w:rFonts w:ascii="仿宋_GB2312" w:hAnsi="等线" w:eastAsia="仿宋"/>
          <w:b/>
          <w:bCs/>
          <w:color w:val="auto"/>
          <w:sz w:val="24"/>
          <w:szCs w:val="30"/>
        </w:rPr>
        <w:t>.</w:t>
      </w:r>
      <w:r>
        <w:rPr>
          <w:rFonts w:hint="eastAsia" w:ascii="仿宋_GB2312" w:hAnsi="等线" w:eastAsia="仿宋"/>
          <w:b/>
          <w:bCs/>
          <w:color w:val="auto"/>
          <w:sz w:val="24"/>
          <w:szCs w:val="30"/>
        </w:rPr>
        <w:t xml:space="preserve"> 中医药文化体验：</w:t>
      </w:r>
      <w:r>
        <w:rPr>
          <w:rFonts w:hint="eastAsia" w:ascii="仿宋_GB2312" w:hAnsi="等线" w:eastAsia="仿宋"/>
          <w:color w:val="auto"/>
          <w:sz w:val="24"/>
          <w:szCs w:val="30"/>
        </w:rPr>
        <w:t>以中医药博物馆、中医药文化展览馆中医药文化园、中医药文化长廊、中医药文化墙为载体，围绕中医理论、针灸推拿、中医养生、中药基原、中药炮制、中药方剂、中药制剂等不同专题展示中医药特色文化。针对海陵岛不同客源群体，完善中医药文化研学旅游产品体系，设计具有海陵岛特色的中医药研学旅游精品线路。</w:t>
      </w:r>
    </w:p>
    <w:p>
      <w:pPr>
        <w:pBdr>
          <w:top w:val="single" w:color="auto" w:sz="4" w:space="1"/>
          <w:left w:val="single" w:color="auto" w:sz="4" w:space="4"/>
          <w:bottom w:val="single" w:color="auto" w:sz="4" w:space="1"/>
          <w:right w:val="single" w:color="auto" w:sz="4" w:space="4"/>
        </w:pBdr>
        <w:spacing w:line="360" w:lineRule="auto"/>
        <w:rPr>
          <w:rFonts w:ascii="仿宋_GB2312" w:hAnsi="等线" w:eastAsia="仿宋"/>
          <w:color w:val="auto"/>
          <w:sz w:val="24"/>
          <w:szCs w:val="30"/>
        </w:rPr>
      </w:pPr>
      <w:r>
        <w:rPr>
          <w:rFonts w:hint="eastAsia" w:ascii="仿宋_GB2312" w:hAnsi="等线" w:eastAsia="仿宋"/>
          <w:b/>
          <w:bCs/>
          <w:color w:val="auto"/>
          <w:sz w:val="24"/>
          <w:szCs w:val="30"/>
        </w:rPr>
        <w:t>3</w:t>
      </w:r>
      <w:r>
        <w:rPr>
          <w:rFonts w:ascii="仿宋_GB2312" w:hAnsi="等线" w:eastAsia="仿宋"/>
          <w:b/>
          <w:bCs/>
          <w:color w:val="auto"/>
          <w:sz w:val="24"/>
          <w:szCs w:val="30"/>
        </w:rPr>
        <w:t>.</w:t>
      </w:r>
      <w:r>
        <w:rPr>
          <w:rFonts w:hint="eastAsia" w:ascii="等线" w:hAnsi="等线"/>
          <w:color w:val="auto"/>
          <w:sz w:val="24"/>
          <w:szCs w:val="22"/>
        </w:rPr>
        <w:t xml:space="preserve"> </w:t>
      </w:r>
      <w:r>
        <w:rPr>
          <w:rFonts w:hint="eastAsia" w:ascii="仿宋_GB2312" w:hAnsi="等线" w:eastAsia="仿宋"/>
          <w:b/>
          <w:bCs/>
          <w:color w:val="auto"/>
          <w:sz w:val="24"/>
          <w:szCs w:val="30"/>
        </w:rPr>
        <w:t>中医药养生保健：</w:t>
      </w:r>
      <w:r>
        <w:rPr>
          <w:rFonts w:hint="eastAsia" w:ascii="仿宋_GB2312" w:hAnsi="等线" w:eastAsia="仿宋"/>
          <w:color w:val="auto"/>
          <w:sz w:val="24"/>
          <w:szCs w:val="30"/>
        </w:rPr>
        <w:t>充分发挥中医治末病和养生保健的特色优势，支持社会力量举办中医经络按摩馆、太极运动馆、养生馆、药膳馆、养生茶馆、中药小铺等中医药养生保健机构。鼓励中医药养生保健机构应用针灸、推拿、膏方、药膳等，开展中医体质辨识、亚健康调理、产后养护、季节养生、预防保健等服务项目。加快培育一批优势突出、特色鲜明的中医养生保健机构。</w:t>
      </w:r>
    </w:p>
    <w:p>
      <w:pPr>
        <w:pBdr>
          <w:top w:val="single" w:color="auto" w:sz="4" w:space="1"/>
          <w:left w:val="single" w:color="auto" w:sz="4" w:space="4"/>
          <w:bottom w:val="single" w:color="auto" w:sz="4" w:space="1"/>
          <w:right w:val="single" w:color="auto" w:sz="4" w:space="4"/>
        </w:pBdr>
        <w:spacing w:line="360" w:lineRule="auto"/>
        <w:rPr>
          <w:rFonts w:ascii="仿宋" w:hAnsi="仿宋" w:eastAsia="仿宋" w:cs="仿宋_GB2312"/>
          <w:b/>
          <w:bCs/>
          <w:color w:val="auto"/>
          <w:sz w:val="32"/>
          <w:szCs w:val="32"/>
        </w:rPr>
      </w:pPr>
      <w:r>
        <w:rPr>
          <w:rFonts w:hint="eastAsia" w:ascii="仿宋_GB2312" w:hAnsi="等线" w:eastAsia="仿宋"/>
          <w:b/>
          <w:bCs/>
          <w:color w:val="auto"/>
          <w:sz w:val="24"/>
          <w:szCs w:val="30"/>
        </w:rPr>
        <w:t>4</w:t>
      </w:r>
      <w:r>
        <w:rPr>
          <w:rFonts w:ascii="仿宋_GB2312" w:hAnsi="等线" w:eastAsia="仿宋"/>
          <w:b/>
          <w:bCs/>
          <w:color w:val="auto"/>
          <w:sz w:val="24"/>
          <w:szCs w:val="30"/>
        </w:rPr>
        <w:t>.</w:t>
      </w:r>
      <w:r>
        <w:rPr>
          <w:rFonts w:hint="eastAsia" w:ascii="等线" w:hAnsi="等线"/>
          <w:color w:val="auto"/>
          <w:sz w:val="24"/>
          <w:szCs w:val="22"/>
        </w:rPr>
        <w:t xml:space="preserve"> </w:t>
      </w:r>
      <w:r>
        <w:rPr>
          <w:rFonts w:hint="eastAsia" w:ascii="仿宋_GB2312" w:hAnsi="等线" w:eastAsia="仿宋"/>
          <w:b/>
          <w:bCs/>
          <w:color w:val="auto"/>
          <w:sz w:val="24"/>
          <w:szCs w:val="30"/>
        </w:rPr>
        <w:t>中医药医疗康复：</w:t>
      </w:r>
      <w:r>
        <w:rPr>
          <w:rFonts w:hint="eastAsia" w:ascii="仿宋_GB2312" w:hAnsi="等线" w:eastAsia="仿宋"/>
          <w:color w:val="auto"/>
          <w:sz w:val="24"/>
          <w:szCs w:val="30"/>
        </w:rPr>
        <w:t>充分发挥中医在重大疾病治疗中的协同作用和在疾病康复中的重要作用，规划建设海陵岛中医院，加强与广东中医药大学、广东省中医院等机构的交流合作。加快发展针灸、刮痧、推拿、艾灸、中药熏洗、穴位注射、穴位贴敷、穴位埋线等中医药特色诊疗技术，加快提升海陵岛中医药医疗康复服务水平。</w:t>
      </w:r>
    </w:p>
    <w:p>
      <w:pPr>
        <w:widowControl/>
        <w:ind w:firstLine="643" w:firstLineChars="200"/>
        <w:jc w:val="left"/>
        <w:rPr>
          <w:rFonts w:ascii="仿宋" w:hAnsi="仿宋" w:eastAsia="仿宋" w:cs="仿宋_GB2312"/>
          <w:color w:val="auto"/>
          <w:sz w:val="32"/>
          <w:szCs w:val="32"/>
        </w:rPr>
      </w:pPr>
      <w:r>
        <w:rPr>
          <w:rFonts w:hint="eastAsia" w:ascii="仿宋" w:hAnsi="仿宋" w:eastAsia="仿宋" w:cs="仿宋_GB2312"/>
          <w:b/>
          <w:bCs/>
          <w:color w:val="auto"/>
          <w:sz w:val="32"/>
          <w:szCs w:val="32"/>
        </w:rPr>
        <w:t>海岛健康养老旅游业。</w:t>
      </w:r>
      <w:r>
        <w:rPr>
          <w:rFonts w:hint="eastAsia" w:ascii="仿宋" w:hAnsi="仿宋" w:eastAsia="仿宋" w:cs="仿宋_GB2312"/>
          <w:color w:val="auto"/>
          <w:sz w:val="32"/>
          <w:szCs w:val="32"/>
        </w:rPr>
        <w:t>以海陵岛良好的气候条件和生态环境为依托，以旅居养老为重点，探索多元化的健康养老发展模式，引入和培育一批养老机构和养老服务产品，加快建设一批高端健康养老服务聚集区，把海陵岛打造成粤港澳大湾区乃至世界知名的养老胜地。</w:t>
      </w:r>
    </w:p>
    <w:p>
      <w:pPr>
        <w:widowControl/>
        <w:jc w:val="center"/>
        <w:rPr>
          <w:rFonts w:eastAsia="方正小标宋简体"/>
          <w:color w:val="auto"/>
        </w:rPr>
      </w:pPr>
      <w:r>
        <w:rPr>
          <w:rFonts w:hint="eastAsia" w:eastAsia="方正小标宋简体"/>
          <w:b/>
          <w:bCs/>
          <w:color w:val="auto"/>
          <w:kern w:val="0"/>
          <w:sz w:val="28"/>
          <w:szCs w:val="28"/>
        </w:rPr>
        <w:t xml:space="preserve">专栏 </w:t>
      </w:r>
      <w:r>
        <w:rPr>
          <w:rFonts w:eastAsia="方正小标宋简体"/>
          <w:b/>
          <w:bCs/>
          <w:color w:val="auto"/>
          <w:kern w:val="0"/>
          <w:sz w:val="28"/>
          <w:szCs w:val="28"/>
        </w:rPr>
        <w:t xml:space="preserve"> </w:t>
      </w:r>
      <w:r>
        <w:rPr>
          <w:rFonts w:hint="eastAsia" w:eastAsia="方正小标宋简体"/>
          <w:b/>
          <w:bCs/>
          <w:color w:val="auto"/>
          <w:kern w:val="0"/>
          <w:sz w:val="28"/>
          <w:szCs w:val="28"/>
        </w:rPr>
        <w:t>海陵岛健康养老旅游重点项目</w:t>
      </w:r>
    </w:p>
    <w:p>
      <w:pPr>
        <w:numPr>
          <w:ilvl w:val="0"/>
          <w:numId w:val="2"/>
        </w:numPr>
        <w:pBdr>
          <w:top w:val="single" w:color="auto" w:sz="4" w:space="1"/>
          <w:left w:val="single" w:color="auto" w:sz="4" w:space="4"/>
          <w:bottom w:val="single" w:color="auto" w:sz="4" w:space="1"/>
          <w:right w:val="single" w:color="auto" w:sz="4" w:space="4"/>
        </w:pBdr>
        <w:spacing w:line="360" w:lineRule="auto"/>
        <w:rPr>
          <w:rFonts w:ascii="仿宋_GB2312" w:hAnsi="等线" w:eastAsia="仿宋"/>
          <w:color w:val="auto"/>
          <w:sz w:val="24"/>
          <w:szCs w:val="30"/>
        </w:rPr>
      </w:pPr>
      <w:r>
        <w:rPr>
          <w:rFonts w:hint="eastAsia" w:ascii="仿宋_GB2312" w:hAnsi="等线" w:eastAsia="仿宋"/>
          <w:b/>
          <w:bCs/>
          <w:color w:val="auto"/>
          <w:sz w:val="24"/>
          <w:szCs w:val="30"/>
        </w:rPr>
        <w:t>候鸟式旅居养老：</w:t>
      </w:r>
      <w:r>
        <w:rPr>
          <w:rFonts w:hint="eastAsia" w:ascii="仿宋_GB2312" w:hAnsi="等线" w:eastAsia="仿宋"/>
          <w:color w:val="auto"/>
          <w:sz w:val="24"/>
          <w:szCs w:val="30"/>
        </w:rPr>
        <w:t>充分发挥海陵岛阳光充足、避寒养老的气候优势，积极探索海陵岛候鸟式旅居养老的发展新模式，鼓励与支持山屿海、艳阳度假、君游度假、延熙堂等大型养老服务开发商在海陵岛设立配备完善的避寒养老地产项目，开发候鸟式旅居养老服务，着力打造海陵岛“候鸟式旅居养老”品牌，力争成为国家级候鸟式旅居养老示范基地。</w:t>
      </w:r>
    </w:p>
    <w:p>
      <w:pPr>
        <w:pBdr>
          <w:top w:val="single" w:color="auto" w:sz="4" w:space="1"/>
          <w:left w:val="single" w:color="auto" w:sz="4" w:space="4"/>
          <w:bottom w:val="single" w:color="auto" w:sz="4" w:space="1"/>
          <w:right w:val="single" w:color="auto" w:sz="4" w:space="4"/>
        </w:pBdr>
        <w:spacing w:line="360" w:lineRule="auto"/>
        <w:rPr>
          <w:rFonts w:ascii="仿宋_GB2312" w:hAnsi="等线" w:eastAsia="仿宋"/>
          <w:color w:val="auto"/>
          <w:sz w:val="24"/>
          <w:szCs w:val="30"/>
        </w:rPr>
      </w:pPr>
      <w:r>
        <w:rPr>
          <w:rFonts w:hint="eastAsia" w:ascii="仿宋_GB2312" w:hAnsi="等线" w:eastAsia="仿宋"/>
          <w:b/>
          <w:bCs/>
          <w:color w:val="auto"/>
          <w:sz w:val="24"/>
          <w:szCs w:val="30"/>
        </w:rPr>
        <w:t>2</w:t>
      </w:r>
      <w:r>
        <w:rPr>
          <w:rFonts w:ascii="仿宋_GB2312" w:hAnsi="等线" w:eastAsia="仿宋"/>
          <w:b/>
          <w:bCs/>
          <w:color w:val="auto"/>
          <w:sz w:val="24"/>
          <w:szCs w:val="30"/>
        </w:rPr>
        <w:t>.</w:t>
      </w:r>
      <w:r>
        <w:rPr>
          <w:rFonts w:hint="eastAsia" w:ascii="仿宋_GB2312" w:hAnsi="等线" w:eastAsia="仿宋"/>
          <w:b/>
          <w:bCs/>
          <w:color w:val="auto"/>
          <w:sz w:val="24"/>
          <w:szCs w:val="30"/>
        </w:rPr>
        <w:t xml:space="preserve"> 疗养式旅居养老：</w:t>
      </w:r>
      <w:r>
        <w:rPr>
          <w:rFonts w:hint="eastAsia" w:ascii="仿宋_GB2312" w:hAnsi="等线" w:eastAsia="仿宋"/>
          <w:color w:val="auto"/>
          <w:sz w:val="24"/>
          <w:szCs w:val="30"/>
        </w:rPr>
        <w:t>开发中医诊疗室、中医理疗中心、药膳养老会所、中草药种植园等中医旅居养老项目，提供包括中医养生知识讲座、中医医疗服务、中草药园区体验等不同的中医养老服务。以海陵岛人民医院、海陵岛滨海医院等大型医院雄厚的医疗资源和专业化的医疗服务为依托，为老年群体提供包括身体健康检查、医疗护理、健康咨询等多个领域立体化的养老服务体系。</w:t>
      </w:r>
    </w:p>
    <w:p>
      <w:pPr>
        <w:pBdr>
          <w:top w:val="single" w:color="auto" w:sz="4" w:space="1"/>
          <w:left w:val="single" w:color="auto" w:sz="4" w:space="4"/>
          <w:bottom w:val="single" w:color="auto" w:sz="4" w:space="1"/>
          <w:right w:val="single" w:color="auto" w:sz="4" w:space="4"/>
        </w:pBdr>
        <w:spacing w:line="360" w:lineRule="auto"/>
        <w:rPr>
          <w:rFonts w:ascii="仿宋_GB2312" w:hAnsi="等线" w:eastAsia="仿宋"/>
          <w:color w:val="auto"/>
          <w:sz w:val="24"/>
          <w:szCs w:val="30"/>
        </w:rPr>
      </w:pPr>
      <w:r>
        <w:rPr>
          <w:rFonts w:hint="eastAsia" w:ascii="仿宋_GB2312" w:hAnsi="等线" w:eastAsia="仿宋"/>
          <w:b/>
          <w:bCs/>
          <w:color w:val="auto"/>
          <w:sz w:val="24"/>
          <w:szCs w:val="30"/>
        </w:rPr>
        <w:t>3</w:t>
      </w:r>
      <w:r>
        <w:rPr>
          <w:rFonts w:ascii="仿宋_GB2312" w:hAnsi="等线" w:eastAsia="仿宋"/>
          <w:b/>
          <w:bCs/>
          <w:color w:val="auto"/>
          <w:sz w:val="24"/>
          <w:szCs w:val="30"/>
        </w:rPr>
        <w:t>.</w:t>
      </w:r>
      <w:r>
        <w:rPr>
          <w:rFonts w:hint="eastAsia" w:ascii="等线" w:hAnsi="等线"/>
          <w:color w:val="auto"/>
          <w:sz w:val="24"/>
          <w:szCs w:val="22"/>
        </w:rPr>
        <w:t xml:space="preserve"> </w:t>
      </w:r>
      <w:r>
        <w:rPr>
          <w:rFonts w:hint="eastAsia" w:ascii="仿宋_GB2312" w:hAnsi="等线" w:eastAsia="仿宋"/>
          <w:b/>
          <w:bCs/>
          <w:color w:val="auto"/>
          <w:sz w:val="24"/>
          <w:szCs w:val="30"/>
        </w:rPr>
        <w:t>文化体验式旅居养老：</w:t>
      </w:r>
      <w:r>
        <w:rPr>
          <w:rFonts w:hint="eastAsia" w:ascii="仿宋_GB2312" w:hAnsi="等线" w:eastAsia="仿宋"/>
          <w:color w:val="auto"/>
          <w:sz w:val="24"/>
          <w:szCs w:val="30"/>
        </w:rPr>
        <w:t>依托海陵岛海丝文化、宋文化等历史文化资源、威海炮台、马尾古塔等历史遗址以及疍家婚俗等非物质文化遗产，以对文化精神需求有特殊偏好的养老人群为市场目标，将历史古迹、旅游产业和养老服务相结合，开发一批具有海陵岛特色的文化体验式旅居养老项目。</w:t>
      </w:r>
    </w:p>
    <w:p>
      <w:pPr>
        <w:pBdr>
          <w:top w:val="single" w:color="auto" w:sz="4" w:space="1"/>
          <w:left w:val="single" w:color="auto" w:sz="4" w:space="4"/>
          <w:bottom w:val="single" w:color="auto" w:sz="4" w:space="1"/>
          <w:right w:val="single" w:color="auto" w:sz="4" w:space="4"/>
        </w:pBdr>
        <w:spacing w:line="360" w:lineRule="auto"/>
        <w:rPr>
          <w:rFonts w:ascii="仿宋_GB2312" w:hAnsi="等线" w:eastAsia="仿宋"/>
          <w:b/>
          <w:bCs/>
          <w:color w:val="auto"/>
          <w:sz w:val="24"/>
          <w:szCs w:val="30"/>
        </w:rPr>
      </w:pPr>
      <w:r>
        <w:rPr>
          <w:rFonts w:hint="eastAsia" w:ascii="仿宋_GB2312" w:hAnsi="等线" w:eastAsia="仿宋"/>
          <w:b/>
          <w:bCs/>
          <w:color w:val="auto"/>
          <w:sz w:val="24"/>
          <w:szCs w:val="30"/>
        </w:rPr>
        <w:t>4</w:t>
      </w:r>
      <w:r>
        <w:rPr>
          <w:rFonts w:ascii="仿宋_GB2312" w:hAnsi="等线" w:eastAsia="仿宋"/>
          <w:b/>
          <w:bCs/>
          <w:color w:val="auto"/>
          <w:sz w:val="24"/>
          <w:szCs w:val="30"/>
        </w:rPr>
        <w:t>.</w:t>
      </w:r>
      <w:r>
        <w:rPr>
          <w:rFonts w:hint="eastAsia" w:ascii="等线" w:hAnsi="等线"/>
          <w:color w:val="auto"/>
          <w:sz w:val="24"/>
          <w:szCs w:val="22"/>
        </w:rPr>
        <w:t xml:space="preserve"> </w:t>
      </w:r>
      <w:r>
        <w:rPr>
          <w:rFonts w:hint="eastAsia" w:ascii="仿宋_GB2312" w:hAnsi="等线" w:eastAsia="仿宋"/>
          <w:b/>
          <w:bCs/>
          <w:color w:val="auto"/>
          <w:sz w:val="24"/>
          <w:szCs w:val="30"/>
        </w:rPr>
        <w:t>生态田园式旅居养老：</w:t>
      </w:r>
      <w:r>
        <w:rPr>
          <w:rFonts w:hint="eastAsia" w:ascii="仿宋_GB2312" w:hAnsi="等线" w:eastAsia="仿宋"/>
          <w:color w:val="auto"/>
          <w:sz w:val="24"/>
          <w:szCs w:val="30"/>
        </w:rPr>
        <w:t>依托海陵岛农家乐、乡村绿色田园景观、农事娱乐体验、特色乡村风情等田园乡村资源，以田园养老综合体为重要载体，开发观光、采摘、农乐体验等特色田园养老项目，推动田园生活与养老服务相结合，打造一批集休闲、观光、体验、养老等多功能为一体的田园养老示范基地。</w:t>
      </w:r>
    </w:p>
    <w:p>
      <w:pPr>
        <w:pBdr>
          <w:top w:val="single" w:color="auto" w:sz="4" w:space="1"/>
          <w:left w:val="single" w:color="auto" w:sz="4" w:space="4"/>
          <w:bottom w:val="single" w:color="auto" w:sz="4" w:space="1"/>
          <w:right w:val="single" w:color="auto" w:sz="4" w:space="4"/>
        </w:pBdr>
        <w:spacing w:line="360" w:lineRule="auto"/>
        <w:rPr>
          <w:rFonts w:ascii="仿宋" w:hAnsi="仿宋" w:eastAsia="仿宋" w:cs="仿宋_GB2312"/>
          <w:color w:val="auto"/>
          <w:sz w:val="32"/>
          <w:szCs w:val="32"/>
        </w:rPr>
      </w:pPr>
      <w:r>
        <w:rPr>
          <w:rFonts w:hint="eastAsia" w:ascii="仿宋_GB2312" w:hAnsi="等线" w:eastAsia="仿宋"/>
          <w:b/>
          <w:bCs/>
          <w:color w:val="auto"/>
          <w:sz w:val="24"/>
          <w:szCs w:val="30"/>
        </w:rPr>
        <w:t>5</w:t>
      </w:r>
      <w:r>
        <w:rPr>
          <w:rFonts w:ascii="仿宋_GB2312" w:hAnsi="等线" w:eastAsia="仿宋"/>
          <w:b/>
          <w:bCs/>
          <w:color w:val="auto"/>
          <w:sz w:val="24"/>
          <w:szCs w:val="30"/>
        </w:rPr>
        <w:t>.</w:t>
      </w:r>
      <w:r>
        <w:rPr>
          <w:rFonts w:hint="eastAsia" w:ascii="等线" w:hAnsi="等线"/>
          <w:color w:val="auto"/>
          <w:sz w:val="24"/>
          <w:szCs w:val="22"/>
        </w:rPr>
        <w:t xml:space="preserve"> </w:t>
      </w:r>
      <w:r>
        <w:rPr>
          <w:rFonts w:hint="eastAsia" w:ascii="仿宋_GB2312" w:hAnsi="等线" w:eastAsia="仿宋"/>
          <w:b/>
          <w:bCs/>
          <w:color w:val="auto"/>
          <w:sz w:val="24"/>
          <w:szCs w:val="30"/>
        </w:rPr>
        <w:t>社区式旅居养老：</w:t>
      </w:r>
      <w:r>
        <w:rPr>
          <w:rFonts w:hint="eastAsia" w:ascii="仿宋_GB2312" w:hAnsi="等线" w:eastAsia="仿宋"/>
          <w:color w:val="auto"/>
          <w:sz w:val="24"/>
          <w:szCs w:val="30"/>
        </w:rPr>
        <w:t>依托保利、恒大、敏捷、碧桂园、龙光御海湾等大型房地产开发企业，推动养老产业和地产融合发展，开发一批养老综合体、养老社区、老年公寓等，推动老年活动中心、老年大学、医院、疗养院、医疗保健服务中心等适老化综合配套设施建设，引进一批国内外大型养老服务机。</w:t>
      </w:r>
    </w:p>
    <w:p>
      <w:pPr>
        <w:adjustRightInd w:val="0"/>
        <w:snapToGrid w:val="0"/>
        <w:spacing w:line="600" w:lineRule="exact"/>
        <w:ind w:firstLine="643" w:firstLineChars="200"/>
        <w:rPr>
          <w:rFonts w:ascii="仿宋" w:hAnsi="仿宋" w:eastAsia="仿宋" w:cs="仿宋_GB2312"/>
          <w:color w:val="auto"/>
          <w:sz w:val="32"/>
          <w:szCs w:val="32"/>
        </w:rPr>
      </w:pPr>
      <w:r>
        <w:rPr>
          <w:rFonts w:hint="eastAsia" w:ascii="仿宋" w:hAnsi="仿宋" w:eastAsia="仿宋" w:cs="仿宋_GB2312"/>
          <w:b/>
          <w:bCs/>
          <w:color w:val="auto"/>
          <w:sz w:val="32"/>
          <w:szCs w:val="32"/>
        </w:rPr>
        <w:t>健康旅游配套产业。</w:t>
      </w:r>
      <w:r>
        <w:rPr>
          <w:rFonts w:hint="eastAsia" w:ascii="仿宋" w:hAnsi="仿宋" w:eastAsia="仿宋" w:cs="仿宋_GB2312"/>
          <w:color w:val="auto"/>
          <w:sz w:val="32"/>
          <w:szCs w:val="32"/>
        </w:rPr>
        <w:t>以海陵岛医院体检中心、专业体检机构为依托，培育与引进国内外知名的健康管理品牌与机构，积极开展健康体检、健康咨询、健康风险评估、健康干预、就诊指导、就诊预约等全过程健康管理服务，把海陵岛建设成为粤港澳大湾区重要的健康管理服务基地。积极响应阳江市委关于建设职业教育强市的战略规划，大力发展旅游、医疗、康养方面的职业教育、高等教育以及职业培训，并同步发展旅游、医疗、康养方面的学术研究、行业交流等事业，把海陵岛建设成为粤港澳大湾区健康旅游教育培训基地。积极发展商业健康保险，鼓励商业保险公司提供与健康旅游服务相适应的多样化、多层次、规范化的产品和服务。</w:t>
      </w:r>
    </w:p>
    <w:p>
      <w:pPr>
        <w:adjustRightInd w:val="0"/>
        <w:snapToGrid w:val="0"/>
        <w:spacing w:line="600" w:lineRule="exact"/>
        <w:ind w:firstLine="643" w:firstLineChars="200"/>
        <w:rPr>
          <w:rFonts w:ascii="仿宋" w:hAnsi="仿宋" w:eastAsia="仿宋"/>
          <w:b/>
          <w:bCs/>
          <w:color w:val="auto"/>
          <w:sz w:val="32"/>
          <w:szCs w:val="32"/>
        </w:rPr>
      </w:pPr>
      <w:r>
        <w:rPr>
          <w:rFonts w:hint="eastAsia" w:ascii="仿宋" w:hAnsi="仿宋" w:eastAsia="仿宋" w:cs="仿宋_GB2312"/>
          <w:b/>
          <w:bCs/>
          <w:color w:val="auto"/>
          <w:sz w:val="32"/>
          <w:szCs w:val="32"/>
        </w:rPr>
        <w:t>二、大力发展文化旅游</w:t>
      </w:r>
    </w:p>
    <w:p>
      <w:pPr>
        <w:adjustRightInd w:val="0"/>
        <w:snapToGrid w:val="0"/>
        <w:spacing w:line="6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深度挖掘海陵岛独有的海丝文化、</w:t>
      </w:r>
      <w:r>
        <w:rPr>
          <w:rFonts w:hint="eastAsia" w:ascii="仿宋" w:hAnsi="仿宋" w:eastAsia="仿宋" w:cs="仿宋_GB2312"/>
          <w:color w:val="auto"/>
          <w:sz w:val="32"/>
          <w:szCs w:val="32"/>
          <w:lang w:eastAsia="zh-CN"/>
        </w:rPr>
        <w:t>宋</w:t>
      </w:r>
      <w:r>
        <w:rPr>
          <w:rFonts w:hint="eastAsia" w:ascii="仿宋" w:hAnsi="仿宋" w:eastAsia="仿宋" w:cs="仿宋_GB2312"/>
          <w:color w:val="auto"/>
          <w:sz w:val="32"/>
          <w:szCs w:val="32"/>
        </w:rPr>
        <w:t>文化、民俗文化等历史文化底蕴和内涵，以各类景区景点为载体，突出文化元素植入，造具有鲜明海岛文化特色和元素的文旅产品，让文化成为吸引游客的核心竞争力，打造具有海陵岛特色的文化旅游品牌。</w:t>
      </w:r>
    </w:p>
    <w:p>
      <w:pPr>
        <w:adjustRightInd w:val="0"/>
        <w:snapToGrid w:val="0"/>
        <w:spacing w:line="600" w:lineRule="exact"/>
        <w:ind w:firstLine="643" w:firstLineChars="200"/>
        <w:rPr>
          <w:rFonts w:ascii="仿宋" w:hAnsi="仿宋" w:eastAsia="仿宋" w:cs="仿宋_GB2312"/>
          <w:color w:val="auto"/>
          <w:sz w:val="32"/>
          <w:szCs w:val="32"/>
        </w:rPr>
      </w:pPr>
      <w:r>
        <w:rPr>
          <w:rFonts w:hint="eastAsia" w:ascii="仿宋" w:hAnsi="仿宋" w:eastAsia="仿宋" w:cs="仿宋_GB2312"/>
          <w:b/>
          <w:bCs/>
          <w:color w:val="auto"/>
          <w:sz w:val="32"/>
          <w:szCs w:val="32"/>
        </w:rPr>
        <w:t>海丝文化旅游。</w:t>
      </w:r>
      <w:r>
        <w:rPr>
          <w:rFonts w:hint="eastAsia" w:ascii="仿宋" w:hAnsi="仿宋" w:eastAsia="仿宋" w:cs="仿宋_GB2312"/>
          <w:color w:val="auto"/>
          <w:sz w:val="32"/>
          <w:szCs w:val="32"/>
        </w:rPr>
        <w:t>依托海陵岛丰富的旅游资源，以“海丝文化”为主题，以海上丝绸之路“南海Ⅰ号”古商船为文化元素，积极培育海丝文化康养旅游新业态产品，打响海陵岛海丝文化旅游品牌，争取把海陵岛打造成世界海丝文化旅游示范目的地。</w:t>
      </w:r>
    </w:p>
    <w:p>
      <w:pPr>
        <w:adjustRightInd w:val="0"/>
        <w:snapToGrid w:val="0"/>
        <w:spacing w:line="600" w:lineRule="exact"/>
        <w:ind w:firstLine="643" w:firstLineChars="200"/>
        <w:rPr>
          <w:rFonts w:ascii="仿宋" w:hAnsi="仿宋" w:eastAsia="仿宋" w:cs="仿宋_GB2312"/>
          <w:color w:val="auto"/>
          <w:sz w:val="32"/>
          <w:szCs w:val="32"/>
        </w:rPr>
      </w:pPr>
      <w:r>
        <w:rPr>
          <w:rFonts w:hint="eastAsia" w:ascii="仿宋" w:hAnsi="仿宋" w:eastAsia="仿宋" w:cs="仿宋_GB2312"/>
          <w:b/>
          <w:bCs/>
          <w:color w:val="auto"/>
          <w:sz w:val="32"/>
          <w:szCs w:val="32"/>
        </w:rPr>
        <w:t>宋文化旅游。</w:t>
      </w:r>
      <w:r>
        <w:rPr>
          <w:rFonts w:hint="eastAsia" w:ascii="仿宋" w:hAnsi="仿宋" w:eastAsia="仿宋" w:cs="仿宋_GB2312"/>
          <w:color w:val="auto"/>
          <w:sz w:val="32"/>
          <w:szCs w:val="32"/>
        </w:rPr>
        <w:t>依托海陵岛石井村、力岸村的宋文化遗产古迹，以保护为主开发历史文化体验旅游产品，打响海陵岛“宋文化”旅游名片。加快修葺陈氏宗祠和南宋宰相陈宜中墓，将石井村打造成宋文化旅游村。原地修葺宋太傅墓祠，打造成为海陵岛宋太傅墓祠爱国主义教育基地。依托万寿农业项目，围绕“太傅庙文化旅游”主题，打造具有海陵岛特色的文化旅游名片。</w:t>
      </w:r>
    </w:p>
    <w:p>
      <w:pPr>
        <w:adjustRightInd w:val="0"/>
        <w:snapToGrid w:val="0"/>
        <w:spacing w:line="600" w:lineRule="exact"/>
        <w:ind w:firstLine="643" w:firstLineChars="200"/>
        <w:rPr>
          <w:rFonts w:ascii="仿宋" w:hAnsi="仿宋" w:eastAsia="仿宋"/>
          <w:b/>
          <w:bCs/>
          <w:color w:val="auto"/>
          <w:kern w:val="0"/>
          <w:sz w:val="24"/>
        </w:rPr>
      </w:pPr>
      <w:r>
        <w:rPr>
          <w:rFonts w:hint="eastAsia" w:ascii="仿宋" w:hAnsi="仿宋" w:eastAsia="仿宋" w:cs="仿宋_GB2312"/>
          <w:b/>
          <w:bCs/>
          <w:color w:val="auto"/>
          <w:sz w:val="32"/>
          <w:szCs w:val="32"/>
        </w:rPr>
        <w:t>民俗文化旅游。</w:t>
      </w:r>
      <w:r>
        <w:rPr>
          <w:rFonts w:hint="eastAsia" w:ascii="仿宋" w:hAnsi="仿宋" w:eastAsia="仿宋" w:cs="仿宋_GB2312"/>
          <w:color w:val="auto"/>
          <w:sz w:val="32"/>
          <w:szCs w:val="32"/>
        </w:rPr>
        <w:t>依托海陵岛妈祖庙、北帝庙、灵谷庙等宗教文化资源，发挥禅道修身养性的优势，培育禅道修养体验、宗教旅游、素食斋饭养生、宗教养生研学、寺庙文化节庆活动、宗教养生会展等康养文化产品，重点围绕闸坡妈祖庙打造禅修养生文化项目。依托海陵岛闸坡独特的疍家文化和疍家遗迹，以疍家民居、疍家渔民的历史、生产劳作、民俗、婚俗、祭海等内容作为展示内容，培育一批疍家民俗文化康养旅游项目和产品，打造海陵岛疍家民俗文化旅游度假区。</w:t>
      </w:r>
    </w:p>
    <w:p>
      <w:pPr>
        <w:widowControl/>
        <w:jc w:val="center"/>
        <w:rPr>
          <w:color w:val="auto"/>
        </w:rPr>
      </w:pPr>
      <w:r>
        <w:rPr>
          <w:rFonts w:hint="eastAsia" w:eastAsia="方正小标宋简体"/>
          <w:b/>
          <w:bCs/>
          <w:color w:val="auto"/>
          <w:kern w:val="0"/>
          <w:sz w:val="28"/>
          <w:szCs w:val="28"/>
        </w:rPr>
        <w:t xml:space="preserve">专栏 </w:t>
      </w:r>
      <w:r>
        <w:rPr>
          <w:rFonts w:eastAsia="方正小标宋简体"/>
          <w:b/>
          <w:bCs/>
          <w:color w:val="auto"/>
          <w:kern w:val="0"/>
          <w:sz w:val="28"/>
          <w:szCs w:val="28"/>
        </w:rPr>
        <w:t xml:space="preserve"> </w:t>
      </w:r>
      <w:r>
        <w:rPr>
          <w:rFonts w:hint="eastAsia" w:eastAsia="方正小标宋简体"/>
          <w:b/>
          <w:bCs/>
          <w:color w:val="auto"/>
          <w:kern w:val="0"/>
          <w:sz w:val="28"/>
          <w:szCs w:val="28"/>
        </w:rPr>
        <w:t>海陵岛文化旅游重点建设项目</w:t>
      </w:r>
    </w:p>
    <w:p>
      <w:pPr>
        <w:pBdr>
          <w:top w:val="single" w:color="auto" w:sz="4" w:space="1"/>
          <w:left w:val="single" w:color="auto" w:sz="4" w:space="4"/>
          <w:bottom w:val="single" w:color="auto" w:sz="4" w:space="1"/>
          <w:right w:val="single" w:color="auto" w:sz="4" w:space="4"/>
        </w:pBdr>
        <w:spacing w:line="360" w:lineRule="auto"/>
        <w:rPr>
          <w:rFonts w:ascii="仿宋_GB2312" w:hAnsi="等线" w:eastAsia="仿宋"/>
          <w:color w:val="auto"/>
          <w:sz w:val="24"/>
          <w:szCs w:val="30"/>
        </w:rPr>
      </w:pPr>
      <w:r>
        <w:rPr>
          <w:rFonts w:hint="eastAsia" w:ascii="仿宋_GB2312" w:hAnsi="等线" w:eastAsia="仿宋"/>
          <w:b/>
          <w:bCs/>
          <w:color w:val="auto"/>
          <w:sz w:val="24"/>
          <w:szCs w:val="30"/>
        </w:rPr>
        <w:t>1.</w:t>
      </w:r>
      <w:r>
        <w:rPr>
          <w:rFonts w:hint="eastAsia" w:ascii="等线" w:hAnsi="等线"/>
          <w:color w:val="auto"/>
          <w:sz w:val="24"/>
          <w:szCs w:val="22"/>
        </w:rPr>
        <w:t xml:space="preserve"> </w:t>
      </w:r>
      <w:r>
        <w:rPr>
          <w:rFonts w:hint="eastAsia" w:ascii="仿宋_GB2312" w:hAnsi="等线" w:eastAsia="仿宋"/>
          <w:b/>
          <w:bCs/>
          <w:color w:val="auto"/>
          <w:sz w:val="24"/>
          <w:szCs w:val="30"/>
        </w:rPr>
        <w:t>恒大文化旅游城：</w:t>
      </w:r>
      <w:r>
        <w:rPr>
          <w:rFonts w:hint="eastAsia" w:ascii="仿宋_GB2312" w:hAnsi="等线" w:eastAsia="仿宋"/>
          <w:color w:val="auto"/>
          <w:sz w:val="24"/>
          <w:szCs w:val="30"/>
        </w:rPr>
        <w:t>项目毗邻三山岛和草王山，占地面积120万平方米，总建筑面积为127万平方米，总投资额60亿元，2019年投资额1亿元，目前已完成投资额33亿元。项目建有49栋高层住宅和101栋低层别墅，打造滨海休闲综合体，内拥浪漫海岸线、海滨公园、美食街、酒吧街、多功能运动中心、商业街、海上书吧等各类休闲配套。</w:t>
      </w:r>
    </w:p>
    <w:p>
      <w:pPr>
        <w:pBdr>
          <w:top w:val="single" w:color="auto" w:sz="4" w:space="1"/>
          <w:left w:val="single" w:color="auto" w:sz="4" w:space="4"/>
          <w:bottom w:val="single" w:color="auto" w:sz="4" w:space="1"/>
          <w:right w:val="single" w:color="auto" w:sz="4" w:space="4"/>
        </w:pBdr>
        <w:spacing w:line="360" w:lineRule="auto"/>
        <w:rPr>
          <w:rFonts w:ascii="仿宋_GB2312" w:hAnsi="等线" w:eastAsia="仿宋"/>
          <w:color w:val="auto"/>
          <w:sz w:val="24"/>
          <w:szCs w:val="30"/>
        </w:rPr>
      </w:pPr>
      <w:r>
        <w:rPr>
          <w:rFonts w:hint="eastAsia" w:ascii="仿宋_GB2312" w:hAnsi="等线" w:eastAsia="仿宋"/>
          <w:b/>
          <w:bCs/>
          <w:color w:val="auto"/>
          <w:sz w:val="24"/>
          <w:szCs w:val="30"/>
        </w:rPr>
        <w:t>2</w:t>
      </w:r>
      <w:r>
        <w:rPr>
          <w:rFonts w:ascii="仿宋_GB2312" w:hAnsi="等线" w:eastAsia="仿宋"/>
          <w:b/>
          <w:bCs/>
          <w:color w:val="auto"/>
          <w:sz w:val="24"/>
          <w:szCs w:val="30"/>
        </w:rPr>
        <w:t>.</w:t>
      </w:r>
      <w:r>
        <w:rPr>
          <w:rFonts w:hint="eastAsia" w:ascii="等线" w:hAnsi="等线"/>
          <w:color w:val="auto"/>
          <w:sz w:val="24"/>
          <w:szCs w:val="22"/>
        </w:rPr>
        <w:t xml:space="preserve"> </w:t>
      </w:r>
      <w:r>
        <w:rPr>
          <w:rFonts w:hint="eastAsia" w:ascii="仿宋_GB2312" w:hAnsi="等线" w:eastAsia="仿宋"/>
          <w:b/>
          <w:bCs/>
          <w:color w:val="auto"/>
          <w:sz w:val="24"/>
          <w:szCs w:val="30"/>
        </w:rPr>
        <w:t>万寿农业：</w:t>
      </w:r>
      <w:r>
        <w:rPr>
          <w:rFonts w:hint="eastAsia" w:ascii="仿宋_GB2312" w:hAnsi="等线" w:eastAsia="仿宋"/>
          <w:color w:val="auto"/>
          <w:sz w:val="24"/>
          <w:szCs w:val="30"/>
        </w:rPr>
        <w:t>项目位于海陵岛东部，总占地约11000亩，总投资约30亿元，2019年投资额0.13亿元。围绕“现代休闲农业与太傅庙文化旅游”，打造具有海陵岛特色的高科技农业和文化旅游名片</w:t>
      </w:r>
    </w:p>
    <w:p>
      <w:pPr>
        <w:pBdr>
          <w:top w:val="single" w:color="auto" w:sz="4" w:space="1"/>
          <w:left w:val="single" w:color="auto" w:sz="4" w:space="4"/>
          <w:bottom w:val="single" w:color="auto" w:sz="4" w:space="1"/>
          <w:right w:val="single" w:color="auto" w:sz="4" w:space="4"/>
        </w:pBdr>
        <w:spacing w:line="360" w:lineRule="auto"/>
        <w:rPr>
          <w:rFonts w:ascii="仿宋_GB2312" w:hAnsi="等线" w:eastAsia="仿宋"/>
          <w:b/>
          <w:bCs/>
          <w:color w:val="auto"/>
          <w:sz w:val="24"/>
          <w:szCs w:val="30"/>
        </w:rPr>
      </w:pPr>
      <w:r>
        <w:rPr>
          <w:rFonts w:hint="eastAsia" w:ascii="仿宋_GB2312" w:hAnsi="等线" w:eastAsia="仿宋"/>
          <w:b/>
          <w:bCs/>
          <w:color w:val="auto"/>
          <w:sz w:val="24"/>
          <w:szCs w:val="30"/>
        </w:rPr>
        <w:t>3</w:t>
      </w:r>
      <w:r>
        <w:rPr>
          <w:rFonts w:ascii="仿宋_GB2312" w:hAnsi="等线" w:eastAsia="仿宋"/>
          <w:b/>
          <w:bCs/>
          <w:color w:val="auto"/>
          <w:sz w:val="24"/>
          <w:szCs w:val="30"/>
        </w:rPr>
        <w:t>.</w:t>
      </w:r>
      <w:r>
        <w:rPr>
          <w:rFonts w:hint="eastAsia" w:ascii="等线" w:hAnsi="等线"/>
          <w:b/>
          <w:bCs/>
          <w:color w:val="auto"/>
          <w:sz w:val="24"/>
          <w:szCs w:val="22"/>
        </w:rPr>
        <w:t xml:space="preserve"> </w:t>
      </w:r>
      <w:r>
        <w:rPr>
          <w:rFonts w:hint="eastAsia" w:ascii="仿宋_GB2312" w:hAnsi="等线" w:eastAsia="仿宋"/>
          <w:b/>
          <w:bCs/>
          <w:color w:val="auto"/>
          <w:sz w:val="24"/>
          <w:szCs w:val="30"/>
        </w:rPr>
        <w:t>海陵山河文化产业示范基地：</w:t>
      </w:r>
      <w:r>
        <w:rPr>
          <w:rFonts w:hint="eastAsia" w:ascii="仿宋_GB2312" w:hAnsi="等线" w:eastAsia="仿宋"/>
          <w:color w:val="auto"/>
          <w:sz w:val="24"/>
          <w:szCs w:val="30"/>
        </w:rPr>
        <w:t>建设210亩山河游艇文化产业园，包括游艇泊位、小型飞机跑道、游艇会所、游艇商务地产、酒店等。</w:t>
      </w:r>
    </w:p>
    <w:p>
      <w:pPr>
        <w:rPr>
          <w:color w:val="auto"/>
        </w:rPr>
      </w:pPr>
    </w:p>
    <w:p>
      <w:pPr>
        <w:pStyle w:val="15"/>
        <w:numPr>
          <w:ilvl w:val="0"/>
          <w:numId w:val="1"/>
        </w:numPr>
        <w:adjustRightInd w:val="0"/>
        <w:spacing w:line="600" w:lineRule="exact"/>
        <w:ind w:firstLine="643" w:firstLineChars="200"/>
        <w:jc w:val="both"/>
        <w:rPr>
          <w:rFonts w:ascii="仿宋" w:hAnsi="仿宋" w:eastAsia="仿宋" w:cs="仿宋_GB2312"/>
          <w:b/>
          <w:bCs/>
          <w:color w:val="auto"/>
          <w:sz w:val="32"/>
          <w:szCs w:val="32"/>
        </w:rPr>
      </w:pPr>
      <w:r>
        <w:rPr>
          <w:rFonts w:hint="eastAsia" w:ascii="仿宋" w:hAnsi="仿宋" w:eastAsia="仿宋" w:cs="仿宋_GB2312"/>
          <w:b/>
          <w:bCs/>
          <w:color w:val="auto"/>
          <w:sz w:val="32"/>
          <w:szCs w:val="32"/>
        </w:rPr>
        <w:t>推动“旅游+”产业融合发展</w:t>
      </w:r>
    </w:p>
    <w:p>
      <w:pPr>
        <w:pStyle w:val="15"/>
        <w:adjustRightInd w:val="0"/>
        <w:spacing w:line="600" w:lineRule="exact"/>
        <w:ind w:firstLine="640" w:firstLineChars="200"/>
        <w:jc w:val="both"/>
        <w:rPr>
          <w:rFonts w:ascii="仿宋" w:hAnsi="仿宋" w:eastAsia="仿宋" w:cs="仿宋_GB2312"/>
          <w:color w:val="auto"/>
          <w:sz w:val="32"/>
          <w:szCs w:val="32"/>
        </w:rPr>
      </w:pPr>
      <w:r>
        <w:rPr>
          <w:rFonts w:ascii="仿宋" w:hAnsi="仿宋" w:eastAsia="仿宋" w:cs="仿宋_GB2312"/>
          <w:color w:val="auto"/>
          <w:sz w:val="32"/>
          <w:szCs w:val="32"/>
        </w:rPr>
        <w:t>坚持产业融合发展战略，推动旅游产业向关联产业渗透，培育符合全域旅游特征的旅游新业态、新产品、新模式，</w:t>
      </w:r>
      <w:r>
        <w:rPr>
          <w:rFonts w:hint="eastAsia" w:ascii="仿宋" w:hAnsi="仿宋" w:eastAsia="仿宋" w:cs="仿宋_GB2312"/>
          <w:color w:val="auto"/>
          <w:sz w:val="32"/>
          <w:szCs w:val="32"/>
        </w:rPr>
        <w:t>推动产业协同发展，</w:t>
      </w:r>
      <w:r>
        <w:rPr>
          <w:rFonts w:ascii="仿宋" w:hAnsi="仿宋" w:eastAsia="仿宋" w:cs="仿宋_GB2312"/>
          <w:color w:val="auto"/>
          <w:sz w:val="32"/>
          <w:szCs w:val="32"/>
        </w:rPr>
        <w:t>最终形成“旅游+”大产业格局。</w:t>
      </w:r>
    </w:p>
    <w:p>
      <w:pPr>
        <w:pStyle w:val="15"/>
        <w:adjustRightInd w:val="0"/>
        <w:spacing w:line="600" w:lineRule="exact"/>
        <w:ind w:firstLine="643" w:firstLineChars="200"/>
        <w:jc w:val="both"/>
        <w:rPr>
          <w:rFonts w:ascii="仿宋" w:hAnsi="仿宋" w:eastAsia="仿宋" w:cs="仿宋_GB2312"/>
          <w:color w:val="auto"/>
          <w:sz w:val="32"/>
          <w:szCs w:val="32"/>
        </w:rPr>
      </w:pPr>
      <w:r>
        <w:rPr>
          <w:rFonts w:hint="eastAsia" w:ascii="仿宋" w:hAnsi="仿宋" w:eastAsia="仿宋" w:cs="仿宋_GB2312"/>
          <w:b/>
          <w:bCs/>
          <w:color w:val="auto"/>
          <w:sz w:val="32"/>
          <w:szCs w:val="32"/>
        </w:rPr>
        <w:t>旅游+教育培训。</w:t>
      </w:r>
      <w:r>
        <w:rPr>
          <w:rFonts w:hint="eastAsia" w:ascii="仿宋" w:hAnsi="仿宋" w:eastAsia="仿宋" w:cs="仿宋_GB2312"/>
          <w:color w:val="auto"/>
          <w:sz w:val="32"/>
          <w:szCs w:val="32"/>
        </w:rPr>
        <w:t>以南海一号博物馆、红树林湿地公园为依托，建设一批研学旅行基地。加快传统养生文化如禅修、素食、道教医术、太极养生功、易筋经气功等养生文化发展，使游客“寓教于游”。</w:t>
      </w:r>
    </w:p>
    <w:p>
      <w:pPr>
        <w:pStyle w:val="15"/>
        <w:adjustRightInd w:val="0"/>
        <w:spacing w:line="600" w:lineRule="exact"/>
        <w:ind w:firstLine="643" w:firstLineChars="200"/>
        <w:jc w:val="both"/>
        <w:rPr>
          <w:rFonts w:ascii="仿宋" w:hAnsi="仿宋" w:eastAsia="仿宋" w:cs="仿宋_GB2312"/>
          <w:color w:val="auto"/>
          <w:sz w:val="32"/>
          <w:szCs w:val="32"/>
        </w:rPr>
      </w:pPr>
      <w:r>
        <w:rPr>
          <w:rFonts w:hint="eastAsia" w:ascii="仿宋" w:hAnsi="仿宋" w:eastAsia="仿宋" w:cs="仿宋_GB2312"/>
          <w:b/>
          <w:bCs/>
          <w:color w:val="auto"/>
          <w:sz w:val="32"/>
          <w:szCs w:val="32"/>
        </w:rPr>
        <w:t>旅游+电子商务。</w:t>
      </w:r>
      <w:r>
        <w:rPr>
          <w:rFonts w:hint="eastAsia" w:ascii="仿宋" w:hAnsi="仿宋" w:eastAsia="仿宋" w:cs="仿宋_GB2312"/>
          <w:color w:val="auto"/>
          <w:sz w:val="32"/>
          <w:szCs w:val="32"/>
        </w:rPr>
        <w:t>积极探索“旅游+电商”发展模式，引导电商与旅游之间高度融合发展，着力将旅游产品借助电子商务平台的新技术、新手段，将海陵岛的旅游产品推上线，构建海陵岛全域旅游的主体营销体系。</w:t>
      </w:r>
    </w:p>
    <w:p>
      <w:pPr>
        <w:pStyle w:val="15"/>
        <w:adjustRightInd w:val="0"/>
        <w:spacing w:line="600" w:lineRule="exact"/>
        <w:ind w:firstLine="643" w:firstLineChars="200"/>
        <w:jc w:val="both"/>
        <w:rPr>
          <w:rFonts w:ascii="仿宋" w:hAnsi="仿宋" w:eastAsia="仿宋" w:cs="仿宋_GB2312"/>
          <w:color w:val="auto"/>
          <w:sz w:val="32"/>
          <w:szCs w:val="32"/>
        </w:rPr>
      </w:pPr>
      <w:r>
        <w:rPr>
          <w:rFonts w:hint="eastAsia" w:ascii="仿宋" w:hAnsi="仿宋" w:eastAsia="仿宋" w:cs="仿宋_GB2312"/>
          <w:b/>
          <w:bCs/>
          <w:color w:val="auto"/>
          <w:sz w:val="32"/>
          <w:szCs w:val="32"/>
        </w:rPr>
        <w:t>旅游+会奖。</w:t>
      </w:r>
      <w:r>
        <w:rPr>
          <w:rFonts w:hint="eastAsia" w:ascii="仿宋" w:hAnsi="仿宋" w:eastAsia="仿宋" w:cs="仿宋_GB2312"/>
          <w:color w:val="auto"/>
          <w:sz w:val="32"/>
          <w:szCs w:val="32"/>
        </w:rPr>
        <w:t>吸引企业、高校等机构到海陵岛开办会议和会展，争取高端涉海会展活动在海陵岛设立分会场，将海陵岛建设成为粤港澳大湾区商务及会展旅游目的地。</w:t>
      </w:r>
    </w:p>
    <w:p>
      <w:pPr>
        <w:pStyle w:val="15"/>
        <w:adjustRightInd w:val="0"/>
        <w:spacing w:line="600" w:lineRule="exact"/>
        <w:ind w:firstLine="643" w:firstLineChars="200"/>
        <w:jc w:val="both"/>
        <w:rPr>
          <w:rFonts w:ascii="仿宋" w:hAnsi="仿宋" w:eastAsia="仿宋" w:cs="仿宋_GB2312"/>
          <w:b/>
          <w:bCs/>
          <w:color w:val="auto"/>
          <w:sz w:val="32"/>
          <w:szCs w:val="32"/>
        </w:rPr>
      </w:pPr>
      <w:r>
        <w:rPr>
          <w:rFonts w:hint="eastAsia" w:ascii="仿宋" w:hAnsi="仿宋" w:eastAsia="仿宋" w:cs="仿宋_GB2312"/>
          <w:b/>
          <w:bCs/>
          <w:color w:val="auto"/>
          <w:sz w:val="32"/>
          <w:szCs w:val="32"/>
        </w:rPr>
        <w:t>旅游+体育。</w:t>
      </w:r>
      <w:r>
        <w:rPr>
          <w:rFonts w:hint="eastAsia" w:ascii="仿宋" w:hAnsi="仿宋" w:eastAsia="仿宋" w:cs="仿宋_GB2312"/>
          <w:color w:val="auto"/>
          <w:sz w:val="32"/>
          <w:szCs w:val="32"/>
        </w:rPr>
        <w:t>以海陵岛良好的生态环境为基底，依托山地、水体等地形地貌及资源，发展山地运动、水上运动、户外拓展、户外露营、户外体育运动、定向运动、养生运动、极限运动、传统体育运动、徒步旅行、探险等户外康体养生产品，推动体育、旅游、度假、健身、赛事等业态的深度融合发展。</w:t>
      </w:r>
    </w:p>
    <w:p>
      <w:pPr>
        <w:pStyle w:val="15"/>
        <w:adjustRightInd w:val="0"/>
        <w:spacing w:line="600" w:lineRule="exact"/>
        <w:ind w:firstLine="643" w:firstLineChars="200"/>
        <w:jc w:val="both"/>
        <w:rPr>
          <w:rFonts w:ascii="仿宋" w:hAnsi="仿宋" w:eastAsia="仿宋" w:cs="仿宋_GB2312"/>
          <w:b/>
          <w:bCs/>
          <w:color w:val="auto"/>
          <w:sz w:val="32"/>
          <w:szCs w:val="32"/>
        </w:rPr>
      </w:pPr>
      <w:r>
        <w:rPr>
          <w:rFonts w:hint="eastAsia" w:ascii="仿宋" w:hAnsi="仿宋" w:eastAsia="仿宋" w:cs="仿宋_GB2312"/>
          <w:b/>
          <w:bCs/>
          <w:color w:val="auto"/>
          <w:sz w:val="32"/>
          <w:szCs w:val="32"/>
        </w:rPr>
        <w:t>旅游+农业。</w:t>
      </w:r>
      <w:r>
        <w:rPr>
          <w:rFonts w:hint="eastAsia" w:ascii="仿宋" w:hAnsi="仿宋" w:eastAsia="仿宋" w:cs="仿宋_GB2312"/>
          <w:color w:val="auto"/>
          <w:sz w:val="32"/>
          <w:szCs w:val="32"/>
        </w:rPr>
        <w:t>依托海陵岛中部地区农业农村资源，围绕生态农业、种养体验、果蔬采摘、户外运动、休闲度假，大力发展农家乐、观光农业、休闲农业、创意农园、现代农业庄园等乡村旅游业态。</w:t>
      </w:r>
    </w:p>
    <w:p>
      <w:pPr>
        <w:pStyle w:val="15"/>
        <w:adjustRightInd w:val="0"/>
        <w:spacing w:line="600" w:lineRule="exact"/>
        <w:ind w:firstLine="643" w:firstLineChars="200"/>
        <w:jc w:val="both"/>
        <w:rPr>
          <w:rFonts w:ascii="仿宋" w:hAnsi="仿宋" w:eastAsia="仿宋" w:cs="仿宋_GB2312"/>
          <w:color w:val="auto"/>
          <w:sz w:val="32"/>
          <w:szCs w:val="32"/>
        </w:rPr>
      </w:pPr>
      <w:r>
        <w:rPr>
          <w:rFonts w:hint="eastAsia" w:ascii="仿宋" w:hAnsi="仿宋" w:eastAsia="仿宋" w:cs="仿宋_GB2312"/>
          <w:b/>
          <w:bCs/>
          <w:color w:val="auto"/>
          <w:sz w:val="32"/>
          <w:szCs w:val="32"/>
        </w:rPr>
        <w:t>旅游+林业。</w:t>
      </w:r>
      <w:r>
        <w:rPr>
          <w:rFonts w:hint="eastAsia" w:ascii="仿宋" w:hAnsi="仿宋" w:eastAsia="仿宋" w:cs="仿宋_GB2312"/>
          <w:color w:val="auto"/>
          <w:sz w:val="32"/>
          <w:szCs w:val="32"/>
        </w:rPr>
        <w:t>发挥森林旅游独特优势，以</w:t>
      </w:r>
      <w:r>
        <w:rPr>
          <w:rFonts w:hint="eastAsia" w:ascii="仿宋" w:hAnsi="仿宋" w:eastAsia="仿宋" w:cs="仿宋_GB2312"/>
          <w:b w:val="0"/>
          <w:bCs w:val="0"/>
          <w:strike w:val="0"/>
          <w:dstrike w:val="0"/>
          <w:color w:val="auto"/>
          <w:sz w:val="32"/>
          <w:szCs w:val="32"/>
          <w:lang w:eastAsia="zh-CN"/>
        </w:rPr>
        <w:t>红树林湿地公园</w:t>
      </w:r>
      <w:r>
        <w:rPr>
          <w:rFonts w:hint="eastAsia" w:ascii="仿宋" w:hAnsi="仿宋" w:eastAsia="仿宋" w:cs="仿宋_GB2312"/>
          <w:color w:val="auto"/>
          <w:sz w:val="32"/>
          <w:szCs w:val="32"/>
        </w:rPr>
        <w:t>、海陵岛十里银滩山顶森林公园、望寮岭公园、大角山公园等林业项目为带动，发展旅游观光、休闲度假、康复疗养等产业。</w:t>
      </w:r>
    </w:p>
    <w:p>
      <w:pPr>
        <w:pStyle w:val="15"/>
        <w:adjustRightInd w:val="0"/>
        <w:spacing w:line="600" w:lineRule="exact"/>
        <w:ind w:firstLine="643" w:firstLineChars="200"/>
        <w:jc w:val="both"/>
        <w:rPr>
          <w:rFonts w:ascii="仿宋" w:hAnsi="仿宋" w:eastAsia="仿宋" w:cs="仿宋_GB2312"/>
          <w:color w:val="auto"/>
          <w:sz w:val="32"/>
          <w:szCs w:val="32"/>
        </w:rPr>
      </w:pPr>
      <w:r>
        <w:rPr>
          <w:rFonts w:hint="eastAsia" w:ascii="仿宋" w:hAnsi="仿宋" w:eastAsia="仿宋" w:cs="仿宋_GB2312"/>
          <w:b/>
          <w:bCs/>
          <w:color w:val="auto"/>
          <w:sz w:val="32"/>
          <w:szCs w:val="32"/>
        </w:rPr>
        <w:t>旅游+渔业。</w:t>
      </w:r>
      <w:r>
        <w:rPr>
          <w:rFonts w:hint="eastAsia" w:ascii="仿宋" w:hAnsi="仿宋" w:eastAsia="仿宋" w:cs="仿宋_GB2312"/>
          <w:color w:val="auto"/>
          <w:sz w:val="32"/>
          <w:szCs w:val="32"/>
        </w:rPr>
        <w:t>依托海陵岛海洋养殖基地和渔港、渔村、鱼市等渔业发展载体，拓展农渔业的旅游观光功能，发展鱼事体验旅游，提升“旅游+渔业”发展质量。</w:t>
      </w:r>
    </w:p>
    <w:p>
      <w:pPr>
        <w:pStyle w:val="15"/>
        <w:adjustRightInd w:val="0"/>
        <w:spacing w:line="600" w:lineRule="exact"/>
        <w:ind w:firstLine="643" w:firstLineChars="200"/>
        <w:jc w:val="both"/>
        <w:rPr>
          <w:rFonts w:ascii="仿宋" w:hAnsi="仿宋" w:eastAsia="仿宋" w:cs="仿宋_GB2312"/>
          <w:b/>
          <w:bCs/>
          <w:color w:val="auto"/>
          <w:sz w:val="32"/>
          <w:szCs w:val="32"/>
        </w:rPr>
      </w:pPr>
      <w:r>
        <w:rPr>
          <w:rFonts w:hint="eastAsia" w:ascii="仿宋" w:hAnsi="仿宋" w:eastAsia="仿宋" w:cs="仿宋_GB2312"/>
          <w:b/>
          <w:bCs/>
          <w:color w:val="auto"/>
          <w:sz w:val="32"/>
          <w:szCs w:val="32"/>
        </w:rPr>
        <w:t>四、促进旅游相关服务业高质量发展</w:t>
      </w:r>
    </w:p>
    <w:p>
      <w:pPr>
        <w:pStyle w:val="15"/>
        <w:adjustRightInd w:val="0"/>
        <w:spacing w:line="60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以旅游业为龙头带动相关服务业发展，提升打造“住宿-美食-购物-娱乐“全方位的旅游全产业链，为把海陵岛打造成粤港澳大湾区乃至世界知名的国际旅游岛提供重要支撑。</w:t>
      </w:r>
    </w:p>
    <w:p>
      <w:pPr>
        <w:pStyle w:val="15"/>
        <w:adjustRightInd w:val="0"/>
        <w:spacing w:line="600" w:lineRule="exact"/>
        <w:ind w:firstLine="643" w:firstLineChars="200"/>
        <w:jc w:val="both"/>
        <w:rPr>
          <w:rFonts w:ascii="仿宋" w:hAnsi="仿宋" w:eastAsia="仿宋" w:cs="仿宋_GB2312"/>
          <w:color w:val="auto"/>
          <w:sz w:val="32"/>
          <w:szCs w:val="32"/>
        </w:rPr>
      </w:pPr>
      <w:r>
        <w:rPr>
          <w:rFonts w:ascii="仿宋" w:hAnsi="仿宋" w:eastAsia="仿宋" w:cs="仿宋_GB2312"/>
          <w:b/>
          <w:bCs/>
          <w:color w:val="auto"/>
          <w:sz w:val="32"/>
          <w:szCs w:val="32"/>
        </w:rPr>
        <w:t>商贸服务业。</w:t>
      </w:r>
      <w:r>
        <w:rPr>
          <w:rFonts w:ascii="仿宋" w:hAnsi="仿宋" w:eastAsia="仿宋" w:cs="仿宋_GB2312"/>
          <w:color w:val="auto"/>
          <w:sz w:val="32"/>
          <w:szCs w:val="32"/>
        </w:rPr>
        <w:t>建立健全旅游商贸服务供给体系。加强对市场、摊位的治理整顿，规划建设一批环境优美、特色鲜明的旅游商品市场，形成以大型综合购物体为龙头，以特色旅游商品市场、购物中心、大中型超市、特色商业街等为网络的旅游购物体系。加快建设山海五路商业街、一夜埕步行街，鼓励引进大型购物商场、专业商品市场和特色商业综合体支持，重点旅游景区建设奥特莱斯（Outlets）商业模式的大型品牌直销购物中心。完善旅游小镇、度假区、景区、旅游线路和高速公路服务区购物场所。支持发展社区商业网点，形成门类齐全、便民利民的城市社区服务网络。完善大型购物商场、专业商品市场、连锁店、专卖店、折扣店和直销配送、网上购物等多业态购物体系。</w:t>
      </w:r>
    </w:p>
    <w:p>
      <w:pPr>
        <w:widowControl/>
        <w:jc w:val="center"/>
        <w:rPr>
          <w:rFonts w:eastAsia="方正小标宋简体"/>
          <w:b/>
          <w:bCs/>
          <w:color w:val="auto"/>
          <w:kern w:val="0"/>
          <w:sz w:val="28"/>
          <w:szCs w:val="28"/>
        </w:rPr>
      </w:pPr>
      <w:r>
        <w:rPr>
          <w:rFonts w:hint="eastAsia" w:eastAsia="方正小标宋简体"/>
          <w:b/>
          <w:bCs/>
          <w:color w:val="auto"/>
          <w:kern w:val="0"/>
          <w:sz w:val="28"/>
          <w:szCs w:val="28"/>
        </w:rPr>
        <w:t xml:space="preserve">专栏 </w:t>
      </w:r>
      <w:r>
        <w:rPr>
          <w:rFonts w:eastAsia="方正小标宋简体"/>
          <w:b/>
          <w:bCs/>
          <w:color w:val="auto"/>
          <w:kern w:val="0"/>
          <w:sz w:val="28"/>
          <w:szCs w:val="28"/>
        </w:rPr>
        <w:t xml:space="preserve"> </w:t>
      </w:r>
      <w:r>
        <w:rPr>
          <w:rFonts w:hint="eastAsia" w:eastAsia="方正小标宋简体"/>
          <w:b/>
          <w:bCs/>
          <w:color w:val="auto"/>
          <w:kern w:val="0"/>
          <w:sz w:val="28"/>
          <w:szCs w:val="28"/>
        </w:rPr>
        <w:t>海陵岛商贸服务业重点建设项目</w:t>
      </w:r>
    </w:p>
    <w:p>
      <w:pPr>
        <w:pBdr>
          <w:top w:val="single" w:color="auto" w:sz="4" w:space="1"/>
          <w:left w:val="single" w:color="auto" w:sz="4" w:space="4"/>
          <w:bottom w:val="single" w:color="auto" w:sz="4" w:space="1"/>
          <w:right w:val="single" w:color="auto" w:sz="4" w:space="4"/>
        </w:pBdr>
        <w:spacing w:line="360" w:lineRule="auto"/>
        <w:rPr>
          <w:rFonts w:ascii="仿宋_GB2312" w:hAnsi="等线" w:eastAsia="仿宋"/>
          <w:color w:val="auto"/>
          <w:sz w:val="24"/>
          <w:szCs w:val="30"/>
        </w:rPr>
      </w:pPr>
      <w:r>
        <w:rPr>
          <w:rFonts w:hint="eastAsia" w:ascii="仿宋_GB2312" w:hAnsi="等线" w:eastAsia="仿宋"/>
          <w:b/>
          <w:bCs/>
          <w:color w:val="auto"/>
          <w:sz w:val="24"/>
          <w:szCs w:val="30"/>
        </w:rPr>
        <w:t>1. 山海五路商业街（旅游一条街）：</w:t>
      </w:r>
      <w:r>
        <w:rPr>
          <w:rFonts w:hint="eastAsia" w:ascii="仿宋_GB2312" w:hAnsi="等线" w:eastAsia="仿宋"/>
          <w:color w:val="auto"/>
          <w:sz w:val="24"/>
          <w:szCs w:val="30"/>
        </w:rPr>
        <w:t>项目位于闸坡山海五路的中心位置,规划长度为320米,宽6-18米,内设入口景观区、休闲区、活动区、休息区、购物区，区内设立特色商品小商铺、景观树池、景观坐凳、活动小广场、中心水景旱喷泉、景观小品等。</w:t>
      </w:r>
    </w:p>
    <w:p>
      <w:pPr>
        <w:pBdr>
          <w:top w:val="single" w:color="auto" w:sz="4" w:space="1"/>
          <w:left w:val="single" w:color="auto" w:sz="4" w:space="4"/>
          <w:bottom w:val="single" w:color="auto" w:sz="4" w:space="1"/>
          <w:right w:val="single" w:color="auto" w:sz="4" w:space="4"/>
        </w:pBdr>
        <w:spacing w:line="360" w:lineRule="auto"/>
        <w:rPr>
          <w:rFonts w:ascii="仿宋_GB2312" w:hAnsi="等线" w:eastAsia="仿宋"/>
          <w:color w:val="auto"/>
          <w:sz w:val="24"/>
          <w:szCs w:val="30"/>
        </w:rPr>
      </w:pPr>
      <w:r>
        <w:rPr>
          <w:rFonts w:hint="eastAsia" w:ascii="仿宋_GB2312" w:hAnsi="等线" w:eastAsia="仿宋"/>
          <w:b/>
          <w:bCs/>
          <w:color w:val="auto"/>
          <w:sz w:val="24"/>
          <w:szCs w:val="30"/>
        </w:rPr>
        <w:t>2. 海陵中央南湾：</w:t>
      </w:r>
      <w:r>
        <w:rPr>
          <w:rFonts w:hint="eastAsia" w:ascii="仿宋_GB2312" w:hAnsi="等线" w:eastAsia="仿宋"/>
          <w:color w:val="auto"/>
          <w:sz w:val="24"/>
          <w:szCs w:val="30"/>
        </w:rPr>
        <w:t>建设国际旅游门户区、滨海核心商务园区、风情购物商区、康养度假社区以及乐活配套社区等。项目占地总面积约506公顷，可建设用地373公顷。</w:t>
      </w:r>
    </w:p>
    <w:p>
      <w:pPr>
        <w:widowControl/>
        <w:adjustRightInd w:val="0"/>
        <w:snapToGrid w:val="0"/>
        <w:spacing w:line="600" w:lineRule="exact"/>
        <w:ind w:firstLine="643"/>
        <w:rPr>
          <w:rFonts w:ascii="仿宋" w:hAnsi="仿宋" w:eastAsia="仿宋" w:cs="仿宋_GB2312"/>
          <w:color w:val="auto"/>
          <w:sz w:val="32"/>
          <w:szCs w:val="32"/>
        </w:rPr>
      </w:pPr>
      <w:r>
        <w:rPr>
          <w:rFonts w:ascii="仿宋" w:hAnsi="仿宋" w:eastAsia="仿宋" w:cs="仿宋_GB2312"/>
          <w:b/>
          <w:bCs/>
          <w:color w:val="auto"/>
          <w:sz w:val="32"/>
          <w:szCs w:val="32"/>
        </w:rPr>
        <w:t>住宿服务业。</w:t>
      </w:r>
      <w:r>
        <w:rPr>
          <w:rFonts w:ascii="仿宋" w:hAnsi="仿宋" w:eastAsia="仿宋" w:cs="仿宋_GB2312"/>
          <w:color w:val="auto"/>
          <w:sz w:val="32"/>
          <w:szCs w:val="32"/>
        </w:rPr>
        <w:t>以旅游房地产开发为主导，按照“布局合理、结构优化、功能完善、特色突出”的思路，以海岛特色住宿为核心，重点发展奢华度假酒店、度假酒店、商务酒店、宾馆、海岛民宿等不同层次的住宿接待体系。依托保利银滩五星级度假酒店项目、敏捷黄金海岸喜来登酒店项目、万豪海陵湾Ⅰ号项目、悦榕庄酒店项目等重点项目，引入一批具有国际性影响力的高端酒店品牌，在海陵岛打造世界顶级酒店群。加快提升现有酒店、宾馆标准和星级，提高酒店、宾馆的服务质量。利用海陵岛古村原有的建筑实物和生态景观，配合美丽乡村建设和乡村旅游开发，在谷寮村、石井村、山底古村等特色村落推进海岛民宿客栈建设。</w:t>
      </w:r>
    </w:p>
    <w:p>
      <w:pPr>
        <w:widowControl/>
        <w:jc w:val="center"/>
        <w:rPr>
          <w:rFonts w:eastAsia="方正小标宋简体"/>
          <w:b/>
          <w:bCs/>
          <w:color w:val="auto"/>
          <w:kern w:val="0"/>
          <w:sz w:val="28"/>
          <w:szCs w:val="28"/>
        </w:rPr>
      </w:pPr>
      <w:r>
        <w:rPr>
          <w:rFonts w:hint="eastAsia" w:eastAsia="方正小标宋简体"/>
          <w:b/>
          <w:bCs/>
          <w:color w:val="auto"/>
          <w:kern w:val="0"/>
          <w:sz w:val="28"/>
          <w:szCs w:val="28"/>
        </w:rPr>
        <w:t xml:space="preserve">专栏 </w:t>
      </w:r>
      <w:r>
        <w:rPr>
          <w:rFonts w:eastAsia="方正小标宋简体"/>
          <w:b/>
          <w:bCs/>
          <w:color w:val="auto"/>
          <w:kern w:val="0"/>
          <w:sz w:val="28"/>
          <w:szCs w:val="28"/>
        </w:rPr>
        <w:t xml:space="preserve"> </w:t>
      </w:r>
      <w:r>
        <w:rPr>
          <w:rFonts w:hint="eastAsia" w:eastAsia="方正小标宋简体"/>
          <w:b/>
          <w:bCs/>
          <w:color w:val="auto"/>
          <w:kern w:val="0"/>
          <w:sz w:val="28"/>
          <w:szCs w:val="28"/>
        </w:rPr>
        <w:t>海陵岛住宿服务业重点建设项目</w:t>
      </w:r>
    </w:p>
    <w:p>
      <w:pPr>
        <w:pBdr>
          <w:top w:val="single" w:color="auto" w:sz="4" w:space="1"/>
          <w:left w:val="single" w:color="auto" w:sz="4" w:space="4"/>
          <w:bottom w:val="single" w:color="auto" w:sz="4" w:space="1"/>
          <w:right w:val="single" w:color="auto" w:sz="4" w:space="4"/>
        </w:pBdr>
        <w:spacing w:line="360" w:lineRule="auto"/>
        <w:rPr>
          <w:rFonts w:ascii="仿宋_GB2312" w:hAnsi="等线" w:eastAsia="仿宋"/>
          <w:color w:val="auto"/>
          <w:sz w:val="24"/>
          <w:szCs w:val="30"/>
        </w:rPr>
      </w:pPr>
      <w:r>
        <w:rPr>
          <w:rFonts w:hint="eastAsia" w:ascii="仿宋" w:hAnsi="仿宋" w:eastAsia="仿宋"/>
          <w:b/>
          <w:bCs/>
          <w:color w:val="auto"/>
          <w:sz w:val="24"/>
        </w:rPr>
        <w:t xml:space="preserve">1. </w:t>
      </w:r>
      <w:r>
        <w:rPr>
          <w:rFonts w:hint="eastAsia" w:ascii="仿宋_GB2312" w:hAnsi="等线" w:eastAsia="仿宋"/>
          <w:b/>
          <w:bCs/>
          <w:color w:val="auto"/>
          <w:sz w:val="24"/>
          <w:szCs w:val="30"/>
        </w:rPr>
        <w:t>阳江恒大御景湾项目：</w:t>
      </w:r>
      <w:r>
        <w:rPr>
          <w:rFonts w:hint="eastAsia" w:ascii="仿宋_GB2312" w:hAnsi="等线" w:eastAsia="仿宋"/>
          <w:color w:val="auto"/>
          <w:sz w:val="24"/>
          <w:szCs w:val="30"/>
        </w:rPr>
        <w:t>项目用地面积1198131平方米，建设酒店、住宅等旅游综合服务设施和公用配套设施。</w:t>
      </w:r>
    </w:p>
    <w:p>
      <w:pPr>
        <w:pBdr>
          <w:top w:val="single" w:color="auto" w:sz="4" w:space="1"/>
          <w:left w:val="single" w:color="auto" w:sz="4" w:space="4"/>
          <w:bottom w:val="single" w:color="auto" w:sz="4" w:space="1"/>
          <w:right w:val="single" w:color="auto" w:sz="4" w:space="4"/>
        </w:pBdr>
        <w:spacing w:line="360" w:lineRule="auto"/>
        <w:rPr>
          <w:rFonts w:ascii="仿宋_GB2312" w:hAnsi="等线" w:eastAsia="仿宋"/>
          <w:color w:val="auto"/>
          <w:sz w:val="24"/>
          <w:szCs w:val="30"/>
        </w:rPr>
      </w:pPr>
      <w:r>
        <w:rPr>
          <w:rFonts w:hint="eastAsia" w:ascii="仿宋_GB2312" w:hAnsi="等线" w:eastAsia="仿宋"/>
          <w:b/>
          <w:bCs/>
          <w:color w:val="auto"/>
          <w:sz w:val="24"/>
          <w:szCs w:val="30"/>
        </w:rPr>
        <w:t>2. 敏捷·黄金海岸项目：</w:t>
      </w:r>
      <w:r>
        <w:rPr>
          <w:rFonts w:hint="eastAsia" w:ascii="仿宋_GB2312" w:hAnsi="等线" w:eastAsia="仿宋"/>
          <w:color w:val="auto"/>
          <w:sz w:val="24"/>
          <w:szCs w:val="30"/>
        </w:rPr>
        <w:t>总占地面积200万平方米，建设旅游度假设施、喜来登酒店、公寓等旅游设施。</w:t>
      </w:r>
    </w:p>
    <w:p>
      <w:pPr>
        <w:pBdr>
          <w:top w:val="single" w:color="auto" w:sz="4" w:space="1"/>
          <w:left w:val="single" w:color="auto" w:sz="4" w:space="4"/>
          <w:bottom w:val="single" w:color="auto" w:sz="4" w:space="1"/>
          <w:right w:val="single" w:color="auto" w:sz="4" w:space="4"/>
        </w:pBdr>
        <w:spacing w:line="360" w:lineRule="auto"/>
        <w:rPr>
          <w:rFonts w:ascii="仿宋_GB2312" w:hAnsi="等线" w:eastAsia="仿宋"/>
          <w:color w:val="auto"/>
          <w:sz w:val="24"/>
          <w:szCs w:val="30"/>
        </w:rPr>
      </w:pPr>
      <w:r>
        <w:rPr>
          <w:rFonts w:hint="eastAsia" w:ascii="仿宋_GB2312" w:hAnsi="等线" w:eastAsia="仿宋"/>
          <w:b/>
          <w:bCs/>
          <w:color w:val="auto"/>
          <w:sz w:val="24"/>
          <w:szCs w:val="30"/>
        </w:rPr>
        <w:t>3. 保利·顺峰北洛湾项目：</w:t>
      </w:r>
      <w:r>
        <w:rPr>
          <w:rFonts w:hint="eastAsia" w:ascii="仿宋_GB2312" w:hAnsi="等线" w:eastAsia="仿宋"/>
          <w:color w:val="auto"/>
          <w:sz w:val="24"/>
          <w:szCs w:val="30"/>
        </w:rPr>
        <w:t>总建筑面积395458平方米，建设住宅、悦榕庄酒店、产权式酒店等旅游度假设施及公共服务设施。</w:t>
      </w:r>
    </w:p>
    <w:p>
      <w:pPr>
        <w:pBdr>
          <w:top w:val="single" w:color="auto" w:sz="4" w:space="1"/>
          <w:left w:val="single" w:color="auto" w:sz="4" w:space="4"/>
          <w:bottom w:val="single" w:color="auto" w:sz="4" w:space="1"/>
          <w:right w:val="single" w:color="auto" w:sz="4" w:space="4"/>
        </w:pBdr>
        <w:spacing w:line="360" w:lineRule="auto"/>
        <w:rPr>
          <w:rFonts w:ascii="仿宋_GB2312" w:hAnsi="等线" w:eastAsia="仿宋"/>
          <w:color w:val="auto"/>
          <w:sz w:val="24"/>
          <w:szCs w:val="30"/>
        </w:rPr>
      </w:pPr>
      <w:r>
        <w:rPr>
          <w:rFonts w:hint="eastAsia" w:ascii="仿宋_GB2312" w:hAnsi="等线" w:eastAsia="仿宋"/>
          <w:b/>
          <w:bCs/>
          <w:color w:val="auto"/>
          <w:sz w:val="24"/>
          <w:szCs w:val="30"/>
        </w:rPr>
        <w:t>4. 阳江保利海陵十里银滩综合开发项目：</w:t>
      </w:r>
      <w:r>
        <w:rPr>
          <w:rFonts w:hint="eastAsia" w:ascii="仿宋_GB2312" w:hAnsi="等线" w:eastAsia="仿宋"/>
          <w:color w:val="auto"/>
          <w:sz w:val="24"/>
          <w:szCs w:val="30"/>
        </w:rPr>
        <w:t>总建筑面积100万平方米，建设住宅、公寓、五星级酒店等旅游度假设施及大型体育文化公园。</w:t>
      </w:r>
    </w:p>
    <w:p>
      <w:pPr>
        <w:pBdr>
          <w:top w:val="single" w:color="auto" w:sz="4" w:space="1"/>
          <w:left w:val="single" w:color="auto" w:sz="4" w:space="4"/>
          <w:bottom w:val="single" w:color="auto" w:sz="4" w:space="1"/>
          <w:right w:val="single" w:color="auto" w:sz="4" w:space="4"/>
        </w:pBdr>
        <w:spacing w:line="360" w:lineRule="auto"/>
        <w:rPr>
          <w:rFonts w:ascii="仿宋_GB2312" w:hAnsi="等线" w:eastAsia="仿宋"/>
          <w:color w:val="auto"/>
          <w:sz w:val="24"/>
          <w:szCs w:val="30"/>
        </w:rPr>
      </w:pPr>
      <w:r>
        <w:rPr>
          <w:rFonts w:hint="eastAsia" w:ascii="仿宋_GB2312" w:hAnsi="等线" w:eastAsia="仿宋"/>
          <w:b/>
          <w:bCs/>
          <w:color w:val="auto"/>
          <w:sz w:val="24"/>
          <w:szCs w:val="30"/>
        </w:rPr>
        <w:t>5. 海万豪海陵湾一号项目：</w:t>
      </w:r>
      <w:r>
        <w:rPr>
          <w:rFonts w:hint="eastAsia" w:ascii="仿宋_GB2312" w:hAnsi="等线" w:eastAsia="仿宋"/>
          <w:color w:val="auto"/>
          <w:sz w:val="24"/>
          <w:szCs w:val="30"/>
        </w:rPr>
        <w:t>建筑总面积约86万平方米，建设万豪酒店、万怡酒店、产权式酒店及高层公寓等旅游度假设施。</w:t>
      </w:r>
    </w:p>
    <w:p>
      <w:pPr>
        <w:pBdr>
          <w:top w:val="single" w:color="auto" w:sz="4" w:space="1"/>
          <w:left w:val="single" w:color="auto" w:sz="4" w:space="4"/>
          <w:bottom w:val="single" w:color="auto" w:sz="4" w:space="1"/>
          <w:right w:val="single" w:color="auto" w:sz="4" w:space="4"/>
        </w:pBdr>
        <w:spacing w:line="360" w:lineRule="auto"/>
        <w:rPr>
          <w:rFonts w:ascii="仿宋_GB2312" w:hAnsi="等线" w:eastAsia="仿宋"/>
          <w:color w:val="auto"/>
          <w:sz w:val="24"/>
          <w:szCs w:val="30"/>
        </w:rPr>
      </w:pPr>
      <w:r>
        <w:rPr>
          <w:rFonts w:hint="eastAsia" w:ascii="仿宋_GB2312" w:hAnsi="等线" w:eastAsia="仿宋"/>
          <w:b/>
          <w:bCs/>
          <w:color w:val="auto"/>
          <w:sz w:val="24"/>
          <w:szCs w:val="30"/>
        </w:rPr>
        <w:t>6. 骏景豪庭项目：</w:t>
      </w:r>
      <w:r>
        <w:rPr>
          <w:rFonts w:hint="eastAsia" w:ascii="仿宋_GB2312" w:hAnsi="等线" w:eastAsia="仿宋"/>
          <w:color w:val="auto"/>
          <w:sz w:val="24"/>
          <w:szCs w:val="30"/>
        </w:rPr>
        <w:t>项目位于海陵岛闸坡片区（东区）的大角湾，总用地面积约2.8万平方米，总建筑面积约8.2万平方米，总投资约3.5亿元，2019年投资额0.7亿元，拟建酒店、酒店式度假公寓与住宅，建成后将成为一个集高级酒店和高尚度假公寓于一体、别具风格时尚项目。</w:t>
      </w:r>
    </w:p>
    <w:p>
      <w:pPr>
        <w:pBdr>
          <w:top w:val="single" w:color="auto" w:sz="4" w:space="1"/>
          <w:left w:val="single" w:color="auto" w:sz="4" w:space="4"/>
          <w:bottom w:val="single" w:color="auto" w:sz="4" w:space="1"/>
          <w:right w:val="single" w:color="auto" w:sz="4" w:space="4"/>
        </w:pBdr>
        <w:spacing w:line="360" w:lineRule="auto"/>
        <w:rPr>
          <w:rFonts w:ascii="仿宋_GB2312" w:hAnsi="等线" w:eastAsia="仿宋"/>
          <w:color w:val="auto"/>
          <w:sz w:val="24"/>
          <w:szCs w:val="30"/>
        </w:rPr>
      </w:pPr>
      <w:r>
        <w:rPr>
          <w:rFonts w:hint="eastAsia" w:ascii="仿宋_GB2312" w:hAnsi="等线" w:eastAsia="仿宋"/>
          <w:b/>
          <w:bCs/>
          <w:color w:val="auto"/>
          <w:sz w:val="24"/>
          <w:szCs w:val="30"/>
        </w:rPr>
        <w:t>7. 阳江碧桂园北洛明珠项目：</w:t>
      </w:r>
      <w:r>
        <w:rPr>
          <w:rFonts w:hint="eastAsia" w:ascii="仿宋_GB2312" w:hAnsi="等线" w:eastAsia="仿宋"/>
          <w:color w:val="auto"/>
          <w:sz w:val="24"/>
          <w:szCs w:val="30"/>
        </w:rPr>
        <w:t>项目位于闸坡镇旧澳湾，用地面积为27762平方米，总建筑面积为66382平方米，总投资2.5亿元，项目规划为商业住宅小区，2019年计划投资2.1317亿元。。</w:t>
      </w:r>
    </w:p>
    <w:p>
      <w:pPr>
        <w:pBdr>
          <w:top w:val="single" w:color="auto" w:sz="4" w:space="1"/>
          <w:left w:val="single" w:color="auto" w:sz="4" w:space="4"/>
          <w:bottom w:val="single" w:color="auto" w:sz="4" w:space="1"/>
          <w:right w:val="single" w:color="auto" w:sz="4" w:space="4"/>
        </w:pBdr>
        <w:spacing w:line="360" w:lineRule="auto"/>
        <w:rPr>
          <w:rFonts w:ascii="仿宋_GB2312" w:hAnsi="等线" w:eastAsia="仿宋"/>
          <w:color w:val="auto"/>
          <w:sz w:val="24"/>
          <w:szCs w:val="30"/>
        </w:rPr>
      </w:pPr>
      <w:r>
        <w:rPr>
          <w:rFonts w:hint="eastAsia" w:ascii="仿宋_GB2312" w:hAnsi="等线" w:eastAsia="仿宋"/>
          <w:b/>
          <w:bCs/>
          <w:color w:val="auto"/>
          <w:sz w:val="24"/>
          <w:szCs w:val="30"/>
        </w:rPr>
        <w:t>8. 悦榕庄酒店项目：</w:t>
      </w:r>
      <w:r>
        <w:rPr>
          <w:rFonts w:hint="eastAsia" w:ascii="仿宋_GB2312" w:hAnsi="等线" w:eastAsia="仿宋"/>
          <w:color w:val="auto"/>
          <w:sz w:val="24"/>
          <w:szCs w:val="30"/>
        </w:rPr>
        <w:t>项目位于保利顺峰北洛秘境范围内，建筑面积约32000平方米，计划投资6亿元，配置201个客房，计划于2019年下半年全面开发建设，2022年5月正式对外开放。该项目2019年投资额1亿元。</w:t>
      </w:r>
    </w:p>
    <w:p>
      <w:pPr>
        <w:pBdr>
          <w:top w:val="single" w:color="auto" w:sz="4" w:space="1"/>
          <w:left w:val="single" w:color="auto" w:sz="4" w:space="4"/>
          <w:bottom w:val="single" w:color="auto" w:sz="4" w:space="1"/>
          <w:right w:val="single" w:color="auto" w:sz="4" w:space="4"/>
        </w:pBdr>
        <w:spacing w:line="360" w:lineRule="auto"/>
        <w:rPr>
          <w:rFonts w:ascii="仿宋" w:hAnsi="仿宋" w:eastAsia="仿宋" w:cs="仿宋_GB2312"/>
          <w:color w:val="auto"/>
          <w:sz w:val="32"/>
          <w:szCs w:val="32"/>
        </w:rPr>
      </w:pPr>
      <w:r>
        <w:rPr>
          <w:rFonts w:hint="eastAsia" w:ascii="仿宋_GB2312" w:hAnsi="等线" w:eastAsia="仿宋"/>
          <w:b/>
          <w:bCs/>
          <w:color w:val="auto"/>
          <w:sz w:val="24"/>
          <w:szCs w:val="30"/>
        </w:rPr>
        <w:t>9. 钰悦福邸项目：</w:t>
      </w:r>
      <w:r>
        <w:rPr>
          <w:rFonts w:hint="eastAsia" w:ascii="仿宋_GB2312" w:hAnsi="等线" w:eastAsia="仿宋"/>
          <w:color w:val="auto"/>
          <w:sz w:val="24"/>
          <w:szCs w:val="30"/>
        </w:rPr>
        <w:t>项目位于闸坡东片区旅游大道东边，总建筑面积23010.44 平方米，开发建设用地7161 平方米，总投资约2亿元，2019年投资额2亿元。项目规划为商业住宅小区，低层商业高层住宅，设计强调建筑、人与自然紧密结合，区内设计较大中心景观，每户力争最好景观朝向。</w:t>
      </w:r>
    </w:p>
    <w:p>
      <w:pPr>
        <w:pStyle w:val="15"/>
        <w:adjustRightInd w:val="0"/>
        <w:spacing w:line="600" w:lineRule="exact"/>
        <w:ind w:firstLine="643" w:firstLineChars="200"/>
        <w:jc w:val="both"/>
        <w:rPr>
          <w:rFonts w:ascii="仿宋" w:hAnsi="仿宋" w:eastAsia="仿宋" w:cs="仿宋_GB2312"/>
          <w:color w:val="auto"/>
          <w:sz w:val="32"/>
          <w:szCs w:val="32"/>
        </w:rPr>
      </w:pPr>
      <w:r>
        <w:rPr>
          <w:rFonts w:ascii="仿宋" w:hAnsi="仿宋" w:eastAsia="仿宋" w:cs="仿宋_GB2312"/>
          <w:b/>
          <w:bCs/>
          <w:color w:val="auto"/>
          <w:sz w:val="32"/>
          <w:szCs w:val="32"/>
        </w:rPr>
        <w:t>餐饮服务业。</w:t>
      </w:r>
      <w:r>
        <w:rPr>
          <w:rFonts w:ascii="仿宋" w:hAnsi="仿宋" w:eastAsia="仿宋" w:cs="仿宋_GB2312"/>
          <w:color w:val="auto"/>
          <w:sz w:val="32"/>
          <w:szCs w:val="32"/>
        </w:rPr>
        <w:t>以一夜埕美食街为载体，整合海陵岛的美食资源，规划建设海陵岛美食城，积极引进国内外知名餐饮品牌实施连锁经营，鼓励发展特色菜系、主题餐厅、主题酒吧、咖啡厅和茶艺馆、香道馆等，提升餐饮业多样化、特色化、个性化服务水平。依托即捕即食的海鲜特色，挖掘、提升海陵岛本土特色餐饮，推进海陵岛美食产品创新升级，规划设计海陵岛美食体验线路，大力培育海陵岛美食品牌。结合海陵岛传统节庆和特色饮食文化，举办美食节、美食大赛，弘扬海陵岛美食文化，把海陵岛美食推向世界。加强餐饮业标准化、规范化管理，提高游客餐饮的便利程度。加强餐饮食品卫生监督。开展海陵岛特色海鲜食谱收集整理工作，记录海陵岛海鲜食谱制作技艺，传承“海陵岛经典海鲜食谱”。邀请有关专家学者编制《海陵岛美食等级划分标准》，完善海陵岛美食评价体系。</w:t>
      </w:r>
    </w:p>
    <w:p>
      <w:pPr>
        <w:pStyle w:val="15"/>
        <w:adjustRightInd w:val="0"/>
        <w:spacing w:line="600" w:lineRule="exact"/>
        <w:ind w:firstLine="643" w:firstLineChars="200"/>
        <w:jc w:val="both"/>
        <w:rPr>
          <w:rFonts w:ascii="仿宋" w:hAnsi="仿宋" w:eastAsia="仿宋" w:cs="仿宋_GB2312"/>
          <w:color w:val="auto"/>
          <w:sz w:val="32"/>
          <w:szCs w:val="32"/>
        </w:rPr>
      </w:pPr>
      <w:r>
        <w:rPr>
          <w:rFonts w:ascii="仿宋" w:hAnsi="仿宋" w:eastAsia="仿宋" w:cs="仿宋_GB2312"/>
          <w:b/>
          <w:bCs/>
          <w:color w:val="auto"/>
          <w:sz w:val="32"/>
          <w:szCs w:val="32"/>
        </w:rPr>
        <w:t>娱乐服务业。</w:t>
      </w:r>
      <w:r>
        <w:rPr>
          <w:rFonts w:ascii="仿宋" w:hAnsi="仿宋" w:eastAsia="仿宋" w:cs="仿宋_GB2312"/>
          <w:color w:val="auto"/>
          <w:sz w:val="32"/>
          <w:szCs w:val="32"/>
        </w:rPr>
        <w:t>依托阳光、海岸、沙滩、礁石、海风、海浪等海洋资源，引入体验性和趣味性较强的娱乐项目。以保利银滩、恒大御景湾、敏捷黄金海岸、保利顺峰（北洛湾）等项目为载体，打造集“吃、住、游、娱、购”于一体的大型旅游综合体。积极培育海水浴场、滨海度假区，加快改造升级传统滨海旅游度假区，重点开展十里银滩连线提质升级项目，把十里银滩打造成南中国最美海滩。学习借鉴珠海长隆、深圳欢乐谷等成功经验，以大型娱乐景区项目为载体，重点发展富有趣味性的家庭亲子游乐产品。加强文化娱乐设施建设，创新发展各类文娱场所，丰富文化娱乐产品，促进多元化消费，提高旅游拉动效应。提高海陵岛节庆策划水平，培育壮大节庆品牌，推动具有海陵岛特色风情和渔家民俗特点的节庆娱乐活动。</w:t>
      </w:r>
    </w:p>
    <w:p>
      <w:pPr>
        <w:widowControl/>
        <w:jc w:val="center"/>
        <w:rPr>
          <w:rFonts w:eastAsia="方正小标宋简体"/>
          <w:b/>
          <w:bCs/>
          <w:color w:val="auto"/>
          <w:kern w:val="0"/>
          <w:sz w:val="28"/>
          <w:szCs w:val="28"/>
        </w:rPr>
      </w:pPr>
      <w:r>
        <w:rPr>
          <w:rFonts w:hint="eastAsia" w:eastAsia="方正小标宋简体"/>
          <w:b/>
          <w:bCs/>
          <w:color w:val="auto"/>
          <w:kern w:val="0"/>
          <w:sz w:val="28"/>
          <w:szCs w:val="28"/>
        </w:rPr>
        <w:t xml:space="preserve">专栏 </w:t>
      </w:r>
      <w:r>
        <w:rPr>
          <w:rFonts w:eastAsia="方正小标宋简体"/>
          <w:b/>
          <w:bCs/>
          <w:color w:val="auto"/>
          <w:kern w:val="0"/>
          <w:sz w:val="28"/>
          <w:szCs w:val="28"/>
        </w:rPr>
        <w:t xml:space="preserve"> </w:t>
      </w:r>
      <w:r>
        <w:rPr>
          <w:rFonts w:hint="eastAsia" w:eastAsia="方正小标宋简体"/>
          <w:b/>
          <w:bCs/>
          <w:color w:val="auto"/>
          <w:kern w:val="0"/>
          <w:sz w:val="28"/>
          <w:szCs w:val="28"/>
        </w:rPr>
        <w:t>海陵岛娱乐服务业重点建设项目</w:t>
      </w:r>
    </w:p>
    <w:p>
      <w:pPr>
        <w:pBdr>
          <w:top w:val="single" w:color="auto" w:sz="4" w:space="1"/>
          <w:left w:val="single" w:color="auto" w:sz="4" w:space="4"/>
          <w:bottom w:val="single" w:color="auto" w:sz="4" w:space="1"/>
          <w:right w:val="single" w:color="auto" w:sz="4" w:space="4"/>
        </w:pBdr>
        <w:spacing w:line="360" w:lineRule="auto"/>
        <w:rPr>
          <w:rFonts w:ascii="仿宋_GB2312" w:hAnsi="等线" w:eastAsia="仿宋"/>
          <w:color w:val="auto"/>
          <w:sz w:val="24"/>
          <w:szCs w:val="30"/>
        </w:rPr>
      </w:pPr>
      <w:r>
        <w:rPr>
          <w:rFonts w:hint="eastAsia" w:ascii="仿宋" w:hAnsi="仿宋" w:eastAsia="仿宋"/>
          <w:b/>
          <w:bCs/>
          <w:color w:val="auto"/>
          <w:sz w:val="24"/>
        </w:rPr>
        <w:t>1.</w:t>
      </w:r>
      <w:r>
        <w:rPr>
          <w:rFonts w:hint="eastAsia" w:ascii="仿宋_GB2312" w:hAnsi="等线" w:eastAsia="仿宋"/>
          <w:b/>
          <w:bCs/>
          <w:color w:val="auto"/>
          <w:sz w:val="24"/>
          <w:szCs w:val="30"/>
        </w:rPr>
        <w:t xml:space="preserve"> 阳江恒大御景湾项目：</w:t>
      </w:r>
      <w:r>
        <w:rPr>
          <w:rFonts w:hint="eastAsia" w:ascii="仿宋_GB2312" w:hAnsi="等线" w:eastAsia="仿宋"/>
          <w:color w:val="auto"/>
          <w:sz w:val="24"/>
          <w:szCs w:val="30"/>
        </w:rPr>
        <w:t>项目用地面积1198131平方米，建设酒店、住宅等旅游综合服务设施和公用配套设施。</w:t>
      </w:r>
    </w:p>
    <w:p>
      <w:pPr>
        <w:pBdr>
          <w:top w:val="single" w:color="auto" w:sz="4" w:space="1"/>
          <w:left w:val="single" w:color="auto" w:sz="4" w:space="4"/>
          <w:bottom w:val="single" w:color="auto" w:sz="4" w:space="1"/>
          <w:right w:val="single" w:color="auto" w:sz="4" w:space="4"/>
        </w:pBdr>
        <w:spacing w:line="360" w:lineRule="auto"/>
        <w:rPr>
          <w:rFonts w:ascii="仿宋_GB2312" w:hAnsi="等线" w:eastAsia="仿宋"/>
          <w:color w:val="auto"/>
          <w:sz w:val="24"/>
          <w:szCs w:val="30"/>
        </w:rPr>
      </w:pPr>
      <w:r>
        <w:rPr>
          <w:rFonts w:hint="eastAsia" w:ascii="仿宋_GB2312" w:hAnsi="等线" w:eastAsia="仿宋"/>
          <w:b/>
          <w:bCs/>
          <w:color w:val="auto"/>
          <w:sz w:val="24"/>
          <w:szCs w:val="30"/>
        </w:rPr>
        <w:t>2. 敏捷·黄金海岸项目：</w:t>
      </w:r>
      <w:r>
        <w:rPr>
          <w:rFonts w:hint="eastAsia" w:ascii="仿宋_GB2312" w:hAnsi="等线" w:eastAsia="仿宋"/>
          <w:color w:val="auto"/>
          <w:sz w:val="24"/>
          <w:szCs w:val="30"/>
        </w:rPr>
        <w:t>总占地面积200万平方米，建设旅游度假设施、喜来登酒店、公寓等旅游设施。</w:t>
      </w:r>
    </w:p>
    <w:p>
      <w:pPr>
        <w:pBdr>
          <w:top w:val="single" w:color="auto" w:sz="4" w:space="1"/>
          <w:left w:val="single" w:color="auto" w:sz="4" w:space="4"/>
          <w:bottom w:val="single" w:color="auto" w:sz="4" w:space="1"/>
          <w:right w:val="single" w:color="auto" w:sz="4" w:space="4"/>
        </w:pBdr>
        <w:spacing w:line="360" w:lineRule="auto"/>
        <w:rPr>
          <w:rFonts w:ascii="仿宋_GB2312" w:hAnsi="等线" w:eastAsia="仿宋"/>
          <w:color w:val="auto"/>
          <w:sz w:val="24"/>
          <w:szCs w:val="30"/>
        </w:rPr>
      </w:pPr>
      <w:r>
        <w:rPr>
          <w:rFonts w:hint="eastAsia" w:ascii="仿宋_GB2312" w:hAnsi="等线" w:eastAsia="仿宋"/>
          <w:b/>
          <w:bCs/>
          <w:color w:val="auto"/>
          <w:sz w:val="24"/>
          <w:szCs w:val="30"/>
        </w:rPr>
        <w:t>3. 保利·顺峰北洛湾项目：</w:t>
      </w:r>
      <w:r>
        <w:rPr>
          <w:rFonts w:hint="eastAsia" w:ascii="仿宋_GB2312" w:hAnsi="等线" w:eastAsia="仿宋"/>
          <w:color w:val="auto"/>
          <w:sz w:val="24"/>
          <w:szCs w:val="30"/>
        </w:rPr>
        <w:t>总建筑面积395458平方米，建设住宅、悦榕庄酒店、产权式酒店等旅游度假设施及公共服务设施。</w:t>
      </w:r>
    </w:p>
    <w:p>
      <w:pPr>
        <w:pBdr>
          <w:top w:val="single" w:color="auto" w:sz="4" w:space="1"/>
          <w:left w:val="single" w:color="auto" w:sz="4" w:space="4"/>
          <w:bottom w:val="single" w:color="auto" w:sz="4" w:space="1"/>
          <w:right w:val="single" w:color="auto" w:sz="4" w:space="4"/>
        </w:pBdr>
        <w:spacing w:line="360" w:lineRule="auto"/>
        <w:rPr>
          <w:rFonts w:ascii="仿宋_GB2312" w:hAnsi="等线" w:eastAsia="仿宋"/>
          <w:color w:val="auto"/>
          <w:sz w:val="24"/>
          <w:szCs w:val="30"/>
        </w:rPr>
      </w:pPr>
      <w:r>
        <w:rPr>
          <w:rFonts w:hint="eastAsia" w:ascii="仿宋_GB2312" w:hAnsi="等线" w:eastAsia="仿宋"/>
          <w:b/>
          <w:bCs/>
          <w:color w:val="auto"/>
          <w:sz w:val="24"/>
          <w:szCs w:val="30"/>
        </w:rPr>
        <w:t>4. 阳江保利海陵十里银滩综合开发项目：</w:t>
      </w:r>
      <w:r>
        <w:rPr>
          <w:rFonts w:hint="eastAsia" w:ascii="仿宋_GB2312" w:hAnsi="等线" w:eastAsia="仿宋"/>
          <w:color w:val="auto"/>
          <w:sz w:val="24"/>
          <w:szCs w:val="30"/>
        </w:rPr>
        <w:t>总建筑面积100万平方米，建设住宅、公寓、五星级酒店等旅游度假设施及大型体育文化公园。</w:t>
      </w:r>
    </w:p>
    <w:p>
      <w:pPr>
        <w:pBdr>
          <w:top w:val="single" w:color="auto" w:sz="4" w:space="1"/>
          <w:left w:val="single" w:color="auto" w:sz="4" w:space="4"/>
          <w:bottom w:val="single" w:color="auto" w:sz="4" w:space="1"/>
          <w:right w:val="single" w:color="auto" w:sz="4" w:space="4"/>
        </w:pBdr>
        <w:spacing w:line="360" w:lineRule="auto"/>
        <w:rPr>
          <w:rFonts w:ascii="仿宋_GB2312" w:hAnsi="等线" w:eastAsia="仿宋"/>
          <w:color w:val="auto"/>
          <w:sz w:val="24"/>
          <w:szCs w:val="30"/>
        </w:rPr>
      </w:pPr>
      <w:r>
        <w:rPr>
          <w:rFonts w:hint="eastAsia" w:ascii="仿宋_GB2312" w:hAnsi="等线" w:eastAsia="仿宋"/>
          <w:b/>
          <w:bCs/>
          <w:color w:val="auto"/>
          <w:sz w:val="24"/>
          <w:szCs w:val="30"/>
        </w:rPr>
        <w:t>5. 十里银滩升级项目项目：</w:t>
      </w:r>
      <w:r>
        <w:rPr>
          <w:rFonts w:hint="eastAsia" w:ascii="仿宋_GB2312" w:hAnsi="等线" w:eastAsia="仿宋"/>
          <w:color w:val="auto"/>
          <w:sz w:val="24"/>
          <w:szCs w:val="30"/>
        </w:rPr>
        <w:t>建筑总面积约86万平方米，建设万豪酒店、万怡酒店、产权式酒店及高层公寓等旅游度假设施。</w:t>
      </w:r>
    </w:p>
    <w:p>
      <w:pPr>
        <w:pBdr>
          <w:top w:val="single" w:color="auto" w:sz="4" w:space="1"/>
          <w:left w:val="single" w:color="auto" w:sz="4" w:space="4"/>
          <w:bottom w:val="single" w:color="auto" w:sz="4" w:space="1"/>
          <w:right w:val="single" w:color="auto" w:sz="4" w:space="4"/>
        </w:pBdr>
        <w:spacing w:line="360" w:lineRule="auto"/>
        <w:rPr>
          <w:rFonts w:ascii="仿宋_GB2312" w:hAnsi="等线" w:eastAsia="仿宋"/>
          <w:color w:val="auto"/>
          <w:sz w:val="24"/>
          <w:szCs w:val="30"/>
        </w:rPr>
      </w:pPr>
      <w:r>
        <w:rPr>
          <w:rFonts w:hint="eastAsia" w:ascii="仿宋_GB2312" w:hAnsi="等线" w:eastAsia="仿宋"/>
          <w:b/>
          <w:bCs/>
          <w:color w:val="auto"/>
          <w:sz w:val="24"/>
          <w:szCs w:val="30"/>
        </w:rPr>
        <w:t>6. 京汉·云海间项目：</w:t>
      </w:r>
      <w:r>
        <w:rPr>
          <w:rFonts w:hint="eastAsia" w:ascii="仿宋_GB2312" w:hAnsi="等线" w:eastAsia="仿宋"/>
          <w:color w:val="auto"/>
          <w:sz w:val="24"/>
          <w:szCs w:val="30"/>
        </w:rPr>
        <w:t>项目西侧临旅游大道旁，总用地面积92626.34平方米，规划总建筑面积约25万平方米，总投资达13亿元，2019年投资额1.95亿元。项目分“京汉·云海间·听海”和“京汉·云海间·山境”，定位为大众休闲度假区及生态养生休闲区，并具有配套的酒店托管公司及专业的医养设施，现规划建设“京汉海陵公园”。</w:t>
      </w:r>
    </w:p>
    <w:p>
      <w:pPr>
        <w:adjustRightInd w:val="0"/>
        <w:snapToGrid w:val="0"/>
        <w:spacing w:line="600" w:lineRule="exact"/>
        <w:jc w:val="center"/>
        <w:outlineLvl w:val="1"/>
        <w:rPr>
          <w:rFonts w:ascii="黑体" w:hAnsi="黑体" w:eastAsia="黑体" w:cs="仿宋"/>
          <w:color w:val="auto"/>
          <w:sz w:val="32"/>
          <w:szCs w:val="32"/>
        </w:rPr>
      </w:pPr>
      <w:bookmarkStart w:id="122" w:name="_Toc59331227"/>
      <w:bookmarkStart w:id="123" w:name="_Toc23473"/>
      <w:r>
        <w:rPr>
          <w:rFonts w:hint="eastAsia" w:ascii="黑体" w:hAnsi="黑体" w:eastAsia="黑体" w:cs="仿宋"/>
          <w:color w:val="auto"/>
          <w:sz w:val="32"/>
          <w:szCs w:val="32"/>
        </w:rPr>
        <w:t>第二节 积极发展</w:t>
      </w:r>
      <w:bookmarkEnd w:id="122"/>
      <w:r>
        <w:rPr>
          <w:rFonts w:hint="eastAsia" w:ascii="黑体" w:hAnsi="黑体" w:eastAsia="黑体" w:cs="仿宋"/>
          <w:color w:val="auto"/>
          <w:sz w:val="32"/>
          <w:szCs w:val="32"/>
        </w:rPr>
        <w:t>海洋渔业</w:t>
      </w:r>
      <w:bookmarkEnd w:id="123"/>
    </w:p>
    <w:p>
      <w:pPr>
        <w:adjustRightInd w:val="0"/>
        <w:snapToGrid w:val="0"/>
        <w:spacing w:line="600" w:lineRule="exact"/>
        <w:ind w:firstLine="643" w:firstLineChars="200"/>
        <w:rPr>
          <w:rFonts w:ascii="仿宋" w:hAnsi="仿宋" w:eastAsia="仿宋"/>
          <w:color w:val="auto"/>
          <w:sz w:val="32"/>
          <w:szCs w:val="32"/>
        </w:rPr>
      </w:pPr>
      <w:r>
        <w:rPr>
          <w:rFonts w:hint="eastAsia" w:ascii="仿宋" w:hAnsi="仿宋" w:eastAsia="仿宋"/>
          <w:b/>
          <w:bCs/>
          <w:color w:val="auto"/>
          <w:sz w:val="32"/>
          <w:szCs w:val="32"/>
        </w:rPr>
        <w:t>推动渔港建设。</w:t>
      </w:r>
      <w:r>
        <w:rPr>
          <w:rFonts w:hint="eastAsia" w:ascii="仿宋" w:hAnsi="仿宋" w:eastAsia="仿宋"/>
          <w:color w:val="auto"/>
          <w:sz w:val="32"/>
          <w:szCs w:val="32"/>
        </w:rPr>
        <w:t>以闸坡国家级中心渔港为基地，加快建设配套齐全、功能完善、辐射面广的区域性集生产、生活、贸易、观光旅游等于一体的现代渔港经济区。完善渔港服务功能，强化专业分工协作，拓展渔业块状经济发展空间，打造具有较强集聚效应和规模发展优势的渔业产业基地和现代渔港经济区。</w:t>
      </w:r>
    </w:p>
    <w:p>
      <w:pPr>
        <w:adjustRightInd w:val="0"/>
        <w:snapToGrid w:val="0"/>
        <w:spacing w:line="600" w:lineRule="exact"/>
        <w:ind w:firstLine="643" w:firstLineChars="200"/>
        <w:rPr>
          <w:rFonts w:ascii="仿宋" w:hAnsi="仿宋" w:eastAsia="仿宋"/>
          <w:b/>
          <w:bCs/>
          <w:color w:val="auto"/>
          <w:sz w:val="32"/>
          <w:szCs w:val="32"/>
        </w:rPr>
      </w:pPr>
      <w:r>
        <w:rPr>
          <w:rFonts w:hint="eastAsia" w:ascii="仿宋" w:hAnsi="仿宋" w:eastAsia="仿宋"/>
          <w:b/>
          <w:bCs/>
          <w:color w:val="auto"/>
          <w:sz w:val="32"/>
          <w:szCs w:val="32"/>
        </w:rPr>
        <w:t>发展水产品冷链物流产业。</w:t>
      </w:r>
      <w:r>
        <w:rPr>
          <w:rFonts w:hint="eastAsia" w:ascii="仿宋" w:hAnsi="仿宋" w:eastAsia="仿宋"/>
          <w:color w:val="auto"/>
          <w:sz w:val="32"/>
          <w:szCs w:val="32"/>
        </w:rPr>
        <w:t>加快发展水产品冷链物流，以南海国际水产交易物流中心项目为依托，完善冷链物流基础设施网络，健全冷链物流标准和服务规范体系，引入一批具有国际竞争力的冷链物流企业，鼓励冷链物流企业经营创新，提升冷链物流信息化水平，加快冷链物流技术装备创新和应用，把闸坡渔港打造成集水产品交易、冷冻冷藏、水产品加工、生活服务、物流和酒店为一体的现代化水产品交易中心，为粤港澳大湾区提供优质海产品。</w:t>
      </w:r>
    </w:p>
    <w:p>
      <w:pPr>
        <w:adjustRightInd w:val="0"/>
        <w:snapToGrid w:val="0"/>
        <w:spacing w:line="600" w:lineRule="exact"/>
        <w:ind w:firstLine="643" w:firstLineChars="200"/>
        <w:rPr>
          <w:rFonts w:ascii="仿宋" w:hAnsi="仿宋" w:eastAsia="仿宋"/>
          <w:color w:val="auto"/>
          <w:sz w:val="32"/>
          <w:szCs w:val="32"/>
        </w:rPr>
      </w:pPr>
      <w:r>
        <w:rPr>
          <w:rFonts w:hint="eastAsia" w:ascii="仿宋" w:hAnsi="仿宋" w:eastAsia="仿宋"/>
          <w:b/>
          <w:bCs/>
          <w:color w:val="auto"/>
          <w:sz w:val="32"/>
          <w:szCs w:val="32"/>
        </w:rPr>
        <w:t>发展海水养殖业。</w:t>
      </w:r>
      <w:r>
        <w:rPr>
          <w:rFonts w:hint="eastAsia" w:ascii="仿宋" w:hAnsi="仿宋" w:eastAsia="仿宋"/>
          <w:color w:val="auto"/>
          <w:sz w:val="32"/>
          <w:szCs w:val="32"/>
        </w:rPr>
        <w:t>制定落实水域、滩涂养殖规划，引导渔民依法规范养殖，推进规模连片的海水养殖区域发展。以闸坡国家级中心渔港为重点区域，加快建设海陵岛深水网箱养殖产业园，推广深水网箱养殖装备，改造海湾传统网箱养殖模式，积极创建海陵岛海洋网箱产业特色品牌。大力发展工厂化设施养殖、节水节地养殖、循环养殖，鼓励有条件的渔业企业拓展海洋离岸养殖和集约化养殖。加强扶持种苗培育等基础渔业的发展，应用现代生物技术繁育水产良种良苗，培育一批种苗孵化基地。加强水生动物疫病防控和水产品质量安全管理。</w:t>
      </w:r>
    </w:p>
    <w:p>
      <w:pPr>
        <w:adjustRightInd w:val="0"/>
        <w:snapToGrid w:val="0"/>
        <w:spacing w:line="600" w:lineRule="exact"/>
        <w:ind w:firstLine="643" w:firstLineChars="200"/>
        <w:rPr>
          <w:rFonts w:ascii="仿宋" w:hAnsi="仿宋" w:eastAsia="仿宋"/>
          <w:color w:val="auto"/>
          <w:sz w:val="32"/>
          <w:szCs w:val="32"/>
        </w:rPr>
      </w:pPr>
      <w:r>
        <w:rPr>
          <w:rFonts w:hint="eastAsia" w:ascii="仿宋" w:hAnsi="仿宋" w:eastAsia="仿宋"/>
          <w:b/>
          <w:bCs/>
          <w:color w:val="auto"/>
          <w:sz w:val="32"/>
          <w:szCs w:val="32"/>
        </w:rPr>
        <w:t>发展水产品精深加工业。</w:t>
      </w:r>
      <w:r>
        <w:rPr>
          <w:rFonts w:hint="eastAsia" w:ascii="仿宋" w:hAnsi="仿宋" w:eastAsia="仿宋"/>
          <w:color w:val="auto"/>
          <w:sz w:val="32"/>
          <w:szCs w:val="32"/>
        </w:rPr>
        <w:t>加强水产品精深加工、综合利用和高附加值化技术研究。支持渔业企业、渔民专业合作社等市场主体加大科技投入力度，提升设备现代化水平和海产品精深加工水平。加快传统海产品企业转型升级，扶持培育一批水产品深加工企业，推动海产品加工产业上层次、提技术、创品牌、增效益。开发海产品深加工系列产品，配套完善加工生产线，全面提高海产品加工率。</w:t>
      </w:r>
    </w:p>
    <w:p>
      <w:pPr>
        <w:adjustRightInd w:val="0"/>
        <w:snapToGrid w:val="0"/>
        <w:spacing w:line="600" w:lineRule="exact"/>
        <w:ind w:firstLine="643" w:firstLineChars="200"/>
        <w:rPr>
          <w:rFonts w:ascii="仿宋" w:hAnsi="仿宋" w:eastAsia="仿宋"/>
          <w:color w:val="auto"/>
          <w:sz w:val="32"/>
          <w:szCs w:val="32"/>
        </w:rPr>
      </w:pPr>
      <w:r>
        <w:rPr>
          <w:rFonts w:hint="eastAsia" w:ascii="仿宋" w:hAnsi="仿宋" w:eastAsia="仿宋"/>
          <w:b/>
          <w:bCs/>
          <w:color w:val="auto"/>
          <w:sz w:val="32"/>
          <w:szCs w:val="32"/>
        </w:rPr>
        <w:t>拓展渔业现代服务业。</w:t>
      </w:r>
      <w:r>
        <w:rPr>
          <w:rFonts w:hint="eastAsia" w:ascii="仿宋" w:hAnsi="仿宋" w:eastAsia="仿宋"/>
          <w:color w:val="auto"/>
          <w:sz w:val="32"/>
          <w:szCs w:val="32"/>
        </w:rPr>
        <w:t>鼓励发展渔业会展、海鲜美食业、观赏鱼产业、休闲渔业、渔文化产业、渔业科普教育等渔业创意新兴产业。以区域丰富的水资源、滩涂、湿地现有渔业养殖生产设施和极具原生态的渔村为依托，在保留美丽田园风光、水域风光的基础上，全力打造具有江南水乡特色的生态渔业旅游度假区，发展生态渔业、湿地公园和集休闲、娱乐、度假、特色饮食于一身的新型生态休闲观光渔业。</w:t>
      </w:r>
    </w:p>
    <w:p>
      <w:pPr>
        <w:adjustRightInd w:val="0"/>
        <w:snapToGrid w:val="0"/>
        <w:spacing w:line="600" w:lineRule="exact"/>
        <w:ind w:firstLine="643" w:firstLineChars="200"/>
        <w:rPr>
          <w:rFonts w:ascii="仿宋" w:hAnsi="仿宋" w:eastAsia="仿宋" w:cs="楷体"/>
          <w:color w:val="auto"/>
          <w:sz w:val="32"/>
          <w:szCs w:val="32"/>
        </w:rPr>
      </w:pPr>
      <w:r>
        <w:rPr>
          <w:rFonts w:hint="eastAsia" w:ascii="仿宋" w:hAnsi="仿宋" w:eastAsia="仿宋" w:cs="楷体"/>
          <w:b/>
          <w:bCs/>
          <w:color w:val="auto"/>
          <w:sz w:val="32"/>
          <w:szCs w:val="32"/>
        </w:rPr>
        <w:t>推进远洋渔业发展。</w:t>
      </w:r>
      <w:r>
        <w:rPr>
          <w:rFonts w:hint="eastAsia" w:ascii="仿宋" w:hAnsi="仿宋" w:eastAsia="仿宋"/>
          <w:color w:val="auto"/>
          <w:sz w:val="32"/>
          <w:szCs w:val="32"/>
        </w:rPr>
        <w:t>加快实施国内渔船更新改造，建造远洋渔业发展船队，重点发展深海钢质捕捞渔船。加强国际渔业合作，提高渔业开放度。开发远洋渔业发展新区域，重点开发南沙、西沙渔场。进一步完善收购、冷藏、运输、补给一条龙服务体系，不断畅通国内远洋水产品流通与销售渠道，改善远洋渔业生产服务环境，提高保障与服务能力。</w:t>
      </w:r>
    </w:p>
    <w:p>
      <w:pPr>
        <w:adjustRightInd w:val="0"/>
        <w:snapToGrid w:val="0"/>
        <w:spacing w:line="600" w:lineRule="exact"/>
        <w:ind w:firstLine="643" w:firstLineChars="200"/>
        <w:rPr>
          <w:rFonts w:ascii="仿宋" w:hAnsi="仿宋" w:eastAsia="仿宋"/>
          <w:color w:val="auto"/>
          <w:sz w:val="32"/>
          <w:szCs w:val="32"/>
        </w:rPr>
      </w:pPr>
      <w:r>
        <w:rPr>
          <w:rFonts w:hint="eastAsia" w:ascii="仿宋" w:hAnsi="仿宋" w:eastAsia="仿宋"/>
          <w:b/>
          <w:bCs/>
          <w:color w:val="auto"/>
          <w:sz w:val="32"/>
          <w:szCs w:val="32"/>
        </w:rPr>
        <w:t>实施品牌渔业战略。</w:t>
      </w:r>
      <w:r>
        <w:rPr>
          <w:rFonts w:hint="eastAsia" w:ascii="仿宋" w:hAnsi="仿宋" w:eastAsia="仿宋"/>
          <w:color w:val="auto"/>
          <w:sz w:val="32"/>
          <w:szCs w:val="32"/>
        </w:rPr>
        <w:t>继续加大品牌宣传，擦响南海（阳江）开渔节、“国家中心渔港”、“全国文明渔港”、“中国（海陵岛）国际休闲垂钓基地”、“十佳最美渔港”等品牌。整合海陵岛特色优势渔业资源和品牌，加强无公害海产品标志“三品一标”认证，着力提高海陵岛海产品在国内外市场的信誉度、知名度和市场竞争力，力争打造一批广东省乃至全国知名渔业品牌。</w:t>
      </w:r>
    </w:p>
    <w:p>
      <w:pPr>
        <w:widowControl/>
        <w:jc w:val="center"/>
        <w:rPr>
          <w:rFonts w:eastAsia="方正小标宋简体"/>
          <w:b/>
          <w:bCs/>
          <w:color w:val="auto"/>
          <w:kern w:val="0"/>
          <w:sz w:val="28"/>
          <w:szCs w:val="28"/>
        </w:rPr>
      </w:pPr>
      <w:r>
        <w:rPr>
          <w:rFonts w:hint="eastAsia" w:eastAsia="方正小标宋简体"/>
          <w:b/>
          <w:bCs/>
          <w:color w:val="auto"/>
          <w:kern w:val="0"/>
          <w:sz w:val="28"/>
          <w:szCs w:val="28"/>
        </w:rPr>
        <w:t xml:space="preserve">专栏 </w:t>
      </w:r>
      <w:r>
        <w:rPr>
          <w:rFonts w:eastAsia="方正小标宋简体"/>
          <w:b/>
          <w:bCs/>
          <w:color w:val="auto"/>
          <w:kern w:val="0"/>
          <w:sz w:val="28"/>
          <w:szCs w:val="28"/>
        </w:rPr>
        <w:t xml:space="preserve"> </w:t>
      </w:r>
      <w:r>
        <w:rPr>
          <w:rFonts w:hint="eastAsia" w:eastAsia="方正小标宋简体"/>
          <w:b/>
          <w:bCs/>
          <w:color w:val="auto"/>
          <w:kern w:val="0"/>
          <w:sz w:val="28"/>
          <w:szCs w:val="28"/>
        </w:rPr>
        <w:t>海陵岛海洋渔业重点建设项目</w:t>
      </w:r>
    </w:p>
    <w:p>
      <w:pPr>
        <w:pBdr>
          <w:top w:val="single" w:color="auto" w:sz="4" w:space="1"/>
          <w:left w:val="single" w:color="auto" w:sz="4" w:space="4"/>
          <w:bottom w:val="single" w:color="auto" w:sz="4" w:space="1"/>
          <w:right w:val="single" w:color="auto" w:sz="4" w:space="4"/>
        </w:pBdr>
        <w:spacing w:line="360" w:lineRule="auto"/>
        <w:rPr>
          <w:rFonts w:ascii="仿宋_GB2312" w:hAnsi="等线" w:eastAsia="仿宋"/>
          <w:color w:val="auto"/>
          <w:sz w:val="24"/>
          <w:szCs w:val="30"/>
        </w:rPr>
      </w:pPr>
      <w:r>
        <w:rPr>
          <w:rFonts w:hint="eastAsia" w:ascii="仿宋_GB2312" w:hAnsi="等线" w:eastAsia="仿宋"/>
          <w:b/>
          <w:bCs/>
          <w:color w:val="auto"/>
          <w:sz w:val="24"/>
          <w:szCs w:val="30"/>
        </w:rPr>
        <w:t>1. 闸坡现代渔港建设：</w:t>
      </w:r>
      <w:r>
        <w:rPr>
          <w:rFonts w:hint="eastAsia" w:ascii="仿宋_GB2312" w:hAnsi="等线" w:eastAsia="仿宋"/>
          <w:color w:val="auto"/>
          <w:sz w:val="24"/>
          <w:szCs w:val="30"/>
        </w:rPr>
        <w:t>建设高桩码头、重力码头、南北防波堤扩建、港池及航道疏浚、护岸改造、洲仔峡改堤建桥以及水产品管理中心等配套设施及配套环港路。</w:t>
      </w:r>
    </w:p>
    <w:p>
      <w:pPr>
        <w:pBdr>
          <w:top w:val="single" w:color="auto" w:sz="4" w:space="1"/>
          <w:left w:val="single" w:color="auto" w:sz="4" w:space="4"/>
          <w:bottom w:val="single" w:color="auto" w:sz="4" w:space="1"/>
          <w:right w:val="single" w:color="auto" w:sz="4" w:space="4"/>
        </w:pBdr>
        <w:spacing w:line="360" w:lineRule="auto"/>
        <w:rPr>
          <w:rFonts w:ascii="仿宋_GB2312" w:hAnsi="等线" w:eastAsia="仿宋"/>
          <w:color w:val="auto"/>
          <w:sz w:val="24"/>
          <w:szCs w:val="30"/>
        </w:rPr>
      </w:pPr>
      <w:r>
        <w:rPr>
          <w:rFonts w:hint="eastAsia" w:ascii="仿宋_GB2312" w:hAnsi="等线" w:eastAsia="仿宋"/>
          <w:b/>
          <w:bCs/>
          <w:color w:val="auto"/>
          <w:sz w:val="24"/>
          <w:szCs w:val="30"/>
        </w:rPr>
        <w:t>2. 闸坡美丽渔港建设：</w:t>
      </w:r>
      <w:r>
        <w:rPr>
          <w:rFonts w:hint="eastAsia" w:ascii="仿宋_GB2312" w:hAnsi="等线" w:eastAsia="仿宋"/>
          <w:color w:val="auto"/>
          <w:sz w:val="24"/>
          <w:szCs w:val="30"/>
        </w:rPr>
        <w:t>环境治理、港区美化、构建渔港观光走廊、文化传承和创新、建设智慧渔港。</w:t>
      </w:r>
    </w:p>
    <w:p>
      <w:pPr>
        <w:pBdr>
          <w:top w:val="single" w:color="auto" w:sz="4" w:space="1"/>
          <w:left w:val="single" w:color="auto" w:sz="4" w:space="4"/>
          <w:bottom w:val="single" w:color="auto" w:sz="4" w:space="1"/>
          <w:right w:val="single" w:color="auto" w:sz="4" w:space="4"/>
        </w:pBdr>
        <w:spacing w:line="360" w:lineRule="auto"/>
        <w:rPr>
          <w:rFonts w:ascii="仿宋" w:hAnsi="仿宋" w:eastAsia="仿宋"/>
          <w:b/>
          <w:bCs/>
          <w:color w:val="auto"/>
          <w:sz w:val="32"/>
          <w:szCs w:val="32"/>
        </w:rPr>
      </w:pPr>
      <w:r>
        <w:rPr>
          <w:rFonts w:hint="eastAsia" w:ascii="仿宋_GB2312" w:hAnsi="等线" w:eastAsia="仿宋"/>
          <w:b/>
          <w:bCs/>
          <w:color w:val="auto"/>
          <w:sz w:val="24"/>
          <w:szCs w:val="30"/>
        </w:rPr>
        <w:t>3. 南海国际水产交易物流中心：</w:t>
      </w:r>
      <w:r>
        <w:rPr>
          <w:rFonts w:hint="eastAsia" w:ascii="仿宋_GB2312" w:hAnsi="等线" w:eastAsia="仿宋"/>
          <w:color w:val="auto"/>
          <w:sz w:val="24"/>
          <w:szCs w:val="30"/>
        </w:rPr>
        <w:t>由闸坡渔港管护中心建设，项目总投资1.25亿元，一层为水产品交易中心；二层为超市、手信街等；三层为渔民休闲中心、渔民庇护中心和休息区；四层为餐饮加工配套及干货特色街；五层为配套旅馆、办公区；顶层为有进口海鲜生吃区，品种多样。项目其他配套有制冰冷库等设备，电子交易信息系统，停车服务等。</w:t>
      </w:r>
    </w:p>
    <w:p>
      <w:pPr>
        <w:adjustRightInd w:val="0"/>
        <w:snapToGrid w:val="0"/>
        <w:spacing w:line="600" w:lineRule="exact"/>
        <w:jc w:val="center"/>
        <w:outlineLvl w:val="1"/>
        <w:rPr>
          <w:rFonts w:ascii="黑体" w:hAnsi="黑体" w:eastAsia="黑体" w:cs="仿宋"/>
          <w:color w:val="auto"/>
          <w:sz w:val="32"/>
          <w:szCs w:val="32"/>
        </w:rPr>
      </w:pPr>
      <w:bookmarkStart w:id="124" w:name="_Toc21921"/>
      <w:r>
        <w:rPr>
          <w:rFonts w:hint="eastAsia" w:ascii="黑体" w:hAnsi="黑体" w:eastAsia="黑体" w:cs="仿宋"/>
          <w:color w:val="auto"/>
          <w:sz w:val="32"/>
          <w:szCs w:val="32"/>
        </w:rPr>
        <w:t>第三节 高效发展现代农业</w:t>
      </w:r>
      <w:bookmarkEnd w:id="124"/>
    </w:p>
    <w:p>
      <w:pPr>
        <w:widowControl/>
        <w:adjustRightInd w:val="0"/>
        <w:snapToGrid w:val="0"/>
        <w:spacing w:line="600" w:lineRule="exact"/>
        <w:ind w:firstLine="640" w:firstLineChars="200"/>
        <w:rPr>
          <w:rFonts w:ascii="仿宋" w:hAnsi="仿宋" w:eastAsia="仿宋" w:cs="仿宋_GB2312"/>
          <w:color w:val="auto"/>
          <w:kern w:val="0"/>
          <w:sz w:val="32"/>
          <w:szCs w:val="32"/>
          <w:lang w:bidi="ar"/>
        </w:rPr>
      </w:pPr>
      <w:r>
        <w:rPr>
          <w:rFonts w:ascii="仿宋" w:hAnsi="仿宋" w:eastAsia="仿宋" w:cs="仿宋_GB2312"/>
          <w:color w:val="auto"/>
          <w:kern w:val="0"/>
          <w:sz w:val="32"/>
          <w:szCs w:val="32"/>
          <w:lang w:bidi="ar"/>
        </w:rPr>
        <w:t>充分发挥</w:t>
      </w:r>
      <w:r>
        <w:rPr>
          <w:rFonts w:hint="eastAsia" w:ascii="仿宋" w:hAnsi="仿宋" w:eastAsia="仿宋" w:cs="仿宋_GB2312"/>
          <w:color w:val="auto"/>
          <w:kern w:val="0"/>
          <w:sz w:val="32"/>
          <w:szCs w:val="32"/>
          <w:lang w:bidi="ar"/>
        </w:rPr>
        <w:t>海陵岛</w:t>
      </w:r>
      <w:r>
        <w:rPr>
          <w:rFonts w:ascii="仿宋" w:hAnsi="仿宋" w:eastAsia="仿宋" w:cs="仿宋_GB2312"/>
          <w:color w:val="auto"/>
          <w:kern w:val="0"/>
          <w:sz w:val="32"/>
          <w:szCs w:val="32"/>
          <w:lang w:bidi="ar"/>
        </w:rPr>
        <w:t>基本农田资源的优势，</w:t>
      </w:r>
      <w:r>
        <w:rPr>
          <w:rFonts w:hint="eastAsia" w:ascii="仿宋" w:hAnsi="仿宋" w:eastAsia="仿宋" w:cs="仿宋_GB2312"/>
          <w:color w:val="auto"/>
          <w:kern w:val="0"/>
          <w:sz w:val="32"/>
          <w:szCs w:val="32"/>
          <w:lang w:bidi="ar"/>
        </w:rPr>
        <w:t xml:space="preserve">推动传统农业转型升级，发展农业新业态新模式，实施数字农业计划，提升农业质量效益和竞争力。 </w:t>
      </w:r>
    </w:p>
    <w:p>
      <w:pPr>
        <w:pStyle w:val="17"/>
        <w:adjustRightInd w:val="0"/>
        <w:snapToGrid w:val="0"/>
        <w:spacing w:line="600" w:lineRule="exact"/>
        <w:ind w:left="0" w:leftChars="0" w:firstLine="643" w:firstLineChars="200"/>
        <w:rPr>
          <w:rFonts w:ascii="仿宋" w:hAnsi="仿宋" w:eastAsia="仿宋" w:cs="仿宋_GB2312"/>
          <w:b/>
          <w:bCs/>
          <w:color w:val="auto"/>
          <w:kern w:val="0"/>
          <w:sz w:val="32"/>
          <w:szCs w:val="32"/>
          <w:lang w:bidi="ar"/>
        </w:rPr>
      </w:pPr>
      <w:r>
        <w:rPr>
          <w:rFonts w:hint="eastAsia" w:ascii="仿宋" w:hAnsi="仿宋" w:eastAsia="仿宋" w:cs="仿宋"/>
          <w:b/>
          <w:bCs/>
          <w:color w:val="auto"/>
          <w:sz w:val="32"/>
          <w:szCs w:val="32"/>
        </w:rPr>
        <w:t>大力发展特色种植业。</w:t>
      </w:r>
      <w:r>
        <w:rPr>
          <w:rFonts w:hint="eastAsia" w:ascii="仿宋" w:hAnsi="仿宋" w:eastAsia="仿宋" w:cs="仿宋"/>
          <w:color w:val="auto"/>
          <w:sz w:val="32"/>
          <w:szCs w:val="32"/>
        </w:rPr>
        <w:t>积极倡导传统种植业由“生产导向”向“消费导向”转变，科学规划和促进特色蔬菜产业的发展，加快优质蔬果等特色农产品种养和供应基地建设。全力优化和推动海陵岛特色种植珍珠马蹄、无核荔枝等产业，在下朗村、观堂村、广陵村、新楼村等开展水稻种植。</w:t>
      </w:r>
    </w:p>
    <w:p>
      <w:pPr>
        <w:adjustRightInd w:val="0"/>
        <w:snapToGrid w:val="0"/>
        <w:spacing w:line="600" w:lineRule="exact"/>
        <w:ind w:firstLine="643" w:firstLineChars="200"/>
        <w:rPr>
          <w:rFonts w:ascii="仿宋" w:hAnsi="仿宋" w:eastAsia="仿宋" w:cs="仿宋_GB2312"/>
          <w:color w:val="auto"/>
          <w:kern w:val="0"/>
          <w:sz w:val="32"/>
          <w:szCs w:val="32"/>
          <w:lang w:bidi="ar"/>
        </w:rPr>
      </w:pPr>
      <w:r>
        <w:rPr>
          <w:rFonts w:hint="eastAsia" w:ascii="仿宋" w:hAnsi="仿宋" w:eastAsia="仿宋" w:cs="仿宋_GB2312"/>
          <w:b/>
          <w:bCs/>
          <w:color w:val="auto"/>
          <w:kern w:val="0"/>
          <w:sz w:val="32"/>
          <w:szCs w:val="32"/>
          <w:lang w:bidi="ar"/>
        </w:rPr>
        <w:t>做强农产品加工业。</w:t>
      </w:r>
      <w:r>
        <w:rPr>
          <w:rFonts w:hint="eastAsia" w:ascii="仿宋" w:hAnsi="仿宋" w:eastAsia="仿宋" w:cs="仿宋_GB2312"/>
          <w:color w:val="auto"/>
          <w:kern w:val="0"/>
          <w:sz w:val="32"/>
          <w:szCs w:val="32"/>
          <w:lang w:bidi="ar"/>
        </w:rPr>
        <w:t>培育一批起点高、规模大、带动力强的农产品加工龙头企业。扶持农业企业技改，推广应用土特农产品烘干加工、农产品清选分级、储运保险等设施设备，不断提高农产品加工转化率。 加强特色农产品深加工技术研究，提高农产品附加值。</w:t>
      </w:r>
    </w:p>
    <w:p>
      <w:pPr>
        <w:widowControl/>
        <w:adjustRightInd w:val="0"/>
        <w:snapToGrid w:val="0"/>
        <w:spacing w:line="600" w:lineRule="exact"/>
        <w:ind w:firstLine="643" w:firstLineChars="200"/>
        <w:rPr>
          <w:rFonts w:ascii="仿宋" w:hAnsi="仿宋" w:eastAsia="仿宋" w:cs="仿宋_GB2312"/>
          <w:b/>
          <w:bCs/>
          <w:color w:val="auto"/>
          <w:sz w:val="32"/>
          <w:szCs w:val="32"/>
        </w:rPr>
      </w:pPr>
      <w:r>
        <w:rPr>
          <w:rFonts w:hint="eastAsia" w:ascii="仿宋" w:hAnsi="仿宋" w:eastAsia="仿宋" w:cs="仿宋_GB2312"/>
          <w:b/>
          <w:bCs/>
          <w:color w:val="auto"/>
          <w:sz w:val="32"/>
          <w:szCs w:val="32"/>
        </w:rPr>
        <w:t>促进农产品流通业发展</w:t>
      </w:r>
      <w:r>
        <w:rPr>
          <w:rFonts w:hint="eastAsia" w:ascii="仿宋" w:hAnsi="仿宋" w:eastAsia="仿宋" w:cs="仿宋_GB2312"/>
          <w:color w:val="auto"/>
          <w:sz w:val="32"/>
          <w:szCs w:val="32"/>
        </w:rPr>
        <w:t>。推进电子商务进农村，建设农产品电子商务物流产业园，构建衔接农产品龙头企业、批发市场、配送中心和流通企业的新农业电子商务服务体系。</w:t>
      </w:r>
      <w:r>
        <w:rPr>
          <w:rFonts w:hint="eastAsia" w:ascii="仿宋" w:hAnsi="仿宋" w:eastAsia="仿宋" w:cs="仿宋_GB2312"/>
          <w:color w:val="auto"/>
          <w:kern w:val="0"/>
          <w:sz w:val="32"/>
          <w:szCs w:val="32"/>
          <w:lang w:bidi="ar"/>
        </w:rPr>
        <w:t xml:space="preserve"> </w:t>
      </w:r>
    </w:p>
    <w:p>
      <w:pPr>
        <w:widowControl/>
        <w:adjustRightInd w:val="0"/>
        <w:snapToGrid w:val="0"/>
        <w:spacing w:line="600" w:lineRule="exact"/>
        <w:ind w:firstLine="643" w:firstLineChars="200"/>
        <w:rPr>
          <w:rFonts w:ascii="仿宋" w:hAnsi="仿宋" w:eastAsia="仿宋"/>
          <w:color w:val="auto"/>
          <w:kern w:val="0"/>
          <w:sz w:val="32"/>
          <w:szCs w:val="32"/>
        </w:rPr>
      </w:pPr>
      <w:r>
        <w:rPr>
          <w:rFonts w:hint="eastAsia" w:ascii="仿宋" w:hAnsi="仿宋" w:eastAsia="仿宋" w:cs="仿宋_GB2312"/>
          <w:b/>
          <w:bCs/>
          <w:color w:val="auto"/>
          <w:sz w:val="32"/>
          <w:szCs w:val="32"/>
        </w:rPr>
        <w:t>推动休闲农业发展。</w:t>
      </w:r>
      <w:r>
        <w:rPr>
          <w:rFonts w:hint="eastAsia" w:ascii="仿宋" w:hAnsi="仿宋" w:eastAsia="仿宋" w:cs="仿宋_GB2312"/>
          <w:color w:val="auto"/>
          <w:sz w:val="32"/>
          <w:szCs w:val="32"/>
        </w:rPr>
        <w:t>大力发展休闲农业、田园综合体、乡村旅游、森林康养、文化创意、林下经济、农村服务业等新产业新业态发展，促进一二三产业融合发展。</w:t>
      </w:r>
      <w:r>
        <w:rPr>
          <w:rFonts w:hint="eastAsia" w:ascii="仿宋" w:hAnsi="仿宋" w:eastAsia="仿宋" w:cs="仿宋_GB2312"/>
          <w:color w:val="auto"/>
          <w:sz w:val="32"/>
          <w:szCs w:val="32"/>
          <w:lang w:val="zh-CN"/>
        </w:rPr>
        <w:t>推动乡村特色旅游业发展，以谷寮村、平兰村、山底古村、头元古村、草王山村、白蒲古村、沙村等村为主要载体，引进有实力的现代农业龙头公司、乡村民宿企业，打造一批知名乡村旅游企业和旅游特色村。</w:t>
      </w:r>
      <w:r>
        <w:rPr>
          <w:rFonts w:hint="eastAsia" w:ascii="仿宋" w:hAnsi="仿宋" w:eastAsia="仿宋" w:cs="仿宋_GB2312"/>
          <w:color w:val="auto"/>
          <w:sz w:val="32"/>
          <w:szCs w:val="32"/>
        </w:rPr>
        <w:t>打造海岛旅游的“稻”园产业，重点在下朗村、观堂村、广陵村、新楼村等村庄建构以“稻田文化+海洋文化”为主题的“田园综合体”。</w:t>
      </w:r>
    </w:p>
    <w:p>
      <w:pPr>
        <w:adjustRightInd w:val="0"/>
        <w:snapToGrid w:val="0"/>
        <w:spacing w:line="600" w:lineRule="exact"/>
        <w:ind w:firstLine="643" w:firstLineChars="200"/>
        <w:rPr>
          <w:rFonts w:ascii="仿宋" w:hAnsi="仿宋" w:eastAsia="仿宋" w:cs="仿宋_GB2312"/>
          <w:color w:val="auto"/>
          <w:kern w:val="0"/>
          <w:sz w:val="32"/>
          <w:szCs w:val="32"/>
          <w:lang w:bidi="ar"/>
        </w:rPr>
      </w:pPr>
      <w:r>
        <w:rPr>
          <w:rFonts w:hint="eastAsia" w:ascii="仿宋" w:hAnsi="仿宋" w:eastAsia="仿宋" w:cs="仿宋_GB2312"/>
          <w:b/>
          <w:bCs/>
          <w:color w:val="auto"/>
          <w:kern w:val="0"/>
          <w:sz w:val="32"/>
          <w:szCs w:val="32"/>
          <w:lang w:bidi="ar"/>
        </w:rPr>
        <w:t>实施农业品牌战略。</w:t>
      </w:r>
      <w:r>
        <w:rPr>
          <w:rFonts w:hint="eastAsia" w:ascii="仿宋" w:hAnsi="仿宋" w:eastAsia="仿宋" w:cs="仿宋_GB2312"/>
          <w:color w:val="auto"/>
          <w:kern w:val="0"/>
          <w:sz w:val="32"/>
          <w:szCs w:val="32"/>
          <w:lang w:val="zh-CN" w:bidi="ar"/>
        </w:rPr>
        <w:t>深度挖掘“拳头”农副产品，构建“一村一品、一村一特”农业发展格局。</w:t>
      </w:r>
      <w:r>
        <w:rPr>
          <w:rFonts w:hint="eastAsia" w:ascii="仿宋" w:hAnsi="仿宋" w:eastAsia="仿宋" w:cs="仿宋_GB2312"/>
          <w:color w:val="auto"/>
          <w:kern w:val="0"/>
          <w:sz w:val="32"/>
          <w:szCs w:val="32"/>
          <w:lang w:bidi="ar"/>
        </w:rPr>
        <w:t>开展农产品标准制定试点。</w:t>
      </w:r>
      <w:r>
        <w:rPr>
          <w:rFonts w:hint="eastAsia" w:ascii="仿宋" w:hAnsi="仿宋" w:eastAsia="仿宋" w:cs="仿宋_GB2312"/>
          <w:color w:val="auto"/>
          <w:kern w:val="0"/>
          <w:sz w:val="32"/>
          <w:szCs w:val="32"/>
          <w:lang w:val="zh-CN" w:bidi="ar"/>
        </w:rPr>
        <w:t>全力推动珍珠马蹄、无核荔枝</w:t>
      </w:r>
      <w:r>
        <w:rPr>
          <w:rFonts w:hint="eastAsia" w:ascii="仿宋" w:hAnsi="仿宋" w:eastAsia="仿宋" w:cs="仿宋_GB2312"/>
          <w:color w:val="auto"/>
          <w:kern w:val="0"/>
          <w:sz w:val="32"/>
          <w:szCs w:val="32"/>
          <w:lang w:bidi="ar"/>
        </w:rPr>
        <w:t>及特色海产品</w:t>
      </w:r>
      <w:r>
        <w:rPr>
          <w:rFonts w:hint="eastAsia" w:ascii="仿宋" w:hAnsi="仿宋" w:eastAsia="仿宋" w:cs="仿宋_GB2312"/>
          <w:color w:val="auto"/>
          <w:kern w:val="0"/>
          <w:sz w:val="32"/>
          <w:szCs w:val="32"/>
          <w:lang w:val="zh-CN" w:bidi="ar"/>
        </w:rPr>
        <w:t>等海陵岛特色农副产品</w:t>
      </w:r>
      <w:r>
        <w:rPr>
          <w:rFonts w:hint="eastAsia" w:ascii="仿宋" w:hAnsi="仿宋" w:eastAsia="仿宋" w:cs="仿宋_GB2312"/>
          <w:color w:val="auto"/>
          <w:kern w:val="0"/>
          <w:sz w:val="32"/>
          <w:szCs w:val="32"/>
          <w:lang w:bidi="ar"/>
        </w:rPr>
        <w:t>制定统一的认证标准和标识，并进行统一推广和</w:t>
      </w:r>
      <w:r>
        <w:rPr>
          <w:rFonts w:hint="eastAsia" w:ascii="仿宋" w:hAnsi="仿宋" w:eastAsia="仿宋" w:cs="仿宋_GB2312"/>
          <w:color w:val="auto"/>
          <w:kern w:val="0"/>
          <w:sz w:val="32"/>
          <w:szCs w:val="32"/>
          <w:lang w:val="zh-CN" w:bidi="ar"/>
        </w:rPr>
        <w:t>“三品一标”申报</w:t>
      </w:r>
      <w:r>
        <w:rPr>
          <w:rFonts w:hint="eastAsia" w:ascii="仿宋" w:hAnsi="仿宋" w:eastAsia="仿宋" w:cs="仿宋_GB2312"/>
          <w:color w:val="auto"/>
          <w:kern w:val="0"/>
          <w:sz w:val="32"/>
          <w:szCs w:val="32"/>
          <w:lang w:bidi="ar"/>
        </w:rPr>
        <w:t>。加强农副产品企业监管，不定期抽检参与试点企业的农产品品质。</w:t>
      </w:r>
    </w:p>
    <w:p>
      <w:pPr>
        <w:adjustRightInd w:val="0"/>
        <w:snapToGrid w:val="0"/>
        <w:spacing w:line="600" w:lineRule="exact"/>
        <w:ind w:firstLine="643" w:firstLineChars="200"/>
        <w:rPr>
          <w:rFonts w:ascii="仿宋" w:hAnsi="仿宋" w:eastAsia="仿宋"/>
          <w:color w:val="auto"/>
          <w:sz w:val="32"/>
          <w:szCs w:val="32"/>
        </w:rPr>
      </w:pPr>
      <w:r>
        <w:rPr>
          <w:rFonts w:hint="eastAsia" w:ascii="仿宋" w:hAnsi="仿宋" w:eastAsia="仿宋" w:cs="仿宋_GB2312"/>
          <w:b/>
          <w:bCs/>
          <w:color w:val="auto"/>
          <w:sz w:val="32"/>
          <w:szCs w:val="32"/>
        </w:rPr>
        <w:t>开展数字农业行动。</w:t>
      </w:r>
      <w:r>
        <w:rPr>
          <w:rFonts w:hint="eastAsia" w:ascii="仿宋" w:hAnsi="仿宋" w:eastAsia="仿宋" w:cs="仿宋_GB2312"/>
          <w:color w:val="auto"/>
          <w:kern w:val="0"/>
          <w:sz w:val="32"/>
          <w:szCs w:val="32"/>
          <w:lang w:bidi="ar"/>
        </w:rPr>
        <w:t>推动农业企业、农业园区、农民专业合作社、家庭农场等主体与京东、阿里巴巴等知名电商平台对接，积极对接阿里巴巴“千县万村”战略，开设淘宝特色农产品海陵岛馆。促进农业向数字化、智能化、绿色化发展，推进5G技术、大数据在种植温控、施肥浇灌、数据采集、食品安全质量检测等环节应用。</w:t>
      </w:r>
      <w:r>
        <w:rPr>
          <w:rFonts w:hint="eastAsia" w:ascii="仿宋" w:hAnsi="仿宋" w:eastAsia="仿宋" w:cs="仿宋_GB2312"/>
          <w:color w:val="auto"/>
          <w:kern w:val="0"/>
          <w:sz w:val="32"/>
          <w:szCs w:val="32"/>
          <w:lang w:val="zh-CN" w:bidi="ar"/>
        </w:rPr>
        <w:t>鼓励种养大户和企业对大田种植、畜禽养殖、渔业生产等进行物联网改造。利用RFID电子标签技术搭建农产品安全溯源系统，加强农业生产、加工、流通等流程数据共享与透明管理，实现农产品全流程可追溯。</w:t>
      </w:r>
    </w:p>
    <w:p>
      <w:pPr>
        <w:widowControl/>
        <w:jc w:val="center"/>
        <w:rPr>
          <w:rFonts w:eastAsia="方正小标宋简体"/>
          <w:b/>
          <w:bCs/>
          <w:color w:val="auto"/>
          <w:kern w:val="0"/>
          <w:sz w:val="28"/>
          <w:szCs w:val="28"/>
        </w:rPr>
      </w:pPr>
      <w:r>
        <w:rPr>
          <w:rFonts w:hint="eastAsia" w:eastAsia="方正小标宋简体"/>
          <w:b/>
          <w:bCs/>
          <w:color w:val="auto"/>
          <w:kern w:val="0"/>
          <w:sz w:val="28"/>
          <w:szCs w:val="28"/>
        </w:rPr>
        <w:t xml:space="preserve">专栏 </w:t>
      </w:r>
      <w:r>
        <w:rPr>
          <w:rFonts w:eastAsia="方正小标宋简体"/>
          <w:b/>
          <w:bCs/>
          <w:color w:val="auto"/>
          <w:kern w:val="0"/>
          <w:sz w:val="28"/>
          <w:szCs w:val="28"/>
        </w:rPr>
        <w:t xml:space="preserve"> </w:t>
      </w:r>
      <w:r>
        <w:rPr>
          <w:rFonts w:hint="eastAsia" w:eastAsia="方正小标宋简体"/>
          <w:b/>
          <w:bCs/>
          <w:color w:val="auto"/>
          <w:kern w:val="0"/>
          <w:sz w:val="28"/>
          <w:szCs w:val="28"/>
        </w:rPr>
        <w:t>海陵岛现代农业重点建设项目</w:t>
      </w:r>
    </w:p>
    <w:p>
      <w:pPr>
        <w:pBdr>
          <w:top w:val="single" w:color="auto" w:sz="4" w:space="1"/>
          <w:left w:val="single" w:color="auto" w:sz="4" w:space="4"/>
          <w:bottom w:val="single" w:color="auto" w:sz="4" w:space="1"/>
          <w:right w:val="single" w:color="auto" w:sz="4" w:space="4"/>
        </w:pBdr>
        <w:spacing w:line="360" w:lineRule="auto"/>
        <w:rPr>
          <w:rFonts w:ascii="仿宋_GB2312" w:hAnsi="等线" w:eastAsia="仿宋"/>
          <w:color w:val="auto"/>
          <w:sz w:val="24"/>
          <w:szCs w:val="30"/>
        </w:rPr>
      </w:pPr>
      <w:r>
        <w:rPr>
          <w:rFonts w:hint="eastAsia" w:ascii="仿宋" w:hAnsi="仿宋" w:eastAsia="仿宋"/>
          <w:b/>
          <w:bCs/>
          <w:color w:val="auto"/>
          <w:sz w:val="24"/>
        </w:rPr>
        <w:t>1</w:t>
      </w:r>
      <w:r>
        <w:rPr>
          <w:rFonts w:hint="eastAsia" w:ascii="仿宋_GB2312" w:hAnsi="等线" w:eastAsia="仿宋"/>
          <w:b/>
          <w:bCs/>
          <w:color w:val="auto"/>
          <w:sz w:val="24"/>
          <w:szCs w:val="30"/>
        </w:rPr>
        <w:t>. 万寿农业项目：</w:t>
      </w:r>
      <w:r>
        <w:rPr>
          <w:rFonts w:hint="eastAsia" w:ascii="仿宋_GB2312" w:hAnsi="等线" w:eastAsia="仿宋"/>
          <w:color w:val="auto"/>
          <w:sz w:val="24"/>
          <w:szCs w:val="30"/>
        </w:rPr>
        <w:t>项目位于海陵岛东部，总占地约11000亩，总投资约30亿元，2019年投资额0.13亿元。围绕“现代休闲农业与太傅庙文化旅游”，打造具有海陵岛特色的高科技农业和文化旅游名片。</w:t>
      </w:r>
    </w:p>
    <w:p>
      <w:pPr>
        <w:pBdr>
          <w:top w:val="single" w:color="auto" w:sz="4" w:space="1"/>
          <w:left w:val="single" w:color="auto" w:sz="4" w:space="4"/>
          <w:bottom w:val="single" w:color="auto" w:sz="4" w:space="1"/>
          <w:right w:val="single" w:color="auto" w:sz="4" w:space="4"/>
        </w:pBdr>
        <w:spacing w:line="360" w:lineRule="auto"/>
        <w:rPr>
          <w:rFonts w:ascii="仿宋_GB2312" w:hAnsi="等线" w:eastAsia="仿宋"/>
          <w:color w:val="auto"/>
          <w:sz w:val="24"/>
          <w:szCs w:val="30"/>
        </w:rPr>
      </w:pPr>
      <w:r>
        <w:rPr>
          <w:rFonts w:hint="eastAsia" w:ascii="仿宋_GB2312" w:hAnsi="等线" w:eastAsia="仿宋"/>
          <w:b/>
          <w:bCs/>
          <w:color w:val="auto"/>
          <w:sz w:val="24"/>
          <w:szCs w:val="30"/>
        </w:rPr>
        <w:t>2. 稻田田园综合体行动计划：</w:t>
      </w:r>
      <w:r>
        <w:rPr>
          <w:rFonts w:hint="eastAsia" w:ascii="仿宋_GB2312" w:hAnsi="等线" w:eastAsia="仿宋"/>
          <w:color w:val="auto"/>
          <w:sz w:val="24"/>
          <w:szCs w:val="30"/>
        </w:rPr>
        <w:t>依托海陵岛独特的地理、生态优势，建构以“稻田文化+海洋文化”为主题的“田园综合体”，打造海岛旅游的“稻”园产业。具体措施有：1）建设观景平台：田园综合体景区内建设观光塔、观光亭、观光平台，打造南国稻香梦；2）营造自然和人文景观：在稻田，利用数种不同颜色的水稻、科学谋划出“海陵稻香”“中国梦”“海稻船”等巨型彩色稻田画，全力打造稻田水世界、稻草人王国、热气球等景观；3）一三产有机融合：以“大地艺术”“空中观赏”“体验互动”“科普拓展”“休闲娱乐”“美术摄影”为要素，通过各产业的相互渗透和融合，以“田园综合体”为载体，把休闲农业、养生度假、文化艺术、农耕活动等有机结合起来，发挥乘法效应，推进传统农村的振兴余发展。</w:t>
      </w:r>
    </w:p>
    <w:p>
      <w:pPr>
        <w:pBdr>
          <w:top w:val="single" w:color="auto" w:sz="4" w:space="1"/>
          <w:left w:val="single" w:color="auto" w:sz="4" w:space="4"/>
          <w:bottom w:val="single" w:color="auto" w:sz="4" w:space="1"/>
          <w:right w:val="single" w:color="auto" w:sz="4" w:space="4"/>
        </w:pBdr>
        <w:spacing w:line="360" w:lineRule="auto"/>
        <w:rPr>
          <w:rFonts w:ascii="仿宋_GB2312" w:hAnsi="等线" w:eastAsia="仿宋"/>
          <w:color w:val="auto"/>
          <w:sz w:val="24"/>
          <w:szCs w:val="30"/>
        </w:rPr>
      </w:pPr>
      <w:r>
        <w:rPr>
          <w:rFonts w:hint="eastAsia" w:ascii="仿宋_GB2312" w:hAnsi="等线" w:eastAsia="仿宋"/>
          <w:b/>
          <w:bCs/>
          <w:color w:val="auto"/>
          <w:sz w:val="24"/>
          <w:szCs w:val="30"/>
        </w:rPr>
        <w:t>3. 山底古村海岛客栈民宿提升计划：</w:t>
      </w:r>
      <w:r>
        <w:rPr>
          <w:rFonts w:hint="eastAsia" w:ascii="仿宋_GB2312" w:hAnsi="等线" w:eastAsia="仿宋"/>
          <w:color w:val="auto"/>
          <w:sz w:val="24"/>
          <w:szCs w:val="30"/>
        </w:rPr>
        <w:t>山底古村坐落于海陵岛最高山峰草王山脚下，毗邻十里银滩和恒大温泉小镇，古村项目占地面积1,200亩，以古村原有屋宅为基础，建设以特色客栈主体工程及配套休闲娱乐场所。客栈外观保持乡村的原生态特征，将乡村宁静的生活环境与都市的星级酒店享受融为一体。进一步的提升行动计划包括通过科学评估古村的综合价值、开展引资合作和招聘管理团队，以岭南建筑风格强化内部装修，筹建乡村博物馆，加大力度构建农村通过自建网站、与旅游网站合作，广泛开发客源。</w:t>
      </w:r>
    </w:p>
    <w:p>
      <w:pPr>
        <w:pBdr>
          <w:top w:val="single" w:color="auto" w:sz="4" w:space="1"/>
          <w:left w:val="single" w:color="auto" w:sz="4" w:space="4"/>
          <w:bottom w:val="single" w:color="auto" w:sz="4" w:space="1"/>
          <w:right w:val="single" w:color="auto" w:sz="4" w:space="4"/>
        </w:pBdr>
        <w:spacing w:line="360" w:lineRule="auto"/>
        <w:rPr>
          <w:rFonts w:ascii="仿宋" w:hAnsi="仿宋" w:eastAsia="仿宋"/>
          <w:color w:val="auto"/>
          <w:sz w:val="32"/>
          <w:szCs w:val="32"/>
        </w:rPr>
      </w:pPr>
      <w:r>
        <w:rPr>
          <w:rFonts w:hint="eastAsia" w:ascii="仿宋_GB2312" w:hAnsi="等线" w:eastAsia="仿宋"/>
          <w:b/>
          <w:bCs/>
          <w:color w:val="auto"/>
          <w:sz w:val="24"/>
          <w:szCs w:val="30"/>
        </w:rPr>
        <w:t>4. 美丽古渔村谷寮村文化创意提振行动：</w:t>
      </w:r>
      <w:r>
        <w:rPr>
          <w:rFonts w:hint="eastAsia" w:ascii="仿宋_GB2312" w:hAnsi="等线" w:eastAsia="仿宋"/>
          <w:color w:val="auto"/>
          <w:sz w:val="24"/>
          <w:szCs w:val="30"/>
        </w:rPr>
        <w:t>谷寮村位于十里银滩旁，其历史可追溯到南宋，距今已有超过八百年的历史东西北三面环山，自然环境十分优美。通过对旧式民居进行租赁和整修，将渔村文化融入渔家特色商业街和民宿等设计当中，打造集休闲、文化、创作、交流、住宿、展示为一体的“中国美丽古渔村”文化综合体，进一步的深度开发行动计划引入美术和艺术创意产业，构建滨海艺术城的理念，推进画院、画廊、展馆等建设，定期举办艺术展，将乡村旅游和文化体验更紧密地融合。</w:t>
      </w:r>
    </w:p>
    <w:p>
      <w:pPr>
        <w:adjustRightInd w:val="0"/>
        <w:snapToGrid w:val="0"/>
        <w:spacing w:line="600" w:lineRule="exact"/>
        <w:jc w:val="center"/>
        <w:outlineLvl w:val="1"/>
        <w:rPr>
          <w:rFonts w:ascii="黑体" w:hAnsi="黑体" w:eastAsia="黑体" w:cs="仿宋"/>
          <w:color w:val="auto"/>
          <w:sz w:val="32"/>
          <w:szCs w:val="32"/>
        </w:rPr>
      </w:pPr>
      <w:bookmarkStart w:id="125" w:name="_Toc17885"/>
      <w:r>
        <w:rPr>
          <w:rFonts w:hint="eastAsia" w:ascii="黑体" w:hAnsi="黑体" w:eastAsia="黑体" w:cs="仿宋"/>
          <w:color w:val="auto"/>
          <w:sz w:val="32"/>
          <w:szCs w:val="32"/>
        </w:rPr>
        <w:t>第四节 培育海洋新兴产业</w:t>
      </w:r>
      <w:bookmarkEnd w:id="125"/>
    </w:p>
    <w:p>
      <w:pPr>
        <w:pStyle w:val="15"/>
        <w:adjustRightInd w:val="0"/>
        <w:spacing w:line="60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深入贯彻创新驱动发展战略，以科技兴海为理念，推进海洋总部经济、海洋生物医药、海水综合利用、海洋新能源等海洋战略性新兴产业发展，把海陵岛打造成为粤港澳大湾区海洋新兴产业成长新区。</w:t>
      </w:r>
    </w:p>
    <w:p>
      <w:pPr>
        <w:pStyle w:val="15"/>
        <w:adjustRightInd w:val="0"/>
        <w:spacing w:line="600" w:lineRule="exact"/>
        <w:ind w:firstLine="643" w:firstLineChars="200"/>
        <w:jc w:val="both"/>
        <w:rPr>
          <w:rFonts w:ascii="仿宋" w:hAnsi="仿宋" w:eastAsia="仿宋" w:cs="仿宋_GB2312"/>
          <w:color w:val="auto"/>
          <w:sz w:val="32"/>
          <w:szCs w:val="32"/>
        </w:rPr>
      </w:pPr>
      <w:r>
        <w:rPr>
          <w:rFonts w:hint="eastAsia" w:ascii="仿宋" w:hAnsi="仿宋" w:eastAsia="仿宋" w:cs="仿宋_GB2312"/>
          <w:b/>
          <w:bCs/>
          <w:color w:val="auto"/>
          <w:sz w:val="32"/>
          <w:szCs w:val="32"/>
        </w:rPr>
        <w:t>海洋总部经济。</w:t>
      </w:r>
      <w:r>
        <w:rPr>
          <w:rFonts w:hint="eastAsia" w:ascii="仿宋" w:hAnsi="仿宋" w:eastAsia="仿宋" w:cs="仿宋_GB2312"/>
          <w:color w:val="auto"/>
          <w:sz w:val="32"/>
          <w:szCs w:val="32"/>
        </w:rPr>
        <w:t>聚焦海岛旅游业、海洋渔业等优势产业，围绕“引进一批、培育一批、孵化一批”总部经济的发展思路，以中央南湾商务区为载体，鼓励国内外海洋经济企业把总部迁入海陵岛，重点吸引海洋科技、海洋信息、海洋商贸、海洋金融、海洋资源等总部服务型新兴经济项目入驻海陵岛。紧密围绕海岛旅游业，吸引海岛旅游相关企业总部向海陵岛集聚，吸引岛外大型企业在</w:t>
      </w:r>
      <w:r>
        <w:rPr>
          <w:rFonts w:hint="eastAsia" w:ascii="仿宋" w:hAnsi="仿宋" w:eastAsia="仿宋" w:cs="仿宋_GB2312"/>
          <w:color w:val="auto"/>
          <w:sz w:val="32"/>
          <w:szCs w:val="32"/>
          <w:lang w:eastAsia="zh-CN"/>
        </w:rPr>
        <w:t>海陵岛</w:t>
      </w:r>
      <w:r>
        <w:rPr>
          <w:rFonts w:hint="eastAsia" w:ascii="仿宋" w:hAnsi="仿宋" w:eastAsia="仿宋" w:cs="仿宋_GB2312"/>
          <w:color w:val="auto"/>
          <w:sz w:val="32"/>
          <w:szCs w:val="32"/>
        </w:rPr>
        <w:t>设立研发、设计、创意等产业链环节的职能总部。以发展海洋生物医药产业总部经济为特色，吸引国内外海洋生物医药企业区域性总部、研发中心及各类科研人才向海陵岛聚集。加快推动平台型总部经济等新兴业态在海陵岛发展壮大。引导海陵岛总部经济高端化、集约化和规模化发展，打造具有海岛特色的总部经济产业集群，把海陵岛建设成立足粤港澳大湾区、面向全世界的总部经济集聚中心。强化顶层设计，做好总部经济发展规划，加快制定符合海陵岛实际、具体可操作、更具吸引力的扶持政策体系，加大政策体系宣传推介力度。全面提升改善营商环境，成立总部经济企业服务中心，积极引进境内外知名的会计、法律、管理咨询、培训等专业服务机构，搭建服务总部经济发展的专业化支撑体系，营造总部经济良好的发展“软环境”。健全总部经济工作机制，建立海陵岛促进总部经济发展联席会议制度，协调解决总部经济发展工作中的重大问题。加强人才建设，引进总部经济高端人才，培养总部经济各重点领域急需人才，营造拴心留人的人文环境，促进总部经济人才安心海陵岛创业，扎根海陵岛发展。</w:t>
      </w:r>
    </w:p>
    <w:p>
      <w:pPr>
        <w:widowControl/>
        <w:jc w:val="center"/>
        <w:rPr>
          <w:rFonts w:eastAsia="方正小标宋简体"/>
          <w:b/>
          <w:bCs/>
          <w:color w:val="auto"/>
          <w:kern w:val="0"/>
          <w:sz w:val="28"/>
          <w:szCs w:val="28"/>
        </w:rPr>
      </w:pPr>
      <w:r>
        <w:rPr>
          <w:rFonts w:hint="eastAsia" w:eastAsia="方正小标宋简体"/>
          <w:b/>
          <w:bCs/>
          <w:color w:val="auto"/>
          <w:kern w:val="0"/>
          <w:sz w:val="28"/>
          <w:szCs w:val="28"/>
        </w:rPr>
        <w:t xml:space="preserve">专栏 </w:t>
      </w:r>
      <w:r>
        <w:rPr>
          <w:rFonts w:eastAsia="方正小标宋简体"/>
          <w:b/>
          <w:bCs/>
          <w:color w:val="auto"/>
          <w:kern w:val="0"/>
          <w:sz w:val="28"/>
          <w:szCs w:val="28"/>
        </w:rPr>
        <w:t xml:space="preserve"> </w:t>
      </w:r>
      <w:r>
        <w:rPr>
          <w:rFonts w:hint="eastAsia" w:eastAsia="方正小标宋简体"/>
          <w:b/>
          <w:bCs/>
          <w:color w:val="auto"/>
          <w:kern w:val="0"/>
          <w:sz w:val="28"/>
          <w:szCs w:val="28"/>
        </w:rPr>
        <w:t>海陵岛海洋总部经济重点建设项目</w:t>
      </w:r>
    </w:p>
    <w:p>
      <w:pPr>
        <w:pBdr>
          <w:top w:val="single" w:color="auto" w:sz="4" w:space="1"/>
          <w:left w:val="single" w:color="auto" w:sz="4" w:space="4"/>
          <w:bottom w:val="single" w:color="auto" w:sz="4" w:space="1"/>
          <w:right w:val="single" w:color="auto" w:sz="4" w:space="4"/>
        </w:pBdr>
        <w:spacing w:line="360" w:lineRule="auto"/>
        <w:rPr>
          <w:rFonts w:ascii="仿宋" w:hAnsi="仿宋" w:eastAsia="仿宋" w:cs="仿宋_GB2312"/>
          <w:color w:val="auto"/>
          <w:sz w:val="32"/>
          <w:szCs w:val="32"/>
        </w:rPr>
      </w:pPr>
      <w:r>
        <w:rPr>
          <w:rFonts w:hint="eastAsia" w:ascii="仿宋_GB2312" w:hAnsi="等线" w:eastAsia="仿宋"/>
          <w:b/>
          <w:bCs/>
          <w:color w:val="auto"/>
          <w:sz w:val="24"/>
          <w:szCs w:val="30"/>
        </w:rPr>
        <w:t>1. 海陵中央南湾项目：</w:t>
      </w:r>
      <w:r>
        <w:rPr>
          <w:rFonts w:hint="eastAsia" w:ascii="仿宋_GB2312" w:hAnsi="等线" w:eastAsia="仿宋"/>
          <w:color w:val="auto"/>
          <w:sz w:val="24"/>
          <w:szCs w:val="30"/>
        </w:rPr>
        <w:t>建设国际旅游门户区、滨海核心商务园区、风情购物商区、康养度假社区以及乐活配套社区等。项目占地总面积约506公顷，可建设用地373公顷。</w:t>
      </w:r>
    </w:p>
    <w:p>
      <w:pPr>
        <w:pStyle w:val="15"/>
        <w:adjustRightInd w:val="0"/>
        <w:spacing w:line="600" w:lineRule="exact"/>
        <w:ind w:firstLine="643" w:firstLineChars="200"/>
        <w:jc w:val="both"/>
        <w:rPr>
          <w:rFonts w:ascii="仿宋" w:hAnsi="仿宋" w:eastAsia="仿宋" w:cs="仿宋_GB2312"/>
          <w:color w:val="auto"/>
          <w:sz w:val="32"/>
          <w:szCs w:val="32"/>
        </w:rPr>
      </w:pPr>
      <w:r>
        <w:rPr>
          <w:rFonts w:hint="eastAsia" w:ascii="仿宋" w:hAnsi="仿宋" w:eastAsia="仿宋" w:cs="仿宋_GB2312"/>
          <w:b/>
          <w:bCs/>
          <w:color w:val="auto"/>
          <w:sz w:val="32"/>
          <w:szCs w:val="32"/>
        </w:rPr>
        <w:t>海洋生物医药。</w:t>
      </w:r>
      <w:r>
        <w:rPr>
          <w:rFonts w:hint="eastAsia" w:ascii="仿宋" w:hAnsi="仿宋" w:eastAsia="仿宋" w:cs="仿宋_GB2312"/>
          <w:color w:val="auto"/>
          <w:sz w:val="32"/>
          <w:szCs w:val="32"/>
        </w:rPr>
        <w:t>发挥海陵岛海洋生物资源特色优势，在海洋基因技术、海洋生物工程技术、海洋药物与保健品等产业细分领域实现突破，重点发展海洋生物活性物质的高效分离提取、海洋生物质转化、海洋微生物资源与基因组学等技术，开发抗肿瘤、抗心血管疾病、抗糖尿病等海洋创新药物，以及基于海洋活性物质的化妆品、保健食品和医药产品。</w:t>
      </w:r>
    </w:p>
    <w:p>
      <w:pPr>
        <w:widowControl/>
        <w:jc w:val="center"/>
        <w:rPr>
          <w:rFonts w:eastAsia="方正小标宋简体"/>
          <w:b/>
          <w:bCs/>
          <w:color w:val="auto"/>
          <w:kern w:val="0"/>
          <w:sz w:val="28"/>
          <w:szCs w:val="28"/>
        </w:rPr>
      </w:pPr>
      <w:r>
        <w:rPr>
          <w:rFonts w:hint="eastAsia" w:eastAsia="方正小标宋简体"/>
          <w:b/>
          <w:bCs/>
          <w:color w:val="auto"/>
          <w:kern w:val="0"/>
          <w:sz w:val="28"/>
          <w:szCs w:val="28"/>
        </w:rPr>
        <w:t xml:space="preserve">专栏 </w:t>
      </w:r>
      <w:r>
        <w:rPr>
          <w:rFonts w:eastAsia="方正小标宋简体"/>
          <w:b/>
          <w:bCs/>
          <w:color w:val="auto"/>
          <w:kern w:val="0"/>
          <w:sz w:val="28"/>
          <w:szCs w:val="28"/>
        </w:rPr>
        <w:t xml:space="preserve"> </w:t>
      </w:r>
      <w:r>
        <w:rPr>
          <w:rFonts w:hint="eastAsia" w:eastAsia="方正小标宋简体"/>
          <w:b/>
          <w:bCs/>
          <w:color w:val="auto"/>
          <w:kern w:val="0"/>
          <w:sz w:val="28"/>
          <w:szCs w:val="28"/>
        </w:rPr>
        <w:t>海陵药业</w:t>
      </w:r>
    </w:p>
    <w:p>
      <w:pPr>
        <w:pBdr>
          <w:top w:val="single" w:color="auto" w:sz="4" w:space="1"/>
          <w:left w:val="single" w:color="auto" w:sz="4" w:space="4"/>
          <w:bottom w:val="single" w:color="auto" w:sz="4" w:space="1"/>
          <w:right w:val="single" w:color="auto" w:sz="4" w:space="4"/>
        </w:pBdr>
        <w:spacing w:line="360" w:lineRule="auto"/>
        <w:rPr>
          <w:rFonts w:ascii="仿宋" w:hAnsi="仿宋" w:eastAsia="仿宋"/>
          <w:b/>
          <w:bCs/>
          <w:color w:val="auto"/>
          <w:sz w:val="32"/>
          <w:szCs w:val="32"/>
        </w:rPr>
      </w:pPr>
      <w:r>
        <w:rPr>
          <w:rFonts w:hint="eastAsia" w:ascii="仿宋_GB2312" w:hAnsi="等线" w:eastAsia="仿宋"/>
          <w:color w:val="auto"/>
          <w:sz w:val="24"/>
          <w:szCs w:val="30"/>
        </w:rPr>
        <w:t>海陵药业是一家以海洋生物制药和海洋生物保健品为主导，集研发、生产、销售一体的民营科技企业。海陵药业的前身是广东省阳江市（国营）闸坡鱼肝油厂，具有30多年的历史。2003年6月，由三家民营企业出资收购，完成了股份制改造。海陵药业总投资5000万元，固定资产投资3800万元，占地面积约10万平方米，目前拥有OTC药品和保健品共二十几个品种规格，年产值超亿元。海陵药业总部设在广东省阳江市，分别在海陵岛、珠海设立了药品生产基地、保健品生产基地、海洋生物研究所(与湛江海洋大学合建)、科技营销公司，并在全国十一个省、市设立了分公司和办事处。药品生产基地已经通过国家 GMP 认证。</w:t>
      </w:r>
    </w:p>
    <w:p>
      <w:pPr>
        <w:pStyle w:val="15"/>
        <w:adjustRightInd w:val="0"/>
        <w:spacing w:line="600" w:lineRule="exact"/>
        <w:ind w:firstLine="643" w:firstLineChars="200"/>
        <w:jc w:val="both"/>
        <w:rPr>
          <w:rFonts w:ascii="仿宋" w:hAnsi="仿宋" w:eastAsia="仿宋" w:cs="仿宋_GB2312"/>
          <w:color w:val="auto"/>
          <w:sz w:val="32"/>
          <w:szCs w:val="32"/>
        </w:rPr>
      </w:pPr>
      <w:r>
        <w:rPr>
          <w:rFonts w:hint="eastAsia" w:ascii="仿宋" w:hAnsi="仿宋" w:eastAsia="仿宋" w:cs="仿宋_GB2312"/>
          <w:b/>
          <w:bCs/>
          <w:color w:val="auto"/>
          <w:sz w:val="32"/>
          <w:szCs w:val="32"/>
        </w:rPr>
        <w:t>海水综合利用。</w:t>
      </w:r>
      <w:r>
        <w:rPr>
          <w:rFonts w:hint="eastAsia" w:ascii="仿宋" w:hAnsi="仿宋" w:eastAsia="仿宋" w:cs="仿宋_GB2312"/>
          <w:color w:val="auto"/>
          <w:sz w:val="32"/>
          <w:szCs w:val="32"/>
        </w:rPr>
        <w:t>发挥海陵岛海水资源优势，重点发展海水淡化、海水直接利用和海水化学资源综合利用等产业。重点发展海岛居民大生活用水、海水循环冷却、工业生产用水等技术。推进海水矿产化学资源利用研究，建立多数化学元素的综合开发利用技术科技产业。研究推进海水淡化基础设施建设，提高产业化规模和创新能力，降低海水淡化成本。规划建设海水淡化综合基地，积极引进海水综合利用科研机构、海水淡化关键设备制造、工程服务和投资企业，搭建以产学研合作、军民融合、校地合作为主题的海水综合利用技术平台、服务平台和产业平台。</w:t>
      </w:r>
    </w:p>
    <w:p>
      <w:pPr>
        <w:pStyle w:val="15"/>
        <w:adjustRightInd w:val="0"/>
        <w:spacing w:line="600" w:lineRule="exact"/>
        <w:ind w:firstLine="643" w:firstLineChars="200"/>
        <w:jc w:val="both"/>
        <w:rPr>
          <w:rFonts w:ascii="仿宋" w:hAnsi="仿宋" w:eastAsia="仿宋" w:cs="仿宋_GB2312"/>
          <w:color w:val="auto"/>
          <w:sz w:val="32"/>
          <w:szCs w:val="32"/>
        </w:rPr>
      </w:pPr>
      <w:r>
        <w:rPr>
          <w:rFonts w:hint="eastAsia" w:ascii="仿宋" w:hAnsi="仿宋" w:eastAsia="仿宋" w:cs="仿宋_GB2312"/>
          <w:b/>
          <w:bCs/>
          <w:color w:val="auto"/>
          <w:sz w:val="32"/>
          <w:szCs w:val="32"/>
        </w:rPr>
        <w:t>海洋新能源。</w:t>
      </w:r>
      <w:r>
        <w:rPr>
          <w:rFonts w:hint="eastAsia" w:ascii="仿宋" w:hAnsi="仿宋" w:eastAsia="仿宋" w:cs="仿宋_GB2312"/>
          <w:color w:val="auto"/>
          <w:sz w:val="32"/>
          <w:szCs w:val="32"/>
        </w:rPr>
        <w:t>以国电阳江海陵岛风力发电项目、海陵风电等项目为载体，集聚新能源制造企业、科研机构和服务机构，实现能源工业转型升级。制定海洋能源开发利用规划，支持海洋风能、波浪能、潮汐潮流能关键技术研发。鼓励实施以海洋能源发电为主，结合海水淡化和节能减排等综合利用项目，开展海洋生物质能技术研究开发和示范应用推广。支持海洋石油、天然气和天然气水合物勘探开发。</w:t>
      </w:r>
    </w:p>
    <w:p>
      <w:pPr>
        <w:widowControl/>
        <w:jc w:val="center"/>
        <w:rPr>
          <w:rFonts w:eastAsia="方正小标宋简体"/>
          <w:b/>
          <w:bCs/>
          <w:color w:val="auto"/>
          <w:kern w:val="0"/>
          <w:sz w:val="28"/>
          <w:szCs w:val="28"/>
        </w:rPr>
      </w:pPr>
      <w:r>
        <w:rPr>
          <w:rFonts w:hint="eastAsia" w:eastAsia="方正小标宋简体"/>
          <w:b/>
          <w:bCs/>
          <w:color w:val="auto"/>
          <w:kern w:val="0"/>
          <w:sz w:val="28"/>
          <w:szCs w:val="28"/>
        </w:rPr>
        <w:t xml:space="preserve">专栏 </w:t>
      </w:r>
      <w:r>
        <w:rPr>
          <w:rFonts w:eastAsia="方正小标宋简体"/>
          <w:b/>
          <w:bCs/>
          <w:color w:val="auto"/>
          <w:kern w:val="0"/>
          <w:sz w:val="28"/>
          <w:szCs w:val="28"/>
        </w:rPr>
        <w:t xml:space="preserve"> </w:t>
      </w:r>
      <w:r>
        <w:rPr>
          <w:rFonts w:hint="eastAsia" w:eastAsia="方正小标宋简体"/>
          <w:b/>
          <w:bCs/>
          <w:color w:val="auto"/>
          <w:kern w:val="0"/>
          <w:sz w:val="28"/>
          <w:szCs w:val="28"/>
        </w:rPr>
        <w:t>海陵岛海洋新能源项目</w:t>
      </w:r>
    </w:p>
    <w:p>
      <w:pPr>
        <w:pBdr>
          <w:top w:val="single" w:color="auto" w:sz="4" w:space="1"/>
          <w:left w:val="single" w:color="auto" w:sz="4" w:space="4"/>
          <w:bottom w:val="single" w:color="auto" w:sz="4" w:space="1"/>
          <w:right w:val="single" w:color="auto" w:sz="4" w:space="4"/>
        </w:pBdr>
        <w:spacing w:line="360" w:lineRule="auto"/>
        <w:rPr>
          <w:rFonts w:ascii="方正小标宋简体" w:eastAsia="方正小标宋简体" w:cs="仿宋" w:hAnsiTheme="minorEastAsia"/>
          <w:color w:val="auto"/>
          <w:spacing w:val="-12"/>
          <w:sz w:val="32"/>
          <w:szCs w:val="32"/>
        </w:rPr>
      </w:pPr>
      <w:r>
        <w:rPr>
          <w:rFonts w:hint="eastAsia" w:ascii="仿宋_GB2312" w:hAnsi="等线" w:eastAsia="仿宋"/>
          <w:b/>
          <w:bCs/>
          <w:color w:val="auto"/>
          <w:sz w:val="24"/>
          <w:szCs w:val="30"/>
        </w:rPr>
        <w:t>国电阳江海陵岛风力发电有限公司项目：</w:t>
      </w:r>
      <w:r>
        <w:rPr>
          <w:rFonts w:hint="eastAsia" w:ascii="仿宋_GB2312" w:hAnsi="等线" w:eastAsia="仿宋"/>
          <w:color w:val="auto"/>
          <w:sz w:val="24"/>
          <w:szCs w:val="30"/>
        </w:rPr>
        <w:t xml:space="preserve">国电阳江海陵岛风力发电有限公司是中国国电集团公司南方分公司在广东的第一个投产发电项目，是中国国电集公司控股的全资子公司。公司于2009年11月26日在广东省阳江市注册成立，一期工程33台780KW型风机，总装机容量2.574万KW，已全部投产发电。二期东岛项目设计装机24台2000KW型风机，总装机容量4.8万KW。同时，国电阳江海陵岛风力发电有限公司积极在阳江市开发新能源项目。 </w:t>
      </w:r>
    </w:p>
    <w:p>
      <w:pPr>
        <w:adjustRightInd w:val="0"/>
        <w:snapToGrid w:val="0"/>
        <w:spacing w:line="600" w:lineRule="exact"/>
        <w:jc w:val="center"/>
        <w:outlineLvl w:val="0"/>
        <w:rPr>
          <w:rFonts w:hint="eastAsia" w:ascii="方正小标宋简体" w:eastAsia="方正小标宋简体" w:cs="仿宋" w:hAnsiTheme="minorEastAsia"/>
          <w:color w:val="auto"/>
          <w:spacing w:val="-12"/>
          <w:sz w:val="32"/>
          <w:szCs w:val="32"/>
        </w:rPr>
      </w:pPr>
      <w:bookmarkStart w:id="126" w:name="_Toc32243"/>
      <w:r>
        <w:rPr>
          <w:rFonts w:hint="eastAsia" w:ascii="方正小标宋简体" w:eastAsia="方正小标宋简体" w:cs="仿宋" w:hAnsiTheme="minorEastAsia"/>
          <w:color w:val="auto"/>
          <w:spacing w:val="-12"/>
          <w:sz w:val="32"/>
          <w:szCs w:val="32"/>
        </w:rPr>
        <w:t xml:space="preserve">第六章 </w:t>
      </w:r>
      <w:r>
        <w:rPr>
          <w:rFonts w:hint="eastAsia" w:ascii="方正小标宋简体" w:eastAsia="方正小标宋简体" w:cs="仿宋" w:hAnsiTheme="minorEastAsia"/>
          <w:color w:val="auto"/>
          <w:spacing w:val="-12"/>
          <w:sz w:val="32"/>
          <w:szCs w:val="32"/>
          <w:lang w:eastAsia="zh-CN"/>
        </w:rPr>
        <w:t>高效畅通“内循环”</w:t>
      </w:r>
      <w:r>
        <w:rPr>
          <w:rFonts w:hint="eastAsia" w:ascii="方正小标宋简体" w:eastAsia="方正小标宋简体" w:cs="仿宋" w:hAnsiTheme="minorEastAsia"/>
          <w:color w:val="auto"/>
          <w:spacing w:val="-12"/>
          <w:sz w:val="32"/>
          <w:szCs w:val="32"/>
        </w:rPr>
        <w:t>，</w:t>
      </w:r>
      <w:r>
        <w:rPr>
          <w:rFonts w:hint="eastAsia" w:ascii="方正小标宋简体" w:eastAsia="方正小标宋简体" w:cs="仿宋" w:hAnsiTheme="minorEastAsia"/>
          <w:color w:val="auto"/>
          <w:spacing w:val="-12"/>
          <w:sz w:val="32"/>
          <w:szCs w:val="32"/>
          <w:lang w:eastAsia="zh-CN"/>
        </w:rPr>
        <w:t>加快构建</w:t>
      </w:r>
      <w:r>
        <w:rPr>
          <w:rFonts w:hint="eastAsia" w:ascii="方正小标宋简体" w:eastAsia="方正小标宋简体" w:cs="仿宋" w:hAnsiTheme="minorEastAsia"/>
          <w:color w:val="auto"/>
          <w:spacing w:val="-12"/>
          <w:sz w:val="32"/>
          <w:szCs w:val="32"/>
        </w:rPr>
        <w:t>“双循环”新发展格局</w:t>
      </w:r>
      <w:bookmarkEnd w:id="126"/>
    </w:p>
    <w:p>
      <w:pPr>
        <w:adjustRightInd w:val="0"/>
        <w:snapToGrid w:val="0"/>
        <w:spacing w:line="6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围绕构建“双循环”</w:t>
      </w:r>
      <w:r>
        <w:rPr>
          <w:rFonts w:hint="eastAsia" w:ascii="仿宋" w:hAnsi="仿宋" w:eastAsia="仿宋" w:cs="仿宋_GB2312"/>
          <w:color w:val="auto"/>
          <w:sz w:val="32"/>
          <w:szCs w:val="32"/>
          <w:lang w:eastAsia="zh-CN"/>
        </w:rPr>
        <w:t>新</w:t>
      </w:r>
      <w:r>
        <w:rPr>
          <w:rFonts w:hint="eastAsia" w:ascii="仿宋" w:hAnsi="仿宋" w:eastAsia="仿宋" w:cs="仿宋_GB2312"/>
          <w:color w:val="auto"/>
          <w:sz w:val="32"/>
          <w:szCs w:val="32"/>
        </w:rPr>
        <w:t>发展格局，坚持扩大内需战略基点，聚焦挖掘内需增长潜力，发挥投资的关键作用和消费的基础作用，对冲经济下行压力，积蓄发展内生动能。</w:t>
      </w:r>
    </w:p>
    <w:p>
      <w:pPr>
        <w:adjustRightInd w:val="0"/>
        <w:snapToGrid w:val="0"/>
        <w:spacing w:line="600" w:lineRule="exact"/>
        <w:jc w:val="center"/>
        <w:outlineLvl w:val="1"/>
        <w:rPr>
          <w:rFonts w:ascii="黑体" w:hAnsi="黑体" w:eastAsia="黑体" w:cs="仿宋"/>
          <w:color w:val="auto"/>
          <w:sz w:val="32"/>
          <w:szCs w:val="32"/>
        </w:rPr>
      </w:pPr>
      <w:bookmarkStart w:id="127" w:name="_Toc4734"/>
      <w:r>
        <w:rPr>
          <w:rFonts w:hint="eastAsia" w:ascii="黑体" w:hAnsi="黑体" w:eastAsia="黑体" w:cs="仿宋"/>
          <w:color w:val="auto"/>
          <w:sz w:val="32"/>
          <w:szCs w:val="32"/>
        </w:rPr>
        <w:t>第一节 聚力扩大有效投资</w:t>
      </w:r>
      <w:bookmarkEnd w:id="127"/>
    </w:p>
    <w:p>
      <w:pPr>
        <w:adjustRightInd w:val="0"/>
        <w:snapToGrid w:val="0"/>
        <w:spacing w:line="6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发挥投资对经济增长的关键作用，谋划推动新型基础设施、新型城镇化和交通、能源等重大工程投资“两新一重”投资项目，扩大基础设施、民生建设、产业升级领域等领域有效投资。</w:t>
      </w:r>
    </w:p>
    <w:p>
      <w:pPr>
        <w:adjustRightInd w:val="0"/>
        <w:snapToGrid w:val="0"/>
        <w:spacing w:line="600" w:lineRule="exact"/>
        <w:ind w:firstLine="643" w:firstLineChars="200"/>
        <w:rPr>
          <w:rFonts w:ascii="仿宋" w:hAnsi="仿宋" w:eastAsia="仿宋" w:cs="仿宋_GB2312"/>
          <w:color w:val="auto"/>
          <w:sz w:val="32"/>
          <w:szCs w:val="32"/>
        </w:rPr>
      </w:pPr>
      <w:r>
        <w:rPr>
          <w:rFonts w:hint="eastAsia" w:ascii="仿宋" w:hAnsi="仿宋" w:eastAsia="仿宋" w:cs="仿宋_GB2312"/>
          <w:b/>
          <w:color w:val="auto"/>
          <w:sz w:val="32"/>
          <w:szCs w:val="32"/>
        </w:rPr>
        <w:t>扩大新型基础设施建设投资。</w:t>
      </w:r>
      <w:r>
        <w:rPr>
          <w:rFonts w:hint="eastAsia" w:ascii="仿宋" w:hAnsi="仿宋" w:eastAsia="仿宋" w:cs="仿宋_GB2312"/>
          <w:color w:val="auto"/>
          <w:sz w:val="32"/>
          <w:szCs w:val="32"/>
        </w:rPr>
        <w:t>加快建设5G基站、特高压、新能源汽车充电设施、大数据中心等新型基础设施建设。积极推进传统基础设施智能化升级改造，加快5G、大数据、云计算、人工智能等信息基础设施与交通、能源、水利等基础设施融合发展，加快学校、医院、景区等公共基础设施智能化改造，建设智慧学校、智慧医院和智慧景区。</w:t>
      </w:r>
    </w:p>
    <w:p>
      <w:pPr>
        <w:adjustRightInd w:val="0"/>
        <w:snapToGrid w:val="0"/>
        <w:spacing w:line="600" w:lineRule="exact"/>
        <w:ind w:firstLine="643" w:firstLineChars="200"/>
        <w:rPr>
          <w:rFonts w:ascii="仿宋" w:hAnsi="仿宋" w:eastAsia="仿宋" w:cs="仿宋_GB2312"/>
          <w:color w:val="auto"/>
          <w:sz w:val="32"/>
          <w:szCs w:val="32"/>
        </w:rPr>
      </w:pPr>
      <w:r>
        <w:rPr>
          <w:rFonts w:hint="eastAsia" w:ascii="仿宋" w:hAnsi="仿宋" w:eastAsia="仿宋" w:cs="仿宋_GB2312"/>
          <w:b/>
          <w:bCs/>
          <w:color w:val="auto"/>
          <w:sz w:val="32"/>
          <w:szCs w:val="32"/>
        </w:rPr>
        <w:t>扩大新型城镇化投资。</w:t>
      </w:r>
      <w:r>
        <w:rPr>
          <w:rFonts w:hint="eastAsia" w:ascii="仿宋" w:hAnsi="仿宋" w:eastAsia="仿宋" w:cs="仿宋_GB2312"/>
          <w:color w:val="auto"/>
          <w:sz w:val="32"/>
          <w:szCs w:val="32"/>
        </w:rPr>
        <w:t>更好发挥政府有效投资作用，释放新型城镇化投资潜力。加快推进三旧改造和城市更新，改造一批老旧小区、老旧厂区和老旧街区，支持存量住房开展加装电梯等改造提升，改善老旧住房居住条件进一步盘活工业用地、居住用地和商业用地。健全市政公用设施，加快建设公园、停车场、体育馆、医院等城镇生活配套设施，完善垃圾无害化处理设施和污水集中处理设施，推动水电气路网等配套设施建设。</w:t>
      </w:r>
    </w:p>
    <w:p>
      <w:pPr>
        <w:adjustRightInd w:val="0"/>
        <w:snapToGrid w:val="0"/>
        <w:spacing w:line="600" w:lineRule="exact"/>
        <w:ind w:firstLine="643" w:firstLineChars="200"/>
        <w:rPr>
          <w:rFonts w:ascii="仿宋" w:hAnsi="仿宋" w:eastAsia="仿宋"/>
          <w:color w:val="auto"/>
          <w:sz w:val="32"/>
          <w:szCs w:val="32"/>
        </w:rPr>
      </w:pPr>
      <w:r>
        <w:rPr>
          <w:rFonts w:hint="eastAsia" w:ascii="仿宋" w:hAnsi="仿宋" w:eastAsia="仿宋"/>
          <w:b/>
          <w:bCs/>
          <w:color w:val="auto"/>
          <w:sz w:val="32"/>
          <w:szCs w:val="32"/>
        </w:rPr>
        <w:t>着力保障重大项目投资</w:t>
      </w:r>
      <w:r>
        <w:rPr>
          <w:rFonts w:hint="eastAsia" w:ascii="仿宋" w:hAnsi="仿宋" w:eastAsia="仿宋"/>
          <w:color w:val="auto"/>
          <w:sz w:val="32"/>
          <w:szCs w:val="32"/>
        </w:rPr>
        <w:t>。</w:t>
      </w:r>
      <w:r>
        <w:rPr>
          <w:rFonts w:ascii="仿宋" w:hAnsi="仿宋" w:eastAsia="仿宋"/>
          <w:color w:val="auto"/>
          <w:sz w:val="32"/>
          <w:szCs w:val="32"/>
        </w:rPr>
        <w:t>加快</w:t>
      </w:r>
      <w:r>
        <w:rPr>
          <w:rFonts w:hint="eastAsia" w:ascii="仿宋" w:hAnsi="仿宋" w:eastAsia="仿宋"/>
          <w:color w:val="auto"/>
          <w:sz w:val="32"/>
          <w:szCs w:val="32"/>
        </w:rPr>
        <w:t>顺峰</w:t>
      </w:r>
      <w:r>
        <w:rPr>
          <w:rFonts w:ascii="仿宋" w:hAnsi="仿宋" w:eastAsia="仿宋"/>
          <w:color w:val="auto"/>
          <w:sz w:val="32"/>
          <w:szCs w:val="32"/>
        </w:rPr>
        <w:t>悦榕庄酒店、</w:t>
      </w:r>
      <w:r>
        <w:rPr>
          <w:rFonts w:hint="eastAsia" w:ascii="仿宋" w:hAnsi="仿宋" w:eastAsia="仿宋"/>
          <w:color w:val="auto"/>
          <w:sz w:val="32"/>
          <w:szCs w:val="32"/>
        </w:rPr>
        <w:t>敏捷</w:t>
      </w:r>
      <w:r>
        <w:rPr>
          <w:rFonts w:ascii="仿宋" w:hAnsi="仿宋" w:eastAsia="仿宋"/>
          <w:color w:val="auto"/>
          <w:sz w:val="32"/>
          <w:szCs w:val="32"/>
        </w:rPr>
        <w:t>喜来登酒店</w:t>
      </w:r>
      <w:r>
        <w:rPr>
          <w:rFonts w:hint="eastAsia" w:ascii="仿宋" w:hAnsi="仿宋" w:eastAsia="仿宋"/>
          <w:color w:val="auto"/>
          <w:sz w:val="32"/>
          <w:szCs w:val="32"/>
        </w:rPr>
        <w:t>、</w:t>
      </w:r>
      <w:r>
        <w:rPr>
          <w:rFonts w:ascii="仿宋" w:hAnsi="仿宋" w:eastAsia="仿宋"/>
          <w:color w:val="auto"/>
          <w:sz w:val="32"/>
          <w:szCs w:val="32"/>
        </w:rPr>
        <w:t>万豪</w:t>
      </w:r>
      <w:r>
        <w:rPr>
          <w:rFonts w:hint="eastAsia" w:ascii="仿宋" w:hAnsi="仿宋" w:eastAsia="仿宋"/>
          <w:color w:val="auto"/>
          <w:sz w:val="32"/>
          <w:szCs w:val="32"/>
        </w:rPr>
        <w:t>酒店和</w:t>
      </w:r>
      <w:r>
        <w:rPr>
          <w:rFonts w:ascii="仿宋" w:hAnsi="仿宋" w:eastAsia="仿宋"/>
          <w:color w:val="auto"/>
          <w:sz w:val="32"/>
          <w:szCs w:val="32"/>
        </w:rPr>
        <w:t>万怡酒店等海陵岛高端国际连锁酒店群建设。全力推进万豪、恒大、敏捷、保利顺峰（北洛湾）、京汉、碧桂园、闸坡美丽渔港等项目</w:t>
      </w:r>
      <w:r>
        <w:rPr>
          <w:rFonts w:hint="eastAsia" w:ascii="仿宋" w:hAnsi="仿宋" w:eastAsia="仿宋"/>
          <w:color w:val="auto"/>
          <w:sz w:val="32"/>
          <w:szCs w:val="32"/>
        </w:rPr>
        <w:t>建设</w:t>
      </w:r>
      <w:r>
        <w:rPr>
          <w:rFonts w:ascii="仿宋" w:hAnsi="仿宋" w:eastAsia="仿宋"/>
          <w:color w:val="auto"/>
          <w:sz w:val="32"/>
          <w:szCs w:val="32"/>
        </w:rPr>
        <w:t>。加大招商预备项目对接洽谈力度</w:t>
      </w:r>
      <w:r>
        <w:rPr>
          <w:rFonts w:hint="eastAsia" w:ascii="仿宋" w:hAnsi="仿宋" w:eastAsia="仿宋"/>
          <w:color w:val="auto"/>
          <w:sz w:val="32"/>
          <w:szCs w:val="32"/>
        </w:rPr>
        <w:t>。</w:t>
      </w:r>
      <w:r>
        <w:rPr>
          <w:rFonts w:ascii="仿宋" w:hAnsi="仿宋" w:eastAsia="仿宋"/>
          <w:color w:val="auto"/>
          <w:sz w:val="32"/>
          <w:szCs w:val="32"/>
        </w:rPr>
        <w:t>做好海陵中央南湾项目、国际篮球村、宋城千古情演艺小镇、游艇</w:t>
      </w:r>
      <w:r>
        <w:rPr>
          <w:rFonts w:hint="eastAsia" w:ascii="仿宋" w:hAnsi="仿宋" w:eastAsia="仿宋"/>
          <w:color w:val="auto"/>
          <w:sz w:val="32"/>
          <w:szCs w:val="32"/>
        </w:rPr>
        <w:t>基地项目、海陵岛通用机场</w:t>
      </w:r>
      <w:r>
        <w:rPr>
          <w:rFonts w:ascii="仿宋" w:hAnsi="仿宋" w:eastAsia="仿宋"/>
          <w:color w:val="auto"/>
          <w:sz w:val="32"/>
          <w:szCs w:val="32"/>
        </w:rPr>
        <w:t>等预备项目的对接洽谈工作。</w:t>
      </w:r>
      <w:r>
        <w:rPr>
          <w:rFonts w:hint="eastAsia" w:ascii="仿宋" w:hAnsi="仿宋" w:eastAsia="仿宋"/>
          <w:color w:val="auto"/>
          <w:sz w:val="32"/>
          <w:szCs w:val="32"/>
        </w:rPr>
        <w:t>围绕滨海旅游、现代渔业等海陵岛重点产业为主攻方向，重点面向粤港澳大湾区，强化招商引资力度，开展驻点招商、乡贤招商、中介招商、以商招商，引进一批投资额大、产业关联度高、带动力强的重大项目。坚持“要素跟着项目走”，确保储备项目按计划开工建设，土地和规划指标优先保障项目。</w:t>
      </w:r>
    </w:p>
    <w:p>
      <w:pPr>
        <w:adjustRightInd w:val="0"/>
        <w:snapToGrid w:val="0"/>
        <w:spacing w:line="600" w:lineRule="exact"/>
        <w:ind w:firstLine="643" w:firstLineChars="200"/>
        <w:rPr>
          <w:rFonts w:hint="eastAsia" w:ascii="仿宋" w:hAnsi="仿宋" w:eastAsia="仿宋" w:cs="仿宋_GB2312"/>
          <w:color w:val="auto"/>
          <w:sz w:val="32"/>
          <w:szCs w:val="32"/>
        </w:rPr>
      </w:pPr>
      <w:r>
        <w:rPr>
          <w:rFonts w:hint="eastAsia" w:ascii="仿宋" w:hAnsi="仿宋" w:eastAsia="仿宋" w:cs="仿宋_GB2312"/>
          <w:b/>
          <w:bCs/>
          <w:color w:val="auto"/>
          <w:sz w:val="32"/>
          <w:szCs w:val="32"/>
        </w:rPr>
        <w:t>创新投融资保障机制。</w:t>
      </w:r>
      <w:r>
        <w:rPr>
          <w:rFonts w:hint="eastAsia" w:ascii="仿宋" w:hAnsi="仿宋" w:eastAsia="仿宋" w:cs="仿宋_GB2312"/>
          <w:color w:val="auto"/>
          <w:sz w:val="32"/>
          <w:szCs w:val="32"/>
        </w:rPr>
        <w:t>争取发行海陵岛地方政府专项债，探索推进基础设施领域不动产投资信托基金（REITs）试点，进一步推广政府和社会资本合作（PPP）模式，支持跨区域的基础设施、新兴产业发展等重点领域项目的建设。鼓励国家开发银行等各类金融机构通过市场化渠道，给海陵岛投资的重点投资项目提供金融支持。</w:t>
      </w:r>
    </w:p>
    <w:p>
      <w:pPr>
        <w:pStyle w:val="2"/>
      </w:pPr>
    </w:p>
    <w:p>
      <w:pPr>
        <w:adjustRightInd w:val="0"/>
        <w:snapToGrid w:val="0"/>
        <w:spacing w:line="600" w:lineRule="exact"/>
        <w:jc w:val="center"/>
        <w:outlineLvl w:val="1"/>
        <w:rPr>
          <w:rFonts w:ascii="黑体" w:hAnsi="黑体" w:eastAsia="黑体" w:cs="仿宋"/>
          <w:color w:val="auto"/>
          <w:sz w:val="32"/>
          <w:szCs w:val="32"/>
        </w:rPr>
      </w:pPr>
      <w:bookmarkStart w:id="128" w:name="_Toc59331233"/>
      <w:bookmarkStart w:id="129" w:name="_Toc22762"/>
      <w:r>
        <w:rPr>
          <w:rFonts w:hint="eastAsia" w:ascii="黑体" w:hAnsi="黑体" w:eastAsia="黑体" w:cs="仿宋"/>
          <w:color w:val="auto"/>
          <w:sz w:val="32"/>
          <w:szCs w:val="32"/>
        </w:rPr>
        <w:t>第二节 稳步扩大消费需求</w:t>
      </w:r>
      <w:bookmarkEnd w:id="128"/>
      <w:bookmarkEnd w:id="129"/>
    </w:p>
    <w:p>
      <w:pPr>
        <w:adjustRightInd w:val="0"/>
        <w:snapToGrid w:val="0"/>
        <w:spacing w:line="6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立足扩大内需战略基点，增强消费对海陵岛经济发展的基础性作用，顺应消费升级趋势，提升传统消费，培育新型消费，打造消费内循环新格局。</w:t>
      </w:r>
    </w:p>
    <w:p>
      <w:pPr>
        <w:adjustRightInd w:val="0"/>
        <w:snapToGrid w:val="0"/>
        <w:spacing w:line="600" w:lineRule="exact"/>
        <w:ind w:firstLine="643" w:firstLineChars="200"/>
        <w:rPr>
          <w:rFonts w:ascii="仿宋" w:hAnsi="仿宋" w:eastAsia="仿宋" w:cs="仿宋_GB2312"/>
          <w:bCs/>
          <w:color w:val="auto"/>
          <w:sz w:val="32"/>
          <w:szCs w:val="32"/>
        </w:rPr>
      </w:pPr>
      <w:r>
        <w:rPr>
          <w:rFonts w:hint="eastAsia" w:ascii="仿宋" w:hAnsi="仿宋" w:eastAsia="仿宋" w:cs="仿宋_GB2312"/>
          <w:b/>
          <w:color w:val="auto"/>
          <w:sz w:val="32"/>
          <w:szCs w:val="32"/>
        </w:rPr>
        <w:t>打造消费升级平台。</w:t>
      </w:r>
      <w:r>
        <w:rPr>
          <w:rFonts w:hint="eastAsia" w:ascii="仿宋" w:hAnsi="仿宋" w:eastAsia="仿宋" w:cs="仿宋_GB2312"/>
          <w:bCs/>
          <w:color w:val="auto"/>
          <w:sz w:val="32"/>
          <w:szCs w:val="32"/>
        </w:rPr>
        <w:t>以闸坡镇和南部滨海旅游区为基础，依托闸坡渔港等重点商圈和商业街，着力打造城区主要消费商圈，推进商务区、步行街改造提升，创建市级示范特色步行街。积极推进大型零售商业网点、商务区、步行街高端化特色化发展，引进国内外知名品牌，包装网红“打卡”新地标，打造一批集购物、餐饮、住宿、娱乐、生活体验等功能于一体的大型商贸综合体，建设阳江消费经济集聚区。</w:t>
      </w:r>
    </w:p>
    <w:p>
      <w:pPr>
        <w:pStyle w:val="6"/>
        <w:adjustRightInd w:val="0"/>
        <w:snapToGrid w:val="0"/>
        <w:spacing w:line="600" w:lineRule="exact"/>
        <w:ind w:firstLine="643"/>
        <w:rPr>
          <w:rFonts w:ascii="仿宋" w:hAnsi="仿宋" w:eastAsia="仿宋" w:cs="仿宋_GB2312"/>
          <w:bCs/>
          <w:color w:val="auto"/>
          <w:sz w:val="32"/>
          <w:szCs w:val="32"/>
        </w:rPr>
      </w:pPr>
      <w:r>
        <w:rPr>
          <w:rFonts w:hint="eastAsia" w:ascii="仿宋" w:hAnsi="仿宋" w:eastAsia="仿宋" w:cs="仿宋_GB2312"/>
          <w:b/>
          <w:color w:val="auto"/>
          <w:sz w:val="32"/>
          <w:szCs w:val="32"/>
        </w:rPr>
        <w:t>培育消费新业态新模式。</w:t>
      </w:r>
      <w:r>
        <w:rPr>
          <w:rFonts w:hint="eastAsia" w:ascii="仿宋" w:hAnsi="仿宋" w:eastAsia="仿宋" w:cs="仿宋_GB2312"/>
          <w:bCs/>
          <w:color w:val="auto"/>
          <w:sz w:val="32"/>
          <w:szCs w:val="32"/>
        </w:rPr>
        <w:t>着力巩固餐饮、零售等传统消费业态，大力培育线上消费、定制消费、体验消费、时尚消费、绿色消费、智能消费、康养消费等新兴消费增长点，加快培育“线上+线下”消费模式，促进传统消费提质增效。加大引进中高端消费资源，进一步放宽消费品市场准入限制，探索建立国际消费品超市和海陵岛免税城，促进消费回流。</w:t>
      </w:r>
    </w:p>
    <w:p>
      <w:pPr>
        <w:adjustRightInd w:val="0"/>
        <w:snapToGrid w:val="0"/>
        <w:spacing w:line="600" w:lineRule="exact"/>
        <w:ind w:firstLine="643" w:firstLineChars="200"/>
        <w:rPr>
          <w:rFonts w:ascii="仿宋" w:hAnsi="仿宋" w:eastAsia="仿宋" w:cs="仿宋_GB2312"/>
          <w:bCs/>
          <w:color w:val="auto"/>
          <w:sz w:val="32"/>
          <w:szCs w:val="32"/>
        </w:rPr>
      </w:pPr>
      <w:r>
        <w:rPr>
          <w:rFonts w:hint="eastAsia" w:ascii="仿宋" w:hAnsi="仿宋" w:eastAsia="仿宋" w:cs="仿宋_GB2312"/>
          <w:b/>
          <w:color w:val="auto"/>
          <w:sz w:val="32"/>
          <w:szCs w:val="32"/>
        </w:rPr>
        <w:t>发展夜间经济。</w:t>
      </w:r>
      <w:r>
        <w:rPr>
          <w:rFonts w:hint="eastAsia" w:ascii="仿宋" w:hAnsi="仿宋" w:eastAsia="仿宋" w:cs="仿宋_GB2312"/>
          <w:bCs/>
          <w:color w:val="auto"/>
          <w:sz w:val="32"/>
          <w:szCs w:val="32"/>
        </w:rPr>
        <w:t>加强夜间旅游等夜间经济业态发展，促进夜间消费发展。鼓励建设一批夜游标志性场景、打卡地，美化城市夜间形象，开发夜间旅游消费“打卡”地。积极推动4A级以上景区根据实际条件延长开放时间。支持各类景区打造夜间消费文化艺术载体，</w:t>
      </w:r>
      <w:r>
        <w:rPr>
          <w:rFonts w:hint="eastAsia" w:ascii="仿宋" w:hAnsi="仿宋" w:eastAsia="仿宋" w:cs="仿宋_GB2312"/>
          <w:color w:val="auto"/>
          <w:sz w:val="32"/>
          <w:szCs w:val="32"/>
        </w:rPr>
        <w:t>策划组织电影、歌剧、音乐、读书等主题鲜明的文化休闲活动，打造形成一站式综合性消费平台。</w:t>
      </w:r>
      <w:r>
        <w:rPr>
          <w:rFonts w:hint="eastAsia" w:ascii="仿宋" w:hAnsi="仿宋" w:eastAsia="仿宋" w:cs="仿宋_GB2312"/>
          <w:bCs/>
          <w:color w:val="auto"/>
          <w:sz w:val="32"/>
          <w:szCs w:val="32"/>
        </w:rPr>
        <w:t>学习借鉴广州、深圳等城市夜间经济发展经验，打造集购物消费、休闲旅游、文化展示等一体化多层次的夜间经济。</w:t>
      </w:r>
    </w:p>
    <w:p>
      <w:pPr>
        <w:adjustRightInd w:val="0"/>
        <w:snapToGrid w:val="0"/>
        <w:spacing w:line="600" w:lineRule="exact"/>
        <w:ind w:firstLine="643" w:firstLineChars="200"/>
        <w:rPr>
          <w:rFonts w:ascii="仿宋" w:hAnsi="仿宋" w:eastAsia="仿宋" w:cs="仿宋_GB2312"/>
          <w:bCs/>
          <w:color w:val="auto"/>
          <w:sz w:val="32"/>
          <w:szCs w:val="32"/>
        </w:rPr>
      </w:pPr>
      <w:r>
        <w:rPr>
          <w:rFonts w:hint="eastAsia" w:ascii="仿宋" w:hAnsi="仿宋" w:eastAsia="仿宋" w:cs="仿宋"/>
          <w:b/>
          <w:color w:val="auto"/>
          <w:sz w:val="32"/>
          <w:szCs w:val="32"/>
        </w:rPr>
        <w:t>挖掘居民消费潜力。</w:t>
      </w:r>
      <w:r>
        <w:rPr>
          <w:rFonts w:hint="eastAsia" w:ascii="仿宋" w:hAnsi="仿宋" w:eastAsia="仿宋" w:cs="仿宋_GB2312"/>
          <w:bCs/>
          <w:color w:val="auto"/>
          <w:sz w:val="32"/>
          <w:szCs w:val="32"/>
        </w:rPr>
        <w:t>实施“乐购海陵”活动，探索推进汽车等支柱型消费品补贴政策和消费券政策，打造“一村一品”网红直播带货品牌。鼓励和支持消费新业态新模式向农村市场拓展，鼓励和引导农村居民增加交通通信、文化娱乐、汽车消费等。加快建立完善乡村物流体系，推动电商、快递进农村，适时实施家电下乡、汽车下乡等活动，支持绿色、智能家电销售和农村汽车更新换代，促进消费市场下沉。</w:t>
      </w:r>
    </w:p>
    <w:p>
      <w:pPr>
        <w:adjustRightInd w:val="0"/>
        <w:snapToGrid w:val="0"/>
        <w:spacing w:line="600" w:lineRule="exact"/>
        <w:jc w:val="center"/>
        <w:outlineLvl w:val="1"/>
        <w:rPr>
          <w:rFonts w:ascii="黑体" w:hAnsi="黑体" w:eastAsia="黑体" w:cs="仿宋"/>
          <w:color w:val="auto"/>
          <w:sz w:val="32"/>
          <w:szCs w:val="32"/>
        </w:rPr>
      </w:pPr>
      <w:bookmarkStart w:id="130" w:name="_Toc3518"/>
      <w:bookmarkStart w:id="131" w:name="_Toc5324"/>
      <w:bookmarkStart w:id="132" w:name="_Toc58582833"/>
      <w:bookmarkStart w:id="133" w:name="_Toc32465"/>
      <w:bookmarkStart w:id="134" w:name="_Toc59331234"/>
      <w:bookmarkStart w:id="135" w:name="_Toc2609"/>
      <w:r>
        <w:rPr>
          <w:rFonts w:hint="eastAsia" w:ascii="黑体" w:hAnsi="黑体" w:eastAsia="黑体" w:cs="仿宋"/>
          <w:color w:val="auto"/>
          <w:sz w:val="32"/>
          <w:szCs w:val="32"/>
        </w:rPr>
        <w:t>第三节 深度参与国际国内双循环</w:t>
      </w:r>
      <w:bookmarkEnd w:id="130"/>
      <w:bookmarkEnd w:id="131"/>
      <w:bookmarkEnd w:id="132"/>
      <w:bookmarkEnd w:id="133"/>
      <w:bookmarkEnd w:id="134"/>
      <w:bookmarkEnd w:id="135"/>
    </w:p>
    <w:p>
      <w:pPr>
        <w:adjustRightInd w:val="0"/>
        <w:snapToGrid w:val="0"/>
        <w:spacing w:line="600" w:lineRule="exact"/>
        <w:ind w:firstLine="640" w:firstLineChars="200"/>
        <w:rPr>
          <w:rFonts w:ascii="仿宋" w:hAnsi="仿宋" w:eastAsia="仿宋" w:cs="仿宋_GB2312"/>
          <w:b/>
          <w:bCs/>
          <w:color w:val="auto"/>
          <w:sz w:val="32"/>
          <w:szCs w:val="32"/>
        </w:rPr>
      </w:pPr>
      <w:r>
        <w:rPr>
          <w:rFonts w:hint="eastAsia" w:ascii="仿宋" w:hAnsi="仿宋" w:eastAsia="仿宋" w:cs="仿宋_GB2312"/>
          <w:bCs/>
          <w:color w:val="auto"/>
          <w:sz w:val="32"/>
          <w:szCs w:val="32"/>
        </w:rPr>
        <w:t>依托我国超大规模市场优势，利用国内国际两个市场两种资源，立足国内大循环，协同推进国际大循环，畅通国际国内投资贸易双循环，进一步融入新发展格局。</w:t>
      </w:r>
      <w:bookmarkStart w:id="136" w:name="_Toc25818"/>
      <w:bookmarkStart w:id="137" w:name="_Toc58582834"/>
      <w:bookmarkStart w:id="138" w:name="_Toc59331235"/>
      <w:bookmarkStart w:id="139" w:name="_Toc19498"/>
      <w:bookmarkStart w:id="140" w:name="_Toc18548"/>
    </w:p>
    <w:bookmarkEnd w:id="136"/>
    <w:bookmarkEnd w:id="137"/>
    <w:bookmarkEnd w:id="138"/>
    <w:bookmarkEnd w:id="139"/>
    <w:bookmarkEnd w:id="140"/>
    <w:p>
      <w:pPr>
        <w:adjustRightInd w:val="0"/>
        <w:snapToGrid w:val="0"/>
        <w:spacing w:line="600" w:lineRule="exact"/>
        <w:ind w:firstLine="643" w:firstLineChars="200"/>
        <w:rPr>
          <w:rFonts w:ascii="仿宋" w:hAnsi="仿宋" w:eastAsia="仿宋" w:cs="仿宋_GB2312"/>
          <w:color w:val="auto"/>
          <w:sz w:val="32"/>
          <w:szCs w:val="32"/>
        </w:rPr>
      </w:pPr>
      <w:bookmarkStart w:id="141" w:name="OLE_LINK47"/>
      <w:r>
        <w:rPr>
          <w:rFonts w:hint="eastAsia" w:ascii="仿宋" w:hAnsi="仿宋" w:eastAsia="仿宋" w:cs="仿宋_GB2312"/>
          <w:b/>
          <w:bCs/>
          <w:color w:val="auto"/>
          <w:sz w:val="32"/>
          <w:szCs w:val="32"/>
        </w:rPr>
        <w:t>畅通投资双循环。</w:t>
      </w:r>
      <w:bookmarkEnd w:id="141"/>
      <w:r>
        <w:rPr>
          <w:rFonts w:hint="eastAsia" w:ascii="仿宋" w:hAnsi="仿宋" w:eastAsia="仿宋" w:cs="仿宋_GB2312"/>
          <w:color w:val="auto"/>
          <w:sz w:val="32"/>
          <w:szCs w:val="32"/>
        </w:rPr>
        <w:t>贯彻实施“准入前国民待遇+负面清单”外商投资管理模式，进一步扩大旅游、医疗、文化等领域对外资开放力度。围绕建链、补链、延链、强链，鼓励引进休闲旅游、医疗卫生、健康养老、节能环保、再生能源、节水农业等外商投资项目。加强与商务部投资事务促进局、国际贸易促进会等外经贸组织以及各类阳江海外商会对接，编制重点国家和地区外资招商图谱。鼓励海陵岛海洋渔业等领域龙头企业积极拓展东盟、中东等“一带一路”沿线重点区域，推动海陵岛农渔产品走出去。鼓励远洋渔业机构做大做强，建设现代化远洋渔业船队，支持涉海企业“走出去”参与远洋渔业基地、码头、修船厂、加工厂以及旅游设施的综合开发。</w:t>
      </w:r>
    </w:p>
    <w:p>
      <w:pPr>
        <w:adjustRightInd w:val="0"/>
        <w:snapToGrid w:val="0"/>
        <w:spacing w:line="600" w:lineRule="exact"/>
        <w:ind w:firstLine="643" w:firstLineChars="200"/>
        <w:rPr>
          <w:rFonts w:ascii="仿宋" w:hAnsi="仿宋" w:eastAsia="仿宋" w:cs="仿宋_GB2312"/>
          <w:color w:val="auto"/>
          <w:sz w:val="32"/>
          <w:szCs w:val="32"/>
        </w:rPr>
      </w:pPr>
      <w:r>
        <w:rPr>
          <w:rFonts w:hint="eastAsia" w:ascii="仿宋" w:hAnsi="仿宋" w:eastAsia="仿宋" w:cs="仿宋_GB2312"/>
          <w:b/>
          <w:bCs/>
          <w:color w:val="auto"/>
          <w:sz w:val="32"/>
          <w:szCs w:val="32"/>
        </w:rPr>
        <w:t>畅通贸易双循环。</w:t>
      </w:r>
      <w:r>
        <w:rPr>
          <w:rFonts w:hint="eastAsia" w:ascii="仿宋" w:hAnsi="仿宋" w:eastAsia="仿宋" w:cs="仿宋_GB2312"/>
          <w:bCs/>
          <w:color w:val="auto"/>
          <w:sz w:val="32"/>
          <w:szCs w:val="32"/>
        </w:rPr>
        <w:t>加大外贸企业扶持力度，组织海陵岛企业参与“粤贸全球”计划，在巩固欧美等传统市场基础上拓展东盟、俄罗斯、拉美、非洲等“一带一路”沿线新兴市场，鼓励参加中国-东盟博览会、中国-亚欧博览会、进博会等大型展贸活动，拓展产品外销市场。</w:t>
      </w:r>
      <w:r>
        <w:rPr>
          <w:rFonts w:hint="eastAsia" w:ascii="仿宋" w:hAnsi="仿宋" w:eastAsia="仿宋" w:cs="仿宋_GB2312"/>
          <w:color w:val="auto"/>
          <w:sz w:val="32"/>
          <w:szCs w:val="32"/>
        </w:rPr>
        <w:t>支持各类外贸企业在境外设立海陵岛产品展销中心、海外仓等跨境商贸平台，培育跨境电商、市场采购贸易、跨境电子商务、外贸综合服务企业等外贸新业态，挖掘外贸进出口新增长点。支持外贸企业出口转内销，引导企业精准对接国内市场消费升级需求，研发适销对路的内销产品。</w:t>
      </w:r>
      <w:r>
        <w:rPr>
          <w:rFonts w:hint="eastAsia" w:ascii="仿宋" w:hAnsi="仿宋" w:eastAsia="仿宋" w:cs="仿宋_GB2312"/>
          <w:bCs/>
          <w:color w:val="auto"/>
          <w:sz w:val="32"/>
          <w:szCs w:val="32"/>
        </w:rPr>
        <w:t>深化与阿里巴巴、京东、拼多多、抖音等国内大型电商平台合作，鼓励市场主体借助电商平台、直播电商等新兴方式，提升拓展网上销售能力。</w:t>
      </w:r>
      <w:r>
        <w:rPr>
          <w:rFonts w:hint="eastAsia" w:ascii="仿宋" w:hAnsi="仿宋" w:eastAsia="仿宋" w:cs="仿宋_GB2312"/>
          <w:color w:val="auto"/>
          <w:sz w:val="32"/>
          <w:szCs w:val="32"/>
        </w:rPr>
        <w:t>稳定和扩大先进技术设备、原材料及群众需求量大的产品和服务进口。</w:t>
      </w:r>
    </w:p>
    <w:p>
      <w:pPr>
        <w:adjustRightInd w:val="0"/>
        <w:snapToGrid w:val="0"/>
        <w:spacing w:line="600" w:lineRule="exact"/>
        <w:ind w:firstLine="643" w:firstLineChars="200"/>
        <w:rPr>
          <w:color w:val="auto"/>
        </w:rPr>
      </w:pPr>
      <w:r>
        <w:rPr>
          <w:rFonts w:hint="eastAsia" w:ascii="仿宋" w:hAnsi="仿宋" w:eastAsia="仿宋" w:cs="仿宋_GB2312"/>
          <w:b/>
          <w:bCs/>
          <w:color w:val="auto"/>
          <w:sz w:val="32"/>
          <w:szCs w:val="32"/>
        </w:rPr>
        <w:t>拓展国际合作交流网络。</w:t>
      </w:r>
      <w:r>
        <w:rPr>
          <w:rFonts w:hint="eastAsia" w:ascii="仿宋" w:hAnsi="仿宋" w:eastAsia="仿宋" w:cs="仿宋_GB2312"/>
          <w:color w:val="auto"/>
          <w:sz w:val="32"/>
          <w:szCs w:val="32"/>
        </w:rPr>
        <w:t>对标国际标准，加强与夏威夷岛、塞班岛等国际知名旅游岛合作，深化管理模式、人才交流、文化传播等领域交流互鉴。通过各类节庆活动、体育赛事、考察对接、品牌宣传等方式持续对外推介海陵岛，不断提升区域品牌影响力。加强与“21世纪海上丝绸之路”沿线区域在海洋公共服务、海事管理、海上搜救、海洋防灾减灾、海上执法等海洋事务领域合作，共同维护海上安全。鼓励涉海企业、民间机构在海洋科学研究、生态保护、教育培训、技术推广、文化宣传等领域加强对外合作。</w:t>
      </w:r>
    </w:p>
    <w:p>
      <w:pPr>
        <w:adjustRightInd w:val="0"/>
        <w:snapToGrid w:val="0"/>
        <w:spacing w:line="600" w:lineRule="exact"/>
        <w:jc w:val="center"/>
        <w:outlineLvl w:val="0"/>
        <w:rPr>
          <w:rFonts w:ascii="方正小标宋简体" w:eastAsia="方正小标宋简体" w:cs="仿宋" w:hAnsiTheme="minorEastAsia"/>
          <w:color w:val="auto"/>
          <w:spacing w:val="-12"/>
          <w:sz w:val="32"/>
          <w:szCs w:val="32"/>
        </w:rPr>
      </w:pPr>
      <w:bookmarkStart w:id="142" w:name="_Toc30379"/>
      <w:r>
        <w:rPr>
          <w:rFonts w:hint="eastAsia" w:ascii="方正小标宋简体" w:eastAsia="方正小标宋简体" w:cs="仿宋" w:hAnsiTheme="minorEastAsia"/>
          <w:color w:val="auto"/>
          <w:spacing w:val="-12"/>
          <w:sz w:val="32"/>
          <w:szCs w:val="32"/>
        </w:rPr>
        <w:t>第七章 推动基础设施建设，夯实经济社会发展基石</w:t>
      </w:r>
      <w:bookmarkEnd w:id="92"/>
      <w:bookmarkEnd w:id="142"/>
    </w:p>
    <w:p>
      <w:pPr>
        <w:adjustRightInd w:val="0"/>
        <w:snapToGrid w:val="0"/>
        <w:spacing w:line="600" w:lineRule="exact"/>
        <w:ind w:firstLine="640" w:firstLineChars="200"/>
        <w:rPr>
          <w:rFonts w:ascii="仿宋" w:hAnsi="仿宋" w:eastAsia="仿宋"/>
          <w:color w:val="auto"/>
          <w:sz w:val="32"/>
          <w:szCs w:val="32"/>
        </w:rPr>
      </w:pPr>
      <w:bookmarkStart w:id="143" w:name="_Toc9547"/>
      <w:r>
        <w:rPr>
          <w:rFonts w:hint="eastAsia" w:ascii="仿宋" w:hAnsi="仿宋" w:eastAsia="仿宋"/>
          <w:color w:val="auto"/>
          <w:sz w:val="32"/>
          <w:szCs w:val="32"/>
        </w:rPr>
        <w:t>按照优化提升、适度超前的原则，统筹推进海陵岛交通、能源、水利基础设施建设，形成布局合理、衔接顺畅、分工协作、管理协同的基础设施体系。</w:t>
      </w:r>
    </w:p>
    <w:p>
      <w:pPr>
        <w:adjustRightInd w:val="0"/>
        <w:snapToGrid w:val="0"/>
        <w:spacing w:line="600" w:lineRule="exact"/>
        <w:jc w:val="center"/>
        <w:outlineLvl w:val="1"/>
        <w:rPr>
          <w:rFonts w:ascii="黑体" w:hAnsi="黑体" w:eastAsia="黑体" w:cs="仿宋"/>
          <w:color w:val="auto"/>
          <w:sz w:val="32"/>
          <w:szCs w:val="32"/>
        </w:rPr>
      </w:pPr>
      <w:bookmarkStart w:id="144" w:name="_Toc18046"/>
      <w:r>
        <w:rPr>
          <w:rFonts w:hint="eastAsia" w:ascii="黑体" w:hAnsi="黑体" w:eastAsia="黑体" w:cs="仿宋"/>
          <w:color w:val="auto"/>
          <w:sz w:val="32"/>
          <w:szCs w:val="32"/>
        </w:rPr>
        <w:t>第一节 建设现代综合交通体系</w:t>
      </w:r>
      <w:bookmarkEnd w:id="143"/>
      <w:bookmarkEnd w:id="144"/>
    </w:p>
    <w:p>
      <w:pPr>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主动融入广东沿海经济带和阳江城市总体布局，加快推进</w:t>
      </w:r>
      <w:bookmarkStart w:id="145" w:name="OLE_LINK30"/>
      <w:r>
        <w:rPr>
          <w:rFonts w:hint="eastAsia" w:ascii="仿宋" w:hAnsi="仿宋" w:eastAsia="仿宋" w:cs="仿宋_GB2312"/>
          <w:sz w:val="32"/>
          <w:szCs w:val="32"/>
        </w:rPr>
        <w:t>“一机场两码头三隧道三环岛四纵线”的全域旅游交通路网建设</w:t>
      </w:r>
      <w:bookmarkEnd w:id="145"/>
      <w:r>
        <w:rPr>
          <w:rFonts w:hint="eastAsia" w:ascii="仿宋" w:hAnsi="仿宋" w:eastAsia="仿宋" w:cs="仿宋_GB2312"/>
          <w:sz w:val="32"/>
          <w:szCs w:val="32"/>
        </w:rPr>
        <w:t>，打造海陆空兼备的立体交通网络，与阳江市中心形成半小时优质生活圈。</w:t>
      </w:r>
    </w:p>
    <w:p>
      <w:pPr>
        <w:adjustRightInd w:val="0"/>
        <w:snapToGrid w:val="0"/>
        <w:spacing w:line="600" w:lineRule="exact"/>
        <w:ind w:firstLine="643" w:firstLineChars="200"/>
        <w:rPr>
          <w:rFonts w:ascii="仿宋" w:hAnsi="仿宋" w:eastAsia="仿宋" w:cs="仿宋_GB2312"/>
          <w:b/>
          <w:bCs/>
          <w:sz w:val="32"/>
          <w:szCs w:val="32"/>
        </w:rPr>
      </w:pPr>
      <w:bookmarkStart w:id="146" w:name="OLE_LINK49"/>
      <w:r>
        <w:rPr>
          <w:rFonts w:hint="eastAsia" w:ascii="仿宋" w:hAnsi="仿宋" w:eastAsia="仿宋" w:cs="仿宋_GB2312"/>
          <w:b/>
          <w:bCs/>
          <w:sz w:val="32"/>
          <w:szCs w:val="32"/>
        </w:rPr>
        <w:t>完善岛内交通路网体系。</w:t>
      </w:r>
      <w:r>
        <w:rPr>
          <w:rFonts w:hint="eastAsia" w:ascii="仿宋" w:hAnsi="仿宋" w:eastAsia="仿宋" w:cs="仿宋_GB2312"/>
          <w:sz w:val="32"/>
          <w:szCs w:val="32"/>
        </w:rPr>
        <w:t>加快推动广东滨海旅游公路</w:t>
      </w:r>
      <w:r>
        <w:rPr>
          <w:rFonts w:hint="eastAsia" w:ascii="仿宋" w:hAnsi="仿宋" w:eastAsia="仿宋" w:cs="仿宋_GB2312"/>
          <w:sz w:val="32"/>
          <w:szCs w:val="32"/>
          <w:lang w:eastAsia="zh-CN"/>
        </w:rPr>
        <w:t>建设，重点推进</w:t>
      </w:r>
      <w:r>
        <w:rPr>
          <w:rFonts w:hint="eastAsia" w:ascii="仿宋" w:hAnsi="仿宋" w:eastAsia="仿宋" w:cs="仿宋_GB2312"/>
          <w:sz w:val="32"/>
          <w:szCs w:val="32"/>
        </w:rPr>
        <w:t>海陵岛支线南海Ⅰ号立交桥工程</w:t>
      </w:r>
      <w:r>
        <w:rPr>
          <w:rFonts w:hint="eastAsia" w:ascii="仿宋" w:hAnsi="仿宋" w:eastAsia="仿宋" w:cs="仿宋_GB2312"/>
          <w:sz w:val="32"/>
          <w:szCs w:val="32"/>
          <w:lang w:eastAsia="zh-CN"/>
        </w:rPr>
        <w:t>、</w:t>
      </w:r>
      <w:r>
        <w:rPr>
          <w:rFonts w:hint="eastAsia" w:ascii="仿宋" w:hAnsi="仿宋" w:eastAsia="仿宋" w:cs="仿宋_GB2312"/>
          <w:sz w:val="32"/>
          <w:szCs w:val="32"/>
        </w:rPr>
        <w:t>广东滨海旅游公路海陵岛支线华山隧道工程</w:t>
      </w:r>
      <w:r>
        <w:rPr>
          <w:rFonts w:hint="eastAsia" w:ascii="仿宋" w:hAnsi="仿宋" w:eastAsia="仿宋" w:cs="仿宋_GB2312"/>
          <w:sz w:val="32"/>
          <w:szCs w:val="32"/>
          <w:lang w:eastAsia="zh-CN"/>
        </w:rPr>
        <w:t>、</w:t>
      </w:r>
      <w:r>
        <w:rPr>
          <w:rFonts w:hint="eastAsia" w:ascii="仿宋" w:hAnsi="仿宋" w:eastAsia="仿宋" w:cs="仿宋_GB2312"/>
          <w:sz w:val="32"/>
          <w:szCs w:val="32"/>
        </w:rPr>
        <w:t>广东滨海旅游公路海陵岛支线环岛路(岛东线)工程。</w:t>
      </w:r>
      <w:r>
        <w:rPr>
          <w:rFonts w:ascii="仿宋" w:hAnsi="仿宋" w:eastAsia="仿宋" w:cs="仿宋_GB2312"/>
          <w:sz w:val="32"/>
          <w:szCs w:val="32"/>
        </w:rPr>
        <w:t>推进</w:t>
      </w:r>
      <w:r>
        <w:rPr>
          <w:rFonts w:hint="eastAsia" w:ascii="仿宋" w:hAnsi="仿宋" w:eastAsia="仿宋" w:cs="仿宋_GB2312"/>
          <w:sz w:val="32"/>
          <w:szCs w:val="32"/>
        </w:rPr>
        <w:t>海陵岛北湾路工程</w:t>
      </w:r>
      <w:r>
        <w:rPr>
          <w:rFonts w:hint="eastAsia" w:ascii="仿宋" w:hAnsi="仿宋" w:eastAsia="仿宋" w:cs="仿宋_GB2312"/>
          <w:sz w:val="32"/>
          <w:szCs w:val="32"/>
          <w:lang w:eastAsia="zh-CN"/>
        </w:rPr>
        <w:t>、</w:t>
      </w:r>
      <w:r>
        <w:rPr>
          <w:rFonts w:hint="eastAsia" w:ascii="仿宋" w:hAnsi="仿宋" w:eastAsia="仿宋" w:cs="仿宋_GB2312"/>
          <w:sz w:val="32"/>
          <w:szCs w:val="32"/>
        </w:rPr>
        <w:t>海陵岛白雪路工程</w:t>
      </w:r>
      <w:r>
        <w:rPr>
          <w:rFonts w:hint="eastAsia" w:ascii="仿宋" w:hAnsi="仿宋" w:eastAsia="仿宋" w:cs="仿宋_GB2312"/>
          <w:sz w:val="32"/>
          <w:szCs w:val="32"/>
          <w:lang w:eastAsia="zh-CN"/>
        </w:rPr>
        <w:t>、</w:t>
      </w:r>
      <w:r>
        <w:rPr>
          <w:rFonts w:hint="eastAsia" w:ascii="仿宋" w:hAnsi="仿宋" w:eastAsia="仿宋" w:cs="仿宋_GB2312"/>
          <w:sz w:val="32"/>
          <w:szCs w:val="32"/>
        </w:rPr>
        <w:t>海陵岛达港东路工程</w:t>
      </w:r>
      <w:r>
        <w:rPr>
          <w:rFonts w:ascii="仿宋" w:hAnsi="仿宋" w:eastAsia="仿宋" w:cs="仿宋_GB2312"/>
          <w:sz w:val="32"/>
          <w:szCs w:val="32"/>
        </w:rPr>
        <w:t>等</w:t>
      </w:r>
      <w:r>
        <w:rPr>
          <w:rFonts w:hint="eastAsia" w:ascii="仿宋" w:hAnsi="仿宋" w:eastAsia="仿宋" w:cs="仿宋_GB2312"/>
          <w:sz w:val="32"/>
          <w:szCs w:val="32"/>
        </w:rPr>
        <w:t>岛内交通路网基础设施建设</w:t>
      </w:r>
      <w:r>
        <w:rPr>
          <w:rFonts w:ascii="仿宋" w:hAnsi="仿宋" w:eastAsia="仿宋" w:cs="仿宋_GB2312"/>
          <w:sz w:val="32"/>
          <w:szCs w:val="32"/>
        </w:rPr>
        <w:t>。</w:t>
      </w:r>
      <w:r>
        <w:rPr>
          <w:rFonts w:hint="eastAsia" w:ascii="仿宋" w:hAnsi="仿宋" w:eastAsia="仿宋" w:cs="仿宋_GB2312"/>
          <w:sz w:val="32"/>
          <w:szCs w:val="32"/>
        </w:rPr>
        <w:t>实施商业区、生活区、生态区等功能片区便捷联系工程，完善内部次干道建设，改善道路微循环系统。加开闸坡渔港、海陵岛集散中心等重点片区与重点交通干道公交班次，提升出行便利度。</w:t>
      </w:r>
      <w:r>
        <w:rPr>
          <w:rFonts w:hint="eastAsia" w:ascii="仿宋" w:hAnsi="仿宋" w:eastAsia="仿宋" w:cs="仿宋_GB2312"/>
          <w:sz w:val="32"/>
          <w:szCs w:val="32"/>
          <w:lang w:eastAsia="zh-CN"/>
        </w:rPr>
        <w:t>规划建设</w:t>
      </w:r>
      <w:r>
        <w:rPr>
          <w:rFonts w:hint="eastAsia" w:ascii="仿宋" w:hAnsi="仿宋" w:eastAsia="仿宋" w:cs="仿宋_GB2312"/>
          <w:sz w:val="32"/>
          <w:szCs w:val="32"/>
          <w:lang w:val="en-US" w:eastAsia="zh-CN"/>
        </w:rPr>
        <w:t>大堤开启海底隧道</w:t>
      </w:r>
      <w:r>
        <w:rPr>
          <w:rFonts w:hint="eastAsia" w:ascii="仿宋" w:hAnsi="仿宋" w:eastAsia="仿宋" w:cs="仿宋_GB2312"/>
          <w:sz w:val="32"/>
          <w:szCs w:val="32"/>
          <w:lang w:eastAsia="zh-CN"/>
        </w:rPr>
        <w:t>。</w:t>
      </w:r>
    </w:p>
    <w:p>
      <w:pPr>
        <w:adjustRightInd w:val="0"/>
        <w:snapToGrid w:val="0"/>
        <w:spacing w:line="600" w:lineRule="exact"/>
        <w:ind w:firstLine="643" w:firstLineChars="200"/>
        <w:rPr>
          <w:rFonts w:ascii="仿宋" w:hAnsi="仿宋" w:eastAsia="仿宋" w:cs="仿宋_GB2312"/>
          <w:sz w:val="32"/>
          <w:szCs w:val="32"/>
        </w:rPr>
      </w:pPr>
      <w:r>
        <w:rPr>
          <w:rFonts w:hint="eastAsia" w:ascii="仿宋" w:hAnsi="仿宋" w:eastAsia="仿宋" w:cs="仿宋_GB2312"/>
          <w:b/>
          <w:bCs/>
          <w:sz w:val="32"/>
          <w:szCs w:val="32"/>
        </w:rPr>
        <w:t>构建三大环岛交通线路。</w:t>
      </w:r>
      <w:r>
        <w:rPr>
          <w:rFonts w:hint="eastAsia" w:ascii="仿宋" w:hAnsi="仿宋" w:eastAsia="仿宋" w:cs="仿宋_GB2312"/>
          <w:bCs/>
          <w:sz w:val="32"/>
          <w:szCs w:val="32"/>
        </w:rPr>
        <w:t>建设</w:t>
      </w:r>
      <w:bookmarkStart w:id="147" w:name="OLE_LINK42"/>
      <w:r>
        <w:rPr>
          <w:rFonts w:hint="eastAsia" w:ascii="仿宋" w:hAnsi="仿宋" w:eastAsia="仿宋" w:cs="仿宋_GB2312"/>
          <w:bCs/>
          <w:sz w:val="32"/>
          <w:szCs w:val="32"/>
        </w:rPr>
        <w:t>广东滨海旅游公路海陵岛支线</w:t>
      </w:r>
      <w:bookmarkEnd w:id="147"/>
      <w:r>
        <w:rPr>
          <w:rFonts w:hint="eastAsia" w:ascii="仿宋" w:hAnsi="仿宋" w:eastAsia="仿宋" w:cs="仿宋_GB2312"/>
          <w:bCs/>
          <w:sz w:val="32"/>
          <w:szCs w:val="32"/>
        </w:rPr>
        <w:t>，</w:t>
      </w:r>
      <w:r>
        <w:rPr>
          <w:rFonts w:hint="eastAsia" w:ascii="仿宋" w:hAnsi="仿宋" w:eastAsia="仿宋" w:cs="仿宋_GB2312"/>
          <w:sz w:val="32"/>
          <w:szCs w:val="32"/>
        </w:rPr>
        <w:t>稳步推进</w:t>
      </w:r>
      <w:bookmarkStart w:id="148" w:name="OLE_LINK53"/>
      <w:r>
        <w:rPr>
          <w:rFonts w:ascii="仿宋" w:hAnsi="仿宋" w:eastAsia="仿宋" w:cs="仿宋_GB2312"/>
          <w:sz w:val="32"/>
          <w:szCs w:val="32"/>
        </w:rPr>
        <w:t>南海I号</w:t>
      </w:r>
      <w:bookmarkEnd w:id="148"/>
      <w:r>
        <w:rPr>
          <w:rFonts w:ascii="仿宋" w:hAnsi="仿宋" w:eastAsia="仿宋" w:cs="仿宋_GB2312"/>
          <w:sz w:val="32"/>
          <w:szCs w:val="32"/>
        </w:rPr>
        <w:t>立交桥</w:t>
      </w:r>
      <w:r>
        <w:rPr>
          <w:rFonts w:hint="eastAsia" w:ascii="仿宋" w:hAnsi="仿宋" w:eastAsia="仿宋" w:cs="仿宋_GB2312"/>
          <w:sz w:val="32"/>
          <w:szCs w:val="32"/>
        </w:rPr>
        <w:t>工程、</w:t>
      </w:r>
      <w:r>
        <w:rPr>
          <w:rFonts w:ascii="仿宋" w:hAnsi="仿宋" w:eastAsia="仿宋" w:cs="仿宋_GB2312"/>
          <w:sz w:val="32"/>
          <w:szCs w:val="32"/>
        </w:rPr>
        <w:t>华山隧道</w:t>
      </w:r>
      <w:r>
        <w:rPr>
          <w:rFonts w:hint="eastAsia" w:ascii="仿宋" w:hAnsi="仿宋" w:eastAsia="仿宋" w:cs="仿宋_GB2312"/>
          <w:sz w:val="32"/>
          <w:szCs w:val="32"/>
        </w:rPr>
        <w:t>工程和</w:t>
      </w:r>
      <w:r>
        <w:rPr>
          <w:rFonts w:ascii="仿宋" w:hAnsi="仿宋" w:eastAsia="仿宋" w:cs="仿宋_GB2312"/>
          <w:sz w:val="32"/>
          <w:szCs w:val="32"/>
        </w:rPr>
        <w:t>环岛路</w:t>
      </w:r>
      <w:r>
        <w:rPr>
          <w:rFonts w:hint="eastAsia" w:ascii="仿宋" w:hAnsi="仿宋" w:eastAsia="仿宋" w:cs="仿宋_GB2312"/>
          <w:sz w:val="32"/>
          <w:szCs w:val="32"/>
        </w:rPr>
        <w:t>（岛东线）工程建设。强化海陵岛支线滨海旅游休闲功能，同步规划和设计各具特色的步行径、自行车径、综合慢行道等慢行系统，强化滨海旅游公路与高速公路、高铁站点的综合交通衔接，加快滨海旅游公路观景平台、综合服务区等基础设施建设。推进环岛轻轨建设。探索开通环岛夜游航线。</w:t>
      </w:r>
    </w:p>
    <w:p>
      <w:pPr>
        <w:adjustRightInd w:val="0"/>
        <w:snapToGrid w:val="0"/>
        <w:spacing w:line="600" w:lineRule="exact"/>
        <w:ind w:firstLine="643" w:firstLineChars="200"/>
        <w:rPr>
          <w:rFonts w:ascii="仿宋" w:hAnsi="仿宋" w:eastAsia="仿宋" w:cs="仿宋_GB2312"/>
          <w:sz w:val="32"/>
          <w:szCs w:val="32"/>
        </w:rPr>
      </w:pPr>
      <w:r>
        <w:rPr>
          <w:rFonts w:hint="eastAsia" w:ascii="仿宋" w:hAnsi="仿宋" w:eastAsia="仿宋" w:cs="仿宋_GB2312"/>
          <w:b/>
          <w:bCs/>
          <w:sz w:val="32"/>
          <w:szCs w:val="32"/>
        </w:rPr>
        <w:t>谋划推动海港空港建设。</w:t>
      </w:r>
      <w:r>
        <w:rPr>
          <w:rFonts w:hint="eastAsia" w:ascii="仿宋" w:hAnsi="仿宋" w:eastAsia="仿宋" w:cs="仿宋_GB2312"/>
          <w:sz w:val="32"/>
          <w:szCs w:val="32"/>
        </w:rPr>
        <w:t>规划建设</w:t>
      </w:r>
      <w:bookmarkStart w:id="149" w:name="OLE_LINK64"/>
      <w:r>
        <w:rPr>
          <w:rFonts w:hint="eastAsia" w:ascii="仿宋" w:hAnsi="仿宋" w:eastAsia="仿宋" w:cs="仿宋_GB2312"/>
          <w:sz w:val="32"/>
          <w:szCs w:val="32"/>
        </w:rPr>
        <w:t>海陵岛通用机场</w:t>
      </w:r>
      <w:bookmarkEnd w:id="149"/>
      <w:r>
        <w:rPr>
          <w:rFonts w:hint="eastAsia" w:ascii="仿宋" w:hAnsi="仿宋" w:eastAsia="仿宋" w:cs="仿宋_GB2312"/>
          <w:sz w:val="32"/>
          <w:szCs w:val="32"/>
        </w:rPr>
        <w:t>，完善通用航空服务体系，为岛内景区空中观光游览、航空医疗救援、空中巡查航拍、空中农林植保、森林防火消防等提供保障。打造客运码头和货运码头，深入推进闸坡现代渔港建设，积极</w:t>
      </w:r>
      <w:bookmarkStart w:id="150" w:name="OLE_LINK45"/>
      <w:bookmarkStart w:id="151" w:name="OLE_LINK40"/>
      <w:r>
        <w:rPr>
          <w:rFonts w:hint="eastAsia" w:ascii="仿宋" w:hAnsi="仿宋" w:eastAsia="仿宋" w:cs="仿宋_GB2312"/>
          <w:sz w:val="32"/>
          <w:szCs w:val="32"/>
        </w:rPr>
        <w:t>推动海陵岛</w:t>
      </w:r>
      <w:bookmarkStart w:id="152" w:name="OLE_LINK44"/>
      <w:r>
        <w:rPr>
          <w:rFonts w:hint="eastAsia" w:ascii="仿宋" w:hAnsi="仿宋" w:eastAsia="仿宋" w:cs="仿宋_GB2312"/>
          <w:sz w:val="32"/>
          <w:szCs w:val="32"/>
        </w:rPr>
        <w:t>邮轮码头</w:t>
      </w:r>
      <w:bookmarkEnd w:id="150"/>
      <w:bookmarkEnd w:id="152"/>
      <w:r>
        <w:rPr>
          <w:rFonts w:hint="eastAsia" w:ascii="仿宋" w:hAnsi="仿宋" w:eastAsia="仿宋" w:cs="仿宋_GB2312"/>
          <w:sz w:val="32"/>
          <w:szCs w:val="32"/>
        </w:rPr>
        <w:t>规划建设</w:t>
      </w:r>
      <w:bookmarkEnd w:id="151"/>
      <w:r>
        <w:rPr>
          <w:rFonts w:hint="eastAsia" w:ascii="仿宋" w:hAnsi="仿宋" w:eastAsia="仿宋" w:cs="仿宋_GB2312"/>
          <w:sz w:val="32"/>
          <w:szCs w:val="32"/>
        </w:rPr>
        <w:t>，支持大湾区企业参与</w:t>
      </w:r>
      <w:bookmarkStart w:id="153" w:name="OLE_LINK63"/>
      <w:r>
        <w:rPr>
          <w:rFonts w:hint="eastAsia" w:ascii="仿宋" w:hAnsi="仿宋" w:eastAsia="仿宋" w:cs="仿宋_GB2312"/>
          <w:sz w:val="32"/>
          <w:szCs w:val="32"/>
        </w:rPr>
        <w:t>海陵岛邮轮码头</w:t>
      </w:r>
      <w:bookmarkEnd w:id="153"/>
      <w:r>
        <w:rPr>
          <w:rFonts w:hint="eastAsia" w:ascii="仿宋" w:hAnsi="仿宋" w:eastAsia="仿宋" w:cs="仿宋_GB2312"/>
          <w:sz w:val="32"/>
          <w:szCs w:val="32"/>
        </w:rPr>
        <w:t>建设，强化与广州南沙国际邮轮母港、深圳太子湾邮轮母港等邮轮经济集聚区合作，强化规划、规则、制度对接。开通海陵岛至珠海、海陵岛至阳江高新区等周边地区的海上旅游航线。</w:t>
      </w:r>
    </w:p>
    <w:p>
      <w:pPr>
        <w:widowControl/>
        <w:jc w:val="center"/>
        <w:rPr>
          <w:rFonts w:eastAsia="方正小标宋简体"/>
        </w:rPr>
      </w:pPr>
      <w:r>
        <w:rPr>
          <w:rFonts w:hint="eastAsia" w:eastAsia="方正小标宋简体"/>
          <w:b/>
          <w:bCs/>
          <w:kern w:val="0"/>
          <w:sz w:val="28"/>
          <w:szCs w:val="28"/>
        </w:rPr>
        <w:t>专栏  海陵岛重点交通建设项目</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4" w:type="dxa"/>
          </w:tcPr>
          <w:p>
            <w:pPr>
              <w:spacing w:line="360" w:lineRule="auto"/>
              <w:rPr>
                <w:rFonts w:hint="eastAsia" w:ascii="仿宋_GB2312" w:hAnsi="等线" w:eastAsia="仿宋"/>
                <w:sz w:val="24"/>
                <w:szCs w:val="30"/>
              </w:rPr>
            </w:pPr>
            <w:r>
              <w:rPr>
                <w:rFonts w:hint="eastAsia" w:ascii="仿宋_GB2312" w:hAnsi="等线" w:eastAsia="仿宋"/>
                <w:b/>
                <w:bCs/>
                <w:sz w:val="24"/>
                <w:szCs w:val="30"/>
                <w:lang w:val="en-US" w:eastAsia="zh-CN"/>
              </w:rPr>
              <w:t>1.</w:t>
            </w:r>
            <w:r>
              <w:rPr>
                <w:rFonts w:hint="eastAsia" w:ascii="仿宋_GB2312" w:hAnsi="等线" w:eastAsia="仿宋"/>
                <w:b/>
                <w:bCs/>
                <w:sz w:val="24"/>
                <w:szCs w:val="30"/>
              </w:rPr>
              <w:t>轨道交通</w:t>
            </w:r>
            <w:r>
              <w:rPr>
                <w:rFonts w:hint="eastAsia" w:ascii="仿宋_GB2312" w:hAnsi="等线" w:eastAsia="仿宋"/>
                <w:b/>
                <w:bCs/>
                <w:sz w:val="24"/>
                <w:szCs w:val="30"/>
                <w:lang w:eastAsia="zh-CN"/>
              </w:rPr>
              <w:t>项目</w:t>
            </w:r>
            <w:r>
              <w:rPr>
                <w:rFonts w:hint="eastAsia" w:ascii="仿宋_GB2312" w:hAnsi="等线" w:eastAsia="仿宋"/>
                <w:b/>
                <w:bCs/>
                <w:sz w:val="24"/>
                <w:szCs w:val="30"/>
              </w:rPr>
              <w:t>：</w:t>
            </w:r>
            <w:r>
              <w:rPr>
                <w:rFonts w:hint="eastAsia" w:ascii="仿宋_GB2312" w:hAnsi="等线" w:eastAsia="仿宋"/>
                <w:sz w:val="24"/>
                <w:szCs w:val="30"/>
              </w:rPr>
              <w:t>阳江市快速公共交通1号线一期工程和广湛铁路海陵岛延长线</w:t>
            </w:r>
            <w:r>
              <w:rPr>
                <w:rFonts w:hint="eastAsia" w:ascii="仿宋_GB2312" w:hAnsi="等线" w:eastAsia="仿宋"/>
                <w:b/>
                <w:bCs/>
                <w:sz w:val="24"/>
                <w:szCs w:val="30"/>
              </w:rPr>
              <w:t>。</w:t>
            </w:r>
            <w:r>
              <w:rPr>
                <w:rFonts w:hint="eastAsia" w:ascii="仿宋_GB2312" w:hAnsi="等线" w:eastAsia="仿宋"/>
                <w:bCs/>
                <w:sz w:val="24"/>
                <w:szCs w:val="30"/>
              </w:rPr>
              <w:t>阳江市快速公共交通1号线一期工程为</w:t>
            </w:r>
            <w:r>
              <w:rPr>
                <w:rFonts w:hint="eastAsia" w:ascii="仿宋_GB2312" w:hAnsi="等线" w:eastAsia="仿宋"/>
                <w:sz w:val="24"/>
                <w:szCs w:val="30"/>
              </w:rPr>
              <w:t>阳江中心城区南北向骨干线，全长32.1公里，设车站9座，将连接江湛铁路与海陵岛。规划线路起点位于海陵岛集散中心站，终点站阳江站。近期建设海陵岛集散中心站、海陵湾大桥站、海陵中学站、黄屋站和阳江站，在海陵岛设置综合车场。</w:t>
            </w:r>
          </w:p>
          <w:p>
            <w:pPr>
              <w:spacing w:line="360" w:lineRule="auto"/>
              <w:rPr>
                <w:rFonts w:ascii="仿宋_GB2312" w:hAnsi="等线" w:eastAsia="仿宋"/>
                <w:sz w:val="24"/>
                <w:szCs w:val="30"/>
              </w:rPr>
            </w:pPr>
            <w:r>
              <w:rPr>
                <w:rFonts w:hint="eastAsia" w:ascii="仿宋_GB2312" w:hAnsi="等线" w:eastAsia="仿宋"/>
                <w:b/>
                <w:bCs/>
                <w:sz w:val="24"/>
                <w:szCs w:val="30"/>
                <w:lang w:val="en-US" w:eastAsia="zh-CN"/>
              </w:rPr>
              <w:t>2.</w:t>
            </w:r>
            <w:r>
              <w:rPr>
                <w:rFonts w:hint="eastAsia" w:ascii="仿宋_GB2312" w:hAnsi="等线" w:eastAsia="仿宋"/>
                <w:b/>
                <w:bCs/>
                <w:sz w:val="24"/>
                <w:szCs w:val="30"/>
              </w:rPr>
              <w:t>隧道</w:t>
            </w:r>
            <w:r>
              <w:rPr>
                <w:rFonts w:hint="eastAsia" w:ascii="仿宋_GB2312" w:hAnsi="等线" w:eastAsia="仿宋"/>
                <w:b/>
                <w:bCs/>
                <w:sz w:val="24"/>
                <w:szCs w:val="30"/>
                <w:lang w:eastAsia="zh-CN"/>
              </w:rPr>
              <w:t>项目</w:t>
            </w:r>
            <w:r>
              <w:rPr>
                <w:rFonts w:hint="eastAsia" w:ascii="仿宋_GB2312" w:hAnsi="等线" w:eastAsia="仿宋"/>
                <w:b/>
                <w:bCs/>
                <w:sz w:val="24"/>
                <w:szCs w:val="30"/>
              </w:rPr>
              <w:t>:</w:t>
            </w:r>
            <w:r>
              <w:rPr>
                <w:rFonts w:hint="eastAsia" w:ascii="仿宋_GB2312" w:hAnsi="等线" w:eastAsia="仿宋"/>
                <w:sz w:val="24"/>
                <w:szCs w:val="30"/>
              </w:rPr>
              <w:t>大岭埂隧道</w:t>
            </w:r>
            <w:r>
              <w:rPr>
                <w:rFonts w:hint="eastAsia" w:ascii="仿宋_GB2312" w:hAnsi="等线" w:eastAsia="仿宋"/>
                <w:sz w:val="24"/>
                <w:szCs w:val="30"/>
                <w:lang w:eastAsia="zh-CN"/>
              </w:rPr>
              <w:t>、</w:t>
            </w:r>
            <w:r>
              <w:rPr>
                <w:rFonts w:hint="eastAsia" w:ascii="仿宋_GB2312" w:hAnsi="等线" w:eastAsia="仿宋"/>
                <w:sz w:val="24"/>
                <w:szCs w:val="30"/>
              </w:rPr>
              <w:t>华山隧道</w:t>
            </w:r>
            <w:r>
              <w:rPr>
                <w:rFonts w:hint="eastAsia" w:ascii="仿宋_GB2312" w:hAnsi="等线" w:eastAsia="仿宋"/>
                <w:sz w:val="24"/>
                <w:szCs w:val="30"/>
                <w:lang w:eastAsia="zh-CN"/>
              </w:rPr>
              <w:t>、海底隧道</w:t>
            </w:r>
            <w:r>
              <w:rPr>
                <w:rFonts w:hint="eastAsia" w:ascii="仿宋_GB2312" w:hAnsi="等线" w:eastAsia="仿宋"/>
                <w:sz w:val="24"/>
                <w:szCs w:val="30"/>
              </w:rPr>
              <w:t>。大岭埂第二条隧道全长415米，路面宽1.25米，新旧隧道开始实行一进一出单向双车道通行，改善了原有隧道双向两车道的拥挤交通情况，该隧道已正式通车。华山隧道为广东滨海旅游公路海陵岛支线重要组成部分部分，位于“南海Ⅰ号博物馆”附近，全长约995米，预计2021年12月通车。</w:t>
            </w:r>
          </w:p>
          <w:p>
            <w:pPr>
              <w:spacing w:line="360" w:lineRule="auto"/>
              <w:rPr>
                <w:rFonts w:ascii="仿宋_GB2312" w:hAnsi="等线" w:eastAsia="仿宋"/>
                <w:sz w:val="24"/>
                <w:szCs w:val="30"/>
              </w:rPr>
            </w:pPr>
            <w:r>
              <w:rPr>
                <w:rFonts w:hint="eastAsia" w:ascii="仿宋_GB2312" w:hAnsi="等线" w:eastAsia="仿宋"/>
                <w:b/>
                <w:bCs/>
                <w:sz w:val="24"/>
                <w:szCs w:val="30"/>
                <w:lang w:val="en-US" w:eastAsia="zh-CN"/>
              </w:rPr>
              <w:t>3.</w:t>
            </w:r>
            <w:r>
              <w:rPr>
                <w:rFonts w:hint="eastAsia" w:ascii="仿宋_GB2312" w:hAnsi="等线" w:eastAsia="仿宋"/>
                <w:b/>
                <w:bCs/>
                <w:sz w:val="24"/>
                <w:szCs w:val="30"/>
              </w:rPr>
              <w:t>环岛旅游交通线路</w:t>
            </w:r>
            <w:r>
              <w:rPr>
                <w:rFonts w:hint="eastAsia" w:ascii="仿宋_GB2312" w:hAnsi="等线" w:eastAsia="仿宋"/>
                <w:b/>
                <w:bCs/>
                <w:sz w:val="24"/>
                <w:szCs w:val="30"/>
                <w:lang w:eastAsia="zh-CN"/>
              </w:rPr>
              <w:t>项目</w:t>
            </w:r>
            <w:r>
              <w:rPr>
                <w:rFonts w:hint="eastAsia" w:ascii="仿宋_GB2312" w:hAnsi="等线" w:eastAsia="仿宋"/>
                <w:b/>
                <w:bCs/>
                <w:sz w:val="24"/>
                <w:szCs w:val="30"/>
              </w:rPr>
              <w:t>:</w:t>
            </w:r>
            <w:r>
              <w:rPr>
                <w:rFonts w:hint="eastAsia"/>
              </w:rPr>
              <w:t xml:space="preserve"> </w:t>
            </w:r>
            <w:r>
              <w:rPr>
                <w:rFonts w:hint="eastAsia" w:ascii="仿宋_GB2312" w:hAnsi="等线" w:eastAsia="仿宋"/>
                <w:bCs/>
                <w:sz w:val="24"/>
                <w:szCs w:val="30"/>
              </w:rPr>
              <w:t>广东滨海旅游公路海陵岛支线</w:t>
            </w:r>
            <w:r>
              <w:rPr>
                <w:rFonts w:hint="eastAsia"/>
              </w:rPr>
              <w:t>、</w:t>
            </w:r>
            <w:r>
              <w:rPr>
                <w:rFonts w:hint="eastAsia" w:ascii="仿宋_GB2312" w:hAnsi="等线" w:eastAsia="仿宋"/>
                <w:sz w:val="24"/>
                <w:szCs w:val="30"/>
              </w:rPr>
              <w:t>环岛路（岛东线）工程环岛夜游航线</w:t>
            </w:r>
          </w:p>
          <w:p>
            <w:pPr>
              <w:spacing w:line="360" w:lineRule="auto"/>
              <w:rPr>
                <w:rFonts w:ascii="仿宋_GB2312" w:hAnsi="等线" w:eastAsia="仿宋"/>
                <w:b/>
                <w:bCs/>
                <w:sz w:val="24"/>
                <w:szCs w:val="30"/>
              </w:rPr>
            </w:pPr>
            <w:r>
              <w:rPr>
                <w:rFonts w:hint="eastAsia" w:ascii="仿宋_GB2312" w:hAnsi="等线" w:eastAsia="仿宋"/>
                <w:b/>
                <w:bCs/>
                <w:sz w:val="24"/>
                <w:szCs w:val="30"/>
                <w:lang w:val="en-US" w:eastAsia="zh-CN"/>
              </w:rPr>
              <w:t>4.</w:t>
            </w:r>
            <w:r>
              <w:rPr>
                <w:rFonts w:hint="eastAsia" w:ascii="仿宋_GB2312" w:hAnsi="等线" w:eastAsia="仿宋"/>
                <w:b/>
                <w:bCs/>
                <w:sz w:val="24"/>
                <w:szCs w:val="30"/>
              </w:rPr>
              <w:t>海港</w:t>
            </w:r>
            <w:r>
              <w:rPr>
                <w:rFonts w:hint="eastAsia" w:ascii="仿宋_GB2312" w:hAnsi="等线" w:eastAsia="仿宋"/>
                <w:b/>
                <w:bCs/>
                <w:sz w:val="24"/>
                <w:szCs w:val="30"/>
                <w:lang w:eastAsia="zh-CN"/>
              </w:rPr>
              <w:t>项目</w:t>
            </w:r>
            <w:r>
              <w:rPr>
                <w:rFonts w:hint="eastAsia" w:ascii="仿宋_GB2312" w:hAnsi="等线" w:eastAsia="仿宋"/>
                <w:b/>
                <w:bCs/>
                <w:sz w:val="24"/>
                <w:szCs w:val="30"/>
              </w:rPr>
              <w:t>：</w:t>
            </w:r>
            <w:r>
              <w:rPr>
                <w:rFonts w:hint="eastAsia" w:ascii="仿宋_GB2312" w:hAnsi="等线" w:eastAsia="仿宋"/>
                <w:sz w:val="24"/>
                <w:szCs w:val="30"/>
              </w:rPr>
              <w:t xml:space="preserve">闸坡现代渔港建设项目、海陵岛邮轮码头项目      </w:t>
            </w:r>
          </w:p>
          <w:p>
            <w:pPr>
              <w:spacing w:line="360" w:lineRule="auto"/>
              <w:rPr>
                <w:rFonts w:ascii="仿宋_GB2312" w:hAnsi="等线" w:eastAsia="仿宋"/>
                <w:b/>
                <w:bCs/>
                <w:sz w:val="24"/>
                <w:szCs w:val="30"/>
              </w:rPr>
            </w:pPr>
            <w:r>
              <w:rPr>
                <w:rFonts w:hint="eastAsia" w:ascii="仿宋_GB2312" w:hAnsi="等线" w:eastAsia="仿宋"/>
                <w:b/>
                <w:bCs/>
                <w:sz w:val="24"/>
                <w:szCs w:val="30"/>
                <w:lang w:val="en-US" w:eastAsia="zh-CN"/>
              </w:rPr>
              <w:t>5.</w:t>
            </w:r>
            <w:r>
              <w:rPr>
                <w:rFonts w:hint="eastAsia" w:ascii="仿宋_GB2312" w:hAnsi="等线" w:eastAsia="仿宋"/>
                <w:b/>
                <w:bCs/>
                <w:sz w:val="24"/>
                <w:szCs w:val="30"/>
              </w:rPr>
              <w:t>机场</w:t>
            </w:r>
            <w:r>
              <w:rPr>
                <w:rFonts w:hint="eastAsia" w:ascii="仿宋_GB2312" w:hAnsi="等线" w:eastAsia="仿宋"/>
                <w:b/>
                <w:bCs/>
                <w:sz w:val="24"/>
                <w:szCs w:val="30"/>
                <w:lang w:eastAsia="zh-CN"/>
              </w:rPr>
              <w:t>项目</w:t>
            </w:r>
            <w:r>
              <w:rPr>
                <w:rFonts w:hint="eastAsia" w:ascii="仿宋_GB2312" w:hAnsi="等线" w:eastAsia="仿宋"/>
                <w:b/>
                <w:bCs/>
                <w:sz w:val="24"/>
                <w:szCs w:val="30"/>
              </w:rPr>
              <w:t>：</w:t>
            </w:r>
            <w:r>
              <w:rPr>
                <w:rFonts w:hint="eastAsia" w:ascii="仿宋_GB2312" w:hAnsi="等线" w:eastAsia="仿宋"/>
                <w:sz w:val="24"/>
                <w:szCs w:val="30"/>
              </w:rPr>
              <w:t>海陵岛通用机场项目</w:t>
            </w:r>
          </w:p>
        </w:tc>
      </w:tr>
      <w:bookmarkEnd w:id="146"/>
    </w:tbl>
    <w:p>
      <w:pPr>
        <w:adjustRightInd w:val="0"/>
        <w:snapToGrid w:val="0"/>
        <w:spacing w:line="600" w:lineRule="exact"/>
        <w:jc w:val="center"/>
        <w:outlineLvl w:val="1"/>
        <w:rPr>
          <w:rFonts w:ascii="黑体" w:hAnsi="黑体" w:eastAsia="黑体" w:cs="仿宋"/>
          <w:color w:val="auto"/>
          <w:sz w:val="32"/>
          <w:szCs w:val="32"/>
        </w:rPr>
      </w:pPr>
      <w:bookmarkStart w:id="154" w:name="_Toc5298"/>
      <w:r>
        <w:rPr>
          <w:rFonts w:hint="eastAsia" w:ascii="黑体" w:hAnsi="黑体" w:eastAsia="黑体" w:cs="仿宋"/>
          <w:color w:val="auto"/>
          <w:sz w:val="32"/>
          <w:szCs w:val="32"/>
        </w:rPr>
        <w:t>第二节 适度超前部署新型基础设施</w:t>
      </w:r>
      <w:bookmarkEnd w:id="154"/>
    </w:p>
    <w:p>
      <w:pPr>
        <w:adjustRightInd w:val="0"/>
        <w:snapToGrid w:val="0"/>
        <w:spacing w:line="6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加快布局通信网络基础设施、算力基础设施和数字技术基础设施等新型信息基础设施。</w:t>
      </w:r>
    </w:p>
    <w:p>
      <w:pPr>
        <w:adjustRightInd w:val="0"/>
        <w:snapToGrid w:val="0"/>
        <w:spacing w:line="600" w:lineRule="exact"/>
        <w:ind w:firstLine="643" w:firstLineChars="200"/>
        <w:rPr>
          <w:rFonts w:ascii="仿宋" w:hAnsi="仿宋" w:eastAsia="仿宋" w:cs="仿宋_GB2312"/>
          <w:color w:val="auto"/>
          <w:sz w:val="32"/>
          <w:szCs w:val="32"/>
        </w:rPr>
      </w:pPr>
      <w:r>
        <w:rPr>
          <w:rFonts w:hint="eastAsia" w:ascii="仿宋" w:hAnsi="仿宋" w:eastAsia="仿宋" w:cs="楷体_GB2312"/>
          <w:b/>
          <w:bCs/>
          <w:color w:val="auto"/>
          <w:sz w:val="32"/>
          <w:szCs w:val="32"/>
        </w:rPr>
        <w:t>推动 5G 基站建设。</w:t>
      </w:r>
      <w:r>
        <w:rPr>
          <w:rFonts w:hint="eastAsia" w:ascii="仿宋" w:hAnsi="仿宋" w:eastAsia="仿宋" w:cs="仿宋_GB2312"/>
          <w:color w:val="auto"/>
          <w:sz w:val="32"/>
          <w:szCs w:val="32"/>
        </w:rPr>
        <w:t>按照从城区到各镇、主要部门到全行业的次序，推动 5G 基础基站及相应配套设施有序建设。优先推动闸坡镇等重点镇以及重点旅游景区5G 基站建设，争取在“十四五”时期内，5G 基站建设取得新突破。</w:t>
      </w:r>
    </w:p>
    <w:p>
      <w:pPr>
        <w:widowControl/>
        <w:adjustRightInd w:val="0"/>
        <w:snapToGrid w:val="0"/>
        <w:spacing w:line="600" w:lineRule="exact"/>
        <w:ind w:firstLine="643" w:firstLineChars="200"/>
        <w:rPr>
          <w:rFonts w:ascii="仿宋" w:hAnsi="仿宋" w:eastAsia="仿宋" w:cs="楷体_GB2312"/>
          <w:color w:val="auto"/>
          <w:sz w:val="32"/>
          <w:szCs w:val="32"/>
        </w:rPr>
      </w:pPr>
      <w:r>
        <w:rPr>
          <w:rFonts w:hint="eastAsia" w:ascii="仿宋" w:hAnsi="仿宋" w:eastAsia="仿宋" w:cs="楷体_GB2312"/>
          <w:b/>
          <w:bCs/>
          <w:color w:val="auto"/>
          <w:sz w:val="32"/>
          <w:szCs w:val="32"/>
        </w:rPr>
        <w:t>完善新能源基础设施布局。</w:t>
      </w:r>
      <w:r>
        <w:rPr>
          <w:rFonts w:hint="eastAsia" w:ascii="仿宋" w:hAnsi="仿宋" w:eastAsia="仿宋" w:cs="仿宋_GB2312"/>
          <w:color w:val="auto"/>
          <w:sz w:val="32"/>
          <w:szCs w:val="32"/>
        </w:rPr>
        <w:t>推动银滩分布式能源站建设。加快在岛内推广新能源公交车、新能源出租车等公共交通工具。加快推进区内车辆流大、路网密集的片区推进</w:t>
      </w:r>
      <w:bookmarkStart w:id="155" w:name="OLE_LINK17"/>
      <w:r>
        <w:rPr>
          <w:rFonts w:hint="eastAsia" w:ascii="仿宋" w:hAnsi="仿宋" w:eastAsia="仿宋" w:cs="仿宋_GB2312"/>
          <w:color w:val="auto"/>
          <w:sz w:val="32"/>
          <w:szCs w:val="32"/>
        </w:rPr>
        <w:t>电动汽车充电</w:t>
      </w:r>
      <w:bookmarkEnd w:id="155"/>
      <w:r>
        <w:rPr>
          <w:rFonts w:hint="eastAsia" w:ascii="仿宋" w:hAnsi="仿宋" w:eastAsia="仿宋" w:cs="仿宋_GB2312"/>
          <w:color w:val="auto"/>
          <w:sz w:val="32"/>
          <w:szCs w:val="32"/>
        </w:rPr>
        <w:t>设施建设。鼓励在推进阳江闸坡汽车客运站、闸坡公共客运站等公共车站、大角湾公共停车场、海陵湾大桥大型停车场等公共停车场以及各类旅游综合体电动汽车充电设施建设，并对建设运营给予必要补贴。</w:t>
      </w:r>
    </w:p>
    <w:p>
      <w:pPr>
        <w:adjustRightInd w:val="0"/>
        <w:snapToGrid w:val="0"/>
        <w:spacing w:line="600" w:lineRule="exact"/>
        <w:ind w:firstLine="643" w:firstLineChars="200"/>
        <w:rPr>
          <w:rFonts w:ascii="仿宋" w:hAnsi="仿宋" w:eastAsia="仿宋" w:cs="仿宋_GB2312"/>
          <w:color w:val="auto"/>
          <w:sz w:val="32"/>
          <w:szCs w:val="32"/>
        </w:rPr>
      </w:pPr>
      <w:r>
        <w:rPr>
          <w:rFonts w:ascii="仿宋" w:hAnsi="仿宋" w:eastAsia="仿宋" w:cs="楷体_GB2312"/>
          <w:b/>
          <w:bCs/>
          <w:color w:val="auto"/>
          <w:sz w:val="32"/>
          <w:szCs w:val="32"/>
        </w:rPr>
        <w:t>建设</w:t>
      </w:r>
      <w:r>
        <w:rPr>
          <w:rFonts w:hint="eastAsia" w:ascii="仿宋" w:hAnsi="仿宋" w:eastAsia="仿宋" w:cs="楷体_GB2312"/>
          <w:b/>
          <w:bCs/>
          <w:color w:val="auto"/>
          <w:sz w:val="32"/>
          <w:szCs w:val="32"/>
        </w:rPr>
        <w:t>智慧城市管理平台。</w:t>
      </w:r>
      <w:r>
        <w:rPr>
          <w:rFonts w:hint="eastAsia" w:ascii="仿宋" w:hAnsi="仿宋" w:eastAsia="仿宋" w:cs="仿宋_GB2312"/>
          <w:color w:val="auto"/>
          <w:sz w:val="32"/>
          <w:szCs w:val="32"/>
        </w:rPr>
        <w:t>依托大数据、云计算、物联网等新一代信息技术，推动部署“智慧海陵岛”城市运行管理中心，重点在城市交通、生态环境、水务、公共安全、社会管理、电力、能源、教育等领域深化应用，</w:t>
      </w:r>
      <w:bookmarkStart w:id="156" w:name="_Hlk54876638"/>
      <w:r>
        <w:rPr>
          <w:rFonts w:hint="eastAsia" w:ascii="仿宋" w:hAnsi="仿宋" w:eastAsia="仿宋" w:cs="仿宋_GB2312"/>
          <w:color w:val="auto"/>
          <w:sz w:val="32"/>
          <w:szCs w:val="32"/>
        </w:rPr>
        <w:t>深入实施智慧交通、智慧新警务、智慧海洋等智慧城市专项工程</w:t>
      </w:r>
      <w:bookmarkEnd w:id="156"/>
      <w:r>
        <w:rPr>
          <w:rFonts w:hint="eastAsia" w:ascii="仿宋" w:hAnsi="仿宋" w:eastAsia="仿宋" w:cs="仿宋_GB2312"/>
          <w:color w:val="auto"/>
          <w:sz w:val="32"/>
          <w:szCs w:val="32"/>
        </w:rPr>
        <w:t>，提升产业发展和民生社会智慧化数字化水平。围绕智慧海洋领域，支持涉海主体运用互联网实施数字化、网络化、智能化升级，建设智慧渔港。围绕智慧交通工程，推动城市关键道路智能化改造。围绕智能能源领域，布局“特高压+智能电网”和新能源汽车充电桩建设。规范设备接入标准和数据开放标准，</w:t>
      </w:r>
      <w:bookmarkStart w:id="157" w:name="_Hlk54876608"/>
      <w:r>
        <w:rPr>
          <w:rFonts w:hint="eastAsia" w:ascii="仿宋" w:hAnsi="仿宋" w:eastAsia="仿宋" w:cs="仿宋_GB2312"/>
          <w:color w:val="auto"/>
          <w:sz w:val="32"/>
          <w:szCs w:val="32"/>
        </w:rPr>
        <w:t>探索海陵岛跨部门跨领域信息开放共享</w:t>
      </w:r>
      <w:bookmarkEnd w:id="157"/>
      <w:r>
        <w:rPr>
          <w:rFonts w:hint="eastAsia" w:ascii="仿宋" w:hAnsi="仿宋" w:eastAsia="仿宋" w:cs="仿宋_GB2312"/>
          <w:color w:val="auto"/>
          <w:sz w:val="32"/>
          <w:szCs w:val="32"/>
        </w:rPr>
        <w:t>，协同规划、建设、运行安全基础设施，</w:t>
      </w:r>
      <w:bookmarkStart w:id="158" w:name="_Hlk54876626"/>
      <w:r>
        <w:rPr>
          <w:rFonts w:hint="eastAsia" w:ascii="仿宋" w:hAnsi="仿宋" w:eastAsia="仿宋" w:cs="仿宋_GB2312"/>
          <w:color w:val="auto"/>
          <w:sz w:val="32"/>
          <w:szCs w:val="32"/>
        </w:rPr>
        <w:t>共同加强都市圈网络信息安全管理</w:t>
      </w:r>
      <w:bookmarkEnd w:id="158"/>
      <w:r>
        <w:rPr>
          <w:rFonts w:hint="eastAsia" w:ascii="仿宋" w:hAnsi="仿宋" w:eastAsia="仿宋" w:cs="仿宋_GB2312"/>
          <w:color w:val="auto"/>
          <w:sz w:val="32"/>
          <w:szCs w:val="32"/>
        </w:rPr>
        <w:t>。</w:t>
      </w:r>
    </w:p>
    <w:p>
      <w:pPr>
        <w:widowControl/>
        <w:jc w:val="center"/>
        <w:rPr>
          <w:rFonts w:eastAsia="方正小标宋简体"/>
          <w:b/>
          <w:bCs/>
          <w:color w:val="auto"/>
          <w:kern w:val="0"/>
          <w:sz w:val="28"/>
          <w:szCs w:val="28"/>
        </w:rPr>
      </w:pPr>
      <w:bookmarkStart w:id="159" w:name="OLE_LINK20"/>
      <w:r>
        <w:rPr>
          <w:rFonts w:hint="eastAsia" w:eastAsia="方正小标宋简体"/>
          <w:b/>
          <w:bCs/>
          <w:color w:val="auto"/>
          <w:kern w:val="0"/>
          <w:sz w:val="28"/>
          <w:szCs w:val="28"/>
        </w:rPr>
        <w:t xml:space="preserve">专栏 </w:t>
      </w:r>
      <w:r>
        <w:rPr>
          <w:rFonts w:eastAsia="方正小标宋简体"/>
          <w:b/>
          <w:bCs/>
          <w:color w:val="auto"/>
          <w:kern w:val="0"/>
          <w:sz w:val="28"/>
          <w:szCs w:val="28"/>
        </w:rPr>
        <w:t xml:space="preserve"> </w:t>
      </w:r>
      <w:r>
        <w:rPr>
          <w:rFonts w:hint="eastAsia" w:eastAsia="方正小标宋简体"/>
          <w:b/>
          <w:bCs/>
          <w:color w:val="auto"/>
          <w:kern w:val="0"/>
          <w:sz w:val="28"/>
          <w:szCs w:val="28"/>
        </w:rPr>
        <w:t>海陵岛智慧城市重点建设项目</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4" w:type="dxa"/>
          </w:tcPr>
          <w:p>
            <w:pPr>
              <w:spacing w:line="360" w:lineRule="auto"/>
              <w:rPr>
                <w:rFonts w:ascii="仿宋_GB2312" w:hAnsi="等线" w:eastAsia="仿宋"/>
                <w:color w:val="auto"/>
                <w:sz w:val="24"/>
                <w:szCs w:val="30"/>
              </w:rPr>
            </w:pPr>
            <w:r>
              <w:rPr>
                <w:rFonts w:hint="eastAsia" w:ascii="仿宋_GB2312" w:hAnsi="等线" w:eastAsia="仿宋"/>
                <w:b/>
                <w:bCs/>
                <w:color w:val="auto"/>
                <w:sz w:val="24"/>
                <w:szCs w:val="30"/>
              </w:rPr>
              <w:t>1</w:t>
            </w:r>
            <w:r>
              <w:rPr>
                <w:rFonts w:ascii="仿宋_GB2312" w:hAnsi="等线" w:eastAsia="仿宋"/>
                <w:b/>
                <w:bCs/>
                <w:color w:val="auto"/>
                <w:sz w:val="24"/>
                <w:szCs w:val="30"/>
              </w:rPr>
              <w:t>.</w:t>
            </w:r>
            <w:r>
              <w:rPr>
                <w:rFonts w:hint="eastAsia" w:ascii="仿宋_GB2312" w:hAnsi="等线" w:eastAsia="仿宋"/>
                <w:b/>
                <w:bCs/>
                <w:color w:val="auto"/>
                <w:sz w:val="24"/>
                <w:szCs w:val="30"/>
              </w:rPr>
              <w:t>智慧交通项目：</w:t>
            </w:r>
            <w:r>
              <w:rPr>
                <w:rFonts w:hint="eastAsia" w:ascii="仿宋_GB2312" w:hAnsi="等线" w:eastAsia="仿宋"/>
                <w:color w:val="auto"/>
                <w:sz w:val="24"/>
                <w:szCs w:val="30"/>
              </w:rPr>
              <w:t>依托高清监控摄像、人工智能识别等新一代信息技术，实现人、车、路相融合的“智慧+”治堵、“智慧+”执法、“智慧+”指挥调度等智慧交通场景应用。对新建和现有停车设施项目按照市智慧停车平台系统的标准要求予以改造，并统一接入市智慧停车平台系统。进一步加强信号灯实时调控和常态化管理。</w:t>
            </w:r>
          </w:p>
          <w:p>
            <w:pPr>
              <w:spacing w:line="360" w:lineRule="auto"/>
              <w:rPr>
                <w:rFonts w:ascii="仿宋_GB2312" w:hAnsi="等线" w:eastAsia="仿宋"/>
                <w:color w:val="auto"/>
                <w:sz w:val="24"/>
                <w:szCs w:val="30"/>
              </w:rPr>
            </w:pPr>
            <w:r>
              <w:rPr>
                <w:rFonts w:hint="eastAsia" w:ascii="仿宋_GB2312" w:hAnsi="等线" w:eastAsia="仿宋"/>
                <w:b/>
                <w:bCs/>
                <w:color w:val="auto"/>
                <w:sz w:val="24"/>
                <w:szCs w:val="30"/>
              </w:rPr>
              <w:t>2</w:t>
            </w:r>
            <w:r>
              <w:rPr>
                <w:rFonts w:ascii="仿宋_GB2312" w:hAnsi="等线" w:eastAsia="仿宋"/>
                <w:b/>
                <w:bCs/>
                <w:color w:val="auto"/>
                <w:sz w:val="24"/>
                <w:szCs w:val="30"/>
              </w:rPr>
              <w:t>.</w:t>
            </w:r>
            <w:r>
              <w:rPr>
                <w:rFonts w:hint="eastAsia" w:ascii="仿宋_GB2312" w:hAnsi="等线" w:eastAsia="仿宋"/>
                <w:b/>
                <w:bCs/>
                <w:color w:val="auto"/>
                <w:sz w:val="24"/>
                <w:szCs w:val="30"/>
              </w:rPr>
              <w:t>智慧新警务项目：</w:t>
            </w:r>
            <w:r>
              <w:rPr>
                <w:rFonts w:hint="eastAsia" w:ascii="仿宋_GB2312" w:hAnsi="等线" w:eastAsia="仿宋"/>
                <w:color w:val="auto"/>
                <w:sz w:val="24"/>
                <w:szCs w:val="30"/>
              </w:rPr>
              <w:t>推广闸坡派出所新所等现代化智慧派出所建设模式，建设现代化智慧派出所。加快推动视频综合治理项目建设，实现主要街道、路口、景区等场所全覆盖。加快智慧新警务建设成果应用，运用移动警务终端等载体实现信息化指挥调度资源。</w:t>
            </w:r>
          </w:p>
          <w:p>
            <w:pPr>
              <w:spacing w:line="360" w:lineRule="auto"/>
              <w:rPr>
                <w:rFonts w:ascii="仿宋_GB2312" w:hAnsi="等线" w:eastAsia="仿宋"/>
                <w:color w:val="auto"/>
                <w:sz w:val="24"/>
                <w:szCs w:val="30"/>
              </w:rPr>
            </w:pPr>
            <w:r>
              <w:rPr>
                <w:rFonts w:hint="eastAsia" w:ascii="仿宋_GB2312" w:hAnsi="等线" w:eastAsia="仿宋"/>
                <w:b/>
                <w:bCs/>
                <w:color w:val="auto"/>
                <w:sz w:val="24"/>
                <w:szCs w:val="30"/>
              </w:rPr>
              <w:t>3</w:t>
            </w:r>
            <w:r>
              <w:rPr>
                <w:rFonts w:ascii="仿宋_GB2312" w:hAnsi="等线" w:eastAsia="仿宋"/>
                <w:b/>
                <w:bCs/>
                <w:color w:val="auto"/>
                <w:sz w:val="24"/>
                <w:szCs w:val="30"/>
              </w:rPr>
              <w:t>.</w:t>
            </w:r>
            <w:r>
              <w:rPr>
                <w:rFonts w:hint="eastAsia" w:ascii="仿宋_GB2312" w:hAnsi="等线" w:eastAsia="仿宋"/>
                <w:b/>
                <w:bCs/>
                <w:color w:val="auto"/>
                <w:sz w:val="24"/>
                <w:szCs w:val="30"/>
              </w:rPr>
              <w:t>智慧水利项目:</w:t>
            </w:r>
            <w:r>
              <w:rPr>
                <w:rFonts w:hint="eastAsia" w:ascii="仿宋_GB2312" w:hAnsi="等线" w:eastAsia="仿宋"/>
                <w:color w:val="auto"/>
                <w:sz w:val="24"/>
                <w:szCs w:val="30"/>
              </w:rPr>
              <w:t>按照监测和监管要求，提升既有水利站点监测能力，建设各级水文监测中心，构建水利信息立体采集感知体系。聚焦水工程安全运行、水工程建设、水资源开发利用等信息化业务需求，实施水利综合监管平台提升工程。</w:t>
            </w:r>
          </w:p>
          <w:p>
            <w:pPr>
              <w:spacing w:line="360" w:lineRule="auto"/>
              <w:rPr>
                <w:rFonts w:ascii="仿宋" w:hAnsi="仿宋" w:eastAsia="仿宋" w:cs="仿宋_GB2312"/>
                <w:color w:val="auto"/>
                <w:sz w:val="24"/>
              </w:rPr>
            </w:pPr>
            <w:r>
              <w:rPr>
                <w:rFonts w:hint="eastAsia" w:ascii="仿宋_GB2312" w:hAnsi="等线" w:eastAsia="仿宋"/>
                <w:b/>
                <w:bCs/>
                <w:color w:val="auto"/>
                <w:sz w:val="24"/>
                <w:szCs w:val="30"/>
              </w:rPr>
              <w:t>4</w:t>
            </w:r>
            <w:r>
              <w:rPr>
                <w:rFonts w:ascii="仿宋_GB2312" w:hAnsi="等线" w:eastAsia="仿宋"/>
                <w:b/>
                <w:bCs/>
                <w:color w:val="auto"/>
                <w:sz w:val="24"/>
                <w:szCs w:val="30"/>
              </w:rPr>
              <w:t>.</w:t>
            </w:r>
            <w:r>
              <w:rPr>
                <w:rFonts w:hint="eastAsia" w:ascii="仿宋_GB2312" w:hAnsi="等线" w:eastAsia="仿宋"/>
                <w:b/>
                <w:bCs/>
                <w:color w:val="auto"/>
                <w:sz w:val="24"/>
                <w:szCs w:val="30"/>
              </w:rPr>
              <w:t>智慧海洋项目：</w:t>
            </w:r>
            <w:r>
              <w:rPr>
                <w:rFonts w:hint="eastAsia" w:ascii="仿宋_GB2312" w:hAnsi="等线" w:eastAsia="仿宋"/>
                <w:color w:val="auto"/>
                <w:sz w:val="24"/>
                <w:szCs w:val="30"/>
              </w:rPr>
              <w:t>充分运用大数据、物联网等新技术，加强对海洋水质、水文、气象、生态等海洋要素的立体、实时、在线监测，建设服务于管理和公众的海洋综合平台体系，推进海洋智能化建设和管理。</w:t>
            </w:r>
          </w:p>
        </w:tc>
      </w:tr>
      <w:bookmarkEnd w:id="159"/>
    </w:tbl>
    <w:p>
      <w:pPr>
        <w:adjustRightInd w:val="0"/>
        <w:snapToGrid w:val="0"/>
        <w:spacing w:line="600" w:lineRule="exact"/>
        <w:jc w:val="center"/>
        <w:outlineLvl w:val="1"/>
      </w:pPr>
      <w:bookmarkStart w:id="160" w:name="OLE_LINK16"/>
      <w:bookmarkStart w:id="161" w:name="_Toc14523"/>
      <w:r>
        <w:rPr>
          <w:rFonts w:hint="eastAsia" w:ascii="黑体" w:hAnsi="黑体" w:eastAsia="黑体" w:cs="仿宋"/>
          <w:color w:val="auto"/>
          <w:sz w:val="32"/>
          <w:szCs w:val="32"/>
        </w:rPr>
        <w:t>第三节 完善能源基础设施保障体系</w:t>
      </w:r>
      <w:bookmarkEnd w:id="160"/>
      <w:bookmarkEnd w:id="161"/>
    </w:p>
    <w:p>
      <w:pPr>
        <w:widowControl/>
        <w:adjustRightInd w:val="0"/>
        <w:snapToGrid w:val="0"/>
        <w:spacing w:line="600" w:lineRule="exact"/>
        <w:ind w:firstLine="640" w:firstLineChars="200"/>
      </w:pPr>
      <w:r>
        <w:rPr>
          <w:rFonts w:hint="eastAsia" w:ascii="仿宋" w:hAnsi="仿宋" w:eastAsia="仿宋" w:cs="仿宋_GB2312"/>
          <w:color w:val="auto"/>
          <w:sz w:val="32"/>
          <w:szCs w:val="32"/>
        </w:rPr>
        <w:t>谋划新建阳江110千伏瓦晒输变电工程，新建华山隧道</w:t>
      </w:r>
      <w:r>
        <w:rPr>
          <w:rFonts w:hint="eastAsia" w:ascii="仿宋" w:hAnsi="仿宋" w:eastAsia="仿宋" w:cs="仿宋_GB2312"/>
          <w:color w:val="auto"/>
          <w:sz w:val="32"/>
          <w:szCs w:val="32"/>
          <w:lang w:eastAsia="zh-CN"/>
        </w:rPr>
        <w:t>、环山路、隧道口（闸坡方向）至头元村等电缆通道，规划建设达港路沿线电力通道，</w:t>
      </w:r>
      <w:r>
        <w:rPr>
          <w:rFonts w:hint="eastAsia" w:ascii="仿宋" w:hAnsi="仿宋" w:eastAsia="仿宋" w:cs="仿宋_GB2312"/>
          <w:color w:val="auto"/>
          <w:sz w:val="32"/>
          <w:szCs w:val="32"/>
        </w:rPr>
        <w:t>满足海陵岛日益增长的电力负荷。坚持集中供热工程建设适度超前的原则，推动规划</w:t>
      </w:r>
      <w:bookmarkStart w:id="162" w:name="OLE_LINK55"/>
      <w:r>
        <w:rPr>
          <w:rFonts w:hint="eastAsia" w:ascii="仿宋" w:hAnsi="仿宋" w:eastAsia="仿宋" w:cs="仿宋_GB2312"/>
          <w:color w:val="auto"/>
          <w:sz w:val="32"/>
          <w:szCs w:val="32"/>
        </w:rPr>
        <w:t>海陵岛经济开发试验区燃气-蒸汽联合循环热电冷电厂项目</w:t>
      </w:r>
      <w:bookmarkEnd w:id="162"/>
      <w:r>
        <w:rPr>
          <w:rFonts w:hint="eastAsia" w:ascii="仿宋" w:hAnsi="仿宋" w:eastAsia="仿宋" w:cs="仿宋_GB2312"/>
          <w:color w:val="auto"/>
          <w:sz w:val="32"/>
          <w:szCs w:val="32"/>
        </w:rPr>
        <w:t>建设，合理划分用热区域，统筹规划布局热源点与热网，为海陵岛提供工业蒸汽和集中制冷。有序推进10t/h 及以下小容量锅炉更新换代。</w:t>
      </w:r>
    </w:p>
    <w:p>
      <w:pPr>
        <w:widowControl/>
        <w:jc w:val="center"/>
        <w:rPr>
          <w:rFonts w:eastAsia="方正小标宋简体"/>
          <w:b/>
          <w:bCs/>
          <w:color w:val="auto"/>
          <w:kern w:val="0"/>
          <w:sz w:val="28"/>
          <w:szCs w:val="28"/>
        </w:rPr>
      </w:pPr>
      <w:r>
        <w:rPr>
          <w:rFonts w:hint="eastAsia" w:eastAsia="方正小标宋简体"/>
          <w:b/>
          <w:bCs/>
          <w:color w:val="auto"/>
          <w:kern w:val="0"/>
          <w:sz w:val="28"/>
          <w:szCs w:val="28"/>
        </w:rPr>
        <w:t xml:space="preserve">专栏 </w:t>
      </w:r>
      <w:r>
        <w:rPr>
          <w:rFonts w:eastAsia="方正小标宋简体"/>
          <w:b/>
          <w:bCs/>
          <w:color w:val="auto"/>
          <w:kern w:val="0"/>
          <w:sz w:val="28"/>
          <w:szCs w:val="28"/>
        </w:rPr>
        <w:t xml:space="preserve"> </w:t>
      </w:r>
      <w:r>
        <w:rPr>
          <w:rFonts w:hint="eastAsia" w:eastAsia="方正小标宋简体"/>
          <w:b/>
          <w:bCs/>
          <w:color w:val="auto"/>
          <w:kern w:val="0"/>
          <w:sz w:val="28"/>
          <w:szCs w:val="28"/>
        </w:rPr>
        <w:t>海陵岛能源重点建设项目</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4" w:type="dxa"/>
          </w:tcPr>
          <w:p>
            <w:pPr>
              <w:spacing w:line="360" w:lineRule="auto"/>
              <w:rPr>
                <w:rFonts w:ascii="仿宋_GB2312" w:hAnsi="等线" w:eastAsia="仿宋"/>
                <w:b/>
                <w:bCs/>
                <w:color w:val="auto"/>
                <w:sz w:val="24"/>
                <w:szCs w:val="30"/>
              </w:rPr>
            </w:pPr>
            <w:r>
              <w:rPr>
                <w:rFonts w:ascii="仿宋_GB2312" w:hAnsi="等线" w:eastAsia="仿宋"/>
                <w:b/>
                <w:bCs/>
                <w:color w:val="auto"/>
                <w:sz w:val="24"/>
                <w:szCs w:val="30"/>
              </w:rPr>
              <w:t>1.</w:t>
            </w:r>
            <w:r>
              <w:rPr>
                <w:rFonts w:hint="eastAsia"/>
                <w:color w:val="auto"/>
              </w:rPr>
              <w:t xml:space="preserve"> </w:t>
            </w:r>
            <w:r>
              <w:rPr>
                <w:rFonts w:hint="eastAsia" w:ascii="仿宋_GB2312" w:hAnsi="等线" w:eastAsia="仿宋"/>
                <w:b/>
                <w:bCs/>
                <w:color w:val="auto"/>
                <w:sz w:val="24"/>
                <w:szCs w:val="30"/>
              </w:rPr>
              <w:t>银滩分布式能源站项目:</w:t>
            </w:r>
            <w:r>
              <w:rPr>
                <w:rFonts w:hint="eastAsia"/>
                <w:color w:val="auto"/>
              </w:rPr>
              <w:t xml:space="preserve"> </w:t>
            </w:r>
            <w:r>
              <w:rPr>
                <w:rFonts w:hint="eastAsia" w:ascii="仿宋_GB2312" w:hAnsi="等线" w:eastAsia="仿宋"/>
                <w:color w:val="auto"/>
                <w:sz w:val="24"/>
                <w:szCs w:val="30"/>
              </w:rPr>
              <w:t>建设规模为100MW，拟建2台50MW级燃气-蒸汽联合循环冷热电联供机组每联合循环机组。包括联合循环机组及辅助生产设施建设、配套土建工程和电气工程以及管理生活设施</w:t>
            </w:r>
          </w:p>
          <w:p>
            <w:pPr>
              <w:spacing w:line="360" w:lineRule="auto"/>
              <w:rPr>
                <w:rFonts w:ascii="仿宋_GB2312" w:hAnsi="等线" w:eastAsia="仿宋"/>
                <w:b/>
                <w:bCs/>
                <w:color w:val="auto"/>
                <w:sz w:val="24"/>
                <w:szCs w:val="30"/>
              </w:rPr>
            </w:pPr>
            <w:r>
              <w:rPr>
                <w:rFonts w:hint="eastAsia" w:ascii="仿宋_GB2312" w:hAnsi="等线" w:eastAsia="仿宋"/>
                <w:b/>
                <w:bCs/>
                <w:color w:val="auto"/>
                <w:sz w:val="24"/>
                <w:szCs w:val="30"/>
              </w:rPr>
              <w:t>2</w:t>
            </w:r>
            <w:r>
              <w:rPr>
                <w:rFonts w:ascii="仿宋_GB2312" w:hAnsi="等线" w:eastAsia="仿宋"/>
                <w:b/>
                <w:bCs/>
                <w:color w:val="auto"/>
                <w:sz w:val="24"/>
                <w:szCs w:val="30"/>
              </w:rPr>
              <w:t>.</w:t>
            </w:r>
            <w:r>
              <w:rPr>
                <w:rFonts w:hint="eastAsia" w:ascii="仿宋_GB2312" w:hAnsi="等线" w:eastAsia="仿宋"/>
                <w:b/>
                <w:bCs/>
                <w:color w:val="auto"/>
                <w:sz w:val="24"/>
                <w:szCs w:val="30"/>
              </w:rPr>
              <w:t>规划新建110kV瓦晒站站址。</w:t>
            </w:r>
            <w:r>
              <w:rPr>
                <w:rFonts w:hint="eastAsia" w:ascii="仿宋_GB2312" w:hAnsi="等线" w:eastAsia="仿宋"/>
                <w:color w:val="auto"/>
                <w:sz w:val="24"/>
                <w:szCs w:val="30"/>
              </w:rPr>
              <w:t>选址要求距离110kV闸坡站直线距离大于5公里。</w:t>
            </w:r>
          </w:p>
          <w:p>
            <w:pPr>
              <w:spacing w:line="360" w:lineRule="auto"/>
              <w:rPr>
                <w:rFonts w:hint="eastAsia" w:ascii="仿宋_GB2312" w:hAnsi="等线" w:eastAsia="仿宋"/>
                <w:b/>
                <w:bCs/>
                <w:color w:val="auto"/>
                <w:sz w:val="24"/>
                <w:szCs w:val="30"/>
                <w:lang w:eastAsia="zh-CN"/>
              </w:rPr>
            </w:pPr>
            <w:r>
              <w:rPr>
                <w:rFonts w:ascii="仿宋_GB2312" w:hAnsi="等线" w:eastAsia="仿宋"/>
                <w:b/>
                <w:bCs/>
                <w:color w:val="auto"/>
                <w:sz w:val="24"/>
                <w:szCs w:val="30"/>
              </w:rPr>
              <w:t>3</w:t>
            </w:r>
            <w:r>
              <w:rPr>
                <w:rFonts w:hint="eastAsia" w:ascii="仿宋_GB2312" w:hAnsi="等线" w:eastAsia="仿宋"/>
                <w:b/>
                <w:bCs/>
                <w:color w:val="auto"/>
                <w:sz w:val="24"/>
                <w:szCs w:val="30"/>
              </w:rPr>
              <w:t>.规划</w:t>
            </w:r>
            <w:r>
              <w:rPr>
                <w:rFonts w:hint="eastAsia" w:ascii="仿宋_GB2312" w:hAnsi="等线" w:eastAsia="仿宋"/>
                <w:b/>
                <w:bCs/>
                <w:color w:val="auto"/>
                <w:sz w:val="24"/>
                <w:szCs w:val="30"/>
                <w:lang w:eastAsia="zh-CN"/>
              </w:rPr>
              <w:t>新建</w:t>
            </w:r>
            <w:r>
              <w:rPr>
                <w:rFonts w:hint="eastAsia" w:ascii="仿宋_GB2312" w:hAnsi="等线" w:eastAsia="仿宋"/>
                <w:b/>
                <w:bCs/>
                <w:color w:val="auto"/>
                <w:sz w:val="24"/>
                <w:szCs w:val="30"/>
              </w:rPr>
              <w:t>电</w:t>
            </w:r>
            <w:r>
              <w:rPr>
                <w:rFonts w:hint="eastAsia" w:ascii="仿宋_GB2312" w:hAnsi="等线" w:eastAsia="仿宋"/>
                <w:b/>
                <w:bCs/>
                <w:color w:val="auto"/>
                <w:sz w:val="24"/>
                <w:szCs w:val="30"/>
                <w:lang w:eastAsia="zh-CN"/>
              </w:rPr>
              <w:t>力</w:t>
            </w:r>
            <w:r>
              <w:rPr>
                <w:rFonts w:hint="eastAsia" w:ascii="仿宋_GB2312" w:hAnsi="等线" w:eastAsia="仿宋"/>
                <w:b/>
                <w:bCs/>
                <w:color w:val="auto"/>
                <w:sz w:val="24"/>
                <w:szCs w:val="30"/>
              </w:rPr>
              <w:t>通道。</w:t>
            </w:r>
            <w:r>
              <w:rPr>
                <w:rFonts w:hint="eastAsia" w:ascii="仿宋_GB2312" w:hAnsi="等线" w:eastAsia="仿宋"/>
                <w:b w:val="0"/>
                <w:bCs w:val="0"/>
                <w:color w:val="auto"/>
                <w:sz w:val="24"/>
                <w:szCs w:val="30"/>
              </w:rPr>
              <w:t>新建华山隧道、环山路、隧道口（闸坡方向）至头元村等电缆通道，规划建设达港路沿线电力通道</w:t>
            </w:r>
            <w:r>
              <w:rPr>
                <w:rFonts w:hint="eastAsia" w:ascii="仿宋_GB2312" w:hAnsi="等线" w:eastAsia="仿宋"/>
                <w:b w:val="0"/>
                <w:bCs w:val="0"/>
                <w:color w:val="auto"/>
                <w:sz w:val="24"/>
                <w:szCs w:val="30"/>
                <w:lang w:eastAsia="zh-CN"/>
              </w:rPr>
              <w:t>。</w:t>
            </w:r>
          </w:p>
          <w:p>
            <w:pPr>
              <w:spacing w:line="360" w:lineRule="auto"/>
              <w:rPr>
                <w:rFonts w:ascii="仿宋" w:hAnsi="仿宋" w:eastAsia="仿宋" w:cs="仿宋_GB2312"/>
                <w:color w:val="auto"/>
                <w:sz w:val="24"/>
              </w:rPr>
            </w:pPr>
            <w:r>
              <w:rPr>
                <w:rFonts w:ascii="仿宋_GB2312" w:hAnsi="等线" w:eastAsia="仿宋"/>
                <w:b/>
                <w:bCs/>
                <w:color w:val="auto"/>
                <w:sz w:val="24"/>
                <w:szCs w:val="30"/>
              </w:rPr>
              <w:t>4</w:t>
            </w:r>
            <w:r>
              <w:rPr>
                <w:rFonts w:hint="eastAsia" w:ascii="仿宋_GB2312" w:hAnsi="等线" w:eastAsia="仿宋"/>
                <w:b/>
                <w:bCs/>
                <w:color w:val="auto"/>
                <w:sz w:val="24"/>
                <w:szCs w:val="30"/>
              </w:rPr>
              <w:t>.新建架空线路通道。</w:t>
            </w:r>
            <w:r>
              <w:rPr>
                <w:rFonts w:hint="eastAsia" w:ascii="仿宋_GB2312" w:hAnsi="等线" w:eastAsia="仿宋"/>
                <w:color w:val="auto"/>
                <w:sz w:val="24"/>
                <w:szCs w:val="30"/>
              </w:rPr>
              <w:t>通道通过丹济村、北极村、里灶村，由新建螺岛站供电到闸坡内。</w:t>
            </w:r>
          </w:p>
        </w:tc>
      </w:tr>
    </w:tbl>
    <w:p>
      <w:pPr>
        <w:numPr>
          <w:ilvl w:val="0"/>
          <w:numId w:val="3"/>
        </w:numPr>
        <w:adjustRightInd w:val="0"/>
        <w:snapToGrid w:val="0"/>
        <w:spacing w:line="600" w:lineRule="exact"/>
        <w:jc w:val="center"/>
        <w:outlineLvl w:val="1"/>
        <w:rPr>
          <w:rFonts w:hint="eastAsia" w:ascii="仿宋" w:hAnsi="仿宋" w:eastAsia="仿宋" w:cs="仿宋_GB2312"/>
          <w:b/>
          <w:bCs/>
          <w:color w:val="auto"/>
          <w:kern w:val="0"/>
          <w:sz w:val="32"/>
          <w:szCs w:val="32"/>
          <w:lang w:bidi="ar"/>
        </w:rPr>
      </w:pPr>
      <w:bookmarkStart w:id="163" w:name="_Toc2463"/>
      <w:r>
        <w:rPr>
          <w:rFonts w:hint="eastAsia" w:ascii="黑体" w:hAnsi="黑体" w:eastAsia="黑体" w:cs="仿宋"/>
          <w:color w:val="auto"/>
          <w:sz w:val="32"/>
          <w:szCs w:val="32"/>
        </w:rPr>
        <w:t>完善水利基础设施保障体系</w:t>
      </w:r>
      <w:bookmarkEnd w:id="163"/>
    </w:p>
    <w:p>
      <w:pPr>
        <w:widowControl/>
        <w:adjustRightInd w:val="0"/>
        <w:snapToGrid w:val="0"/>
        <w:spacing w:line="600" w:lineRule="exact"/>
        <w:ind w:firstLine="640" w:firstLineChars="200"/>
        <w:rPr>
          <w:rFonts w:hint="eastAsia" w:ascii="仿宋" w:hAnsi="仿宋" w:eastAsia="仿宋" w:cs="仿宋_GB2312"/>
          <w:b w:val="0"/>
          <w:bCs w:val="0"/>
          <w:color w:val="auto"/>
          <w:kern w:val="0"/>
          <w:sz w:val="32"/>
          <w:szCs w:val="32"/>
          <w:lang w:bidi="ar"/>
        </w:rPr>
      </w:pPr>
      <w:r>
        <w:rPr>
          <w:rFonts w:hint="eastAsia" w:ascii="仿宋" w:hAnsi="仿宋" w:eastAsia="仿宋" w:cs="仿宋_GB2312"/>
          <w:b w:val="0"/>
          <w:bCs w:val="0"/>
          <w:color w:val="auto"/>
          <w:kern w:val="0"/>
          <w:sz w:val="32"/>
          <w:szCs w:val="32"/>
          <w:lang w:bidi="ar"/>
        </w:rPr>
        <w:t>加快推进防洪提升工程、水资源保障工程、水生态环境修复工程、水利信息化工程投资、水利行业强监管项目五大水利工程，为海陵区提供坚强有力的水利基础设施支撑。</w:t>
      </w:r>
    </w:p>
    <w:p>
      <w:pPr>
        <w:widowControl/>
        <w:adjustRightInd w:val="0"/>
        <w:snapToGrid w:val="0"/>
        <w:spacing w:line="600" w:lineRule="exact"/>
        <w:ind w:firstLine="643" w:firstLineChars="200"/>
        <w:rPr>
          <w:rFonts w:ascii="仿宋" w:hAnsi="仿宋" w:eastAsia="仿宋" w:cs="仿宋_GB2312"/>
          <w:color w:val="auto"/>
          <w:sz w:val="32"/>
          <w:szCs w:val="32"/>
        </w:rPr>
      </w:pPr>
      <w:r>
        <w:rPr>
          <w:rFonts w:hint="eastAsia" w:ascii="仿宋" w:hAnsi="仿宋" w:eastAsia="仿宋" w:cs="仿宋_GB2312"/>
          <w:b/>
          <w:bCs/>
          <w:color w:val="auto"/>
          <w:kern w:val="0"/>
          <w:sz w:val="32"/>
          <w:szCs w:val="32"/>
          <w:lang w:bidi="ar"/>
        </w:rPr>
        <w:t>推进</w:t>
      </w:r>
      <w:bookmarkStart w:id="164" w:name="OLE_LINK59"/>
      <w:r>
        <w:rPr>
          <w:rFonts w:hint="eastAsia" w:ascii="仿宋" w:hAnsi="仿宋" w:eastAsia="仿宋" w:cs="仿宋_GB2312"/>
          <w:b/>
          <w:bCs/>
          <w:color w:val="auto"/>
          <w:kern w:val="0"/>
          <w:sz w:val="32"/>
          <w:szCs w:val="32"/>
          <w:lang w:bidi="ar"/>
        </w:rPr>
        <w:t>防洪提升工程建设</w:t>
      </w:r>
      <w:bookmarkEnd w:id="164"/>
      <w:r>
        <w:rPr>
          <w:rFonts w:hint="eastAsia" w:ascii="仿宋" w:hAnsi="仿宋" w:eastAsia="仿宋" w:cs="仿宋_GB2312"/>
          <w:b/>
          <w:bCs/>
          <w:color w:val="auto"/>
          <w:kern w:val="0"/>
          <w:sz w:val="32"/>
          <w:szCs w:val="32"/>
          <w:lang w:bidi="ar"/>
        </w:rPr>
        <w:t>。</w:t>
      </w:r>
      <w:r>
        <w:rPr>
          <w:rFonts w:hint="eastAsia" w:ascii="仿宋" w:hAnsi="仿宋" w:eastAsia="仿宋" w:cs="仿宋_GB2312"/>
          <w:color w:val="auto"/>
          <w:kern w:val="0"/>
          <w:sz w:val="32"/>
          <w:szCs w:val="32"/>
          <w:lang w:bidi="ar"/>
        </w:rPr>
        <w:t>继续开展海陵区海堤达标建设和</w:t>
      </w:r>
      <w:r>
        <w:rPr>
          <w:rFonts w:hint="eastAsia" w:ascii="仿宋" w:hAnsi="仿宋" w:eastAsia="仿宋" w:cs="仿宋_GB2312"/>
          <w:color w:val="auto"/>
          <w:sz w:val="32"/>
          <w:szCs w:val="32"/>
        </w:rPr>
        <w:t>灌区改造工程建设等</w:t>
      </w:r>
      <w:r>
        <w:rPr>
          <w:rFonts w:hint="eastAsia" w:ascii="仿宋" w:hAnsi="仿宋" w:eastAsia="仿宋" w:cs="仿宋_GB2312"/>
          <w:color w:val="auto"/>
          <w:kern w:val="0"/>
          <w:sz w:val="32"/>
          <w:szCs w:val="32"/>
          <w:lang w:bidi="ar"/>
        </w:rPr>
        <w:t>，推进海陵区北面海堤达标加固工程建设，完成小型病险水闸除险加固建设。加强水库标准化建设通过流域的综合治理、沿海地区堤防建设、水闸除险加固工程建设等，确保防洪标准达标率在</w:t>
      </w:r>
      <w:r>
        <w:rPr>
          <w:rFonts w:ascii="仿宋" w:hAnsi="仿宋" w:eastAsia="仿宋" w:cs="仿宋_GB2312"/>
          <w:color w:val="auto"/>
          <w:kern w:val="0"/>
          <w:sz w:val="32"/>
          <w:szCs w:val="32"/>
          <w:lang w:bidi="ar"/>
        </w:rPr>
        <w:t>2025</w:t>
      </w:r>
      <w:r>
        <w:rPr>
          <w:rFonts w:hint="eastAsia" w:ascii="仿宋" w:hAnsi="仿宋" w:eastAsia="仿宋" w:cs="仿宋_GB2312"/>
          <w:color w:val="auto"/>
          <w:kern w:val="0"/>
          <w:sz w:val="32"/>
          <w:szCs w:val="32"/>
          <w:lang w:bidi="ar"/>
        </w:rPr>
        <w:t>年达到</w:t>
      </w:r>
      <w:r>
        <w:rPr>
          <w:rFonts w:ascii="仿宋" w:hAnsi="仿宋" w:eastAsia="仿宋" w:cs="仿宋_GB2312"/>
          <w:color w:val="auto"/>
          <w:kern w:val="0"/>
          <w:sz w:val="32"/>
          <w:szCs w:val="32"/>
          <w:lang w:bidi="ar"/>
        </w:rPr>
        <w:t>95%</w:t>
      </w:r>
      <w:r>
        <w:rPr>
          <w:rFonts w:hint="eastAsia" w:ascii="仿宋" w:hAnsi="仿宋" w:eastAsia="仿宋" w:cs="仿宋_GB2312"/>
          <w:color w:val="auto"/>
          <w:kern w:val="0"/>
          <w:sz w:val="32"/>
          <w:szCs w:val="32"/>
          <w:lang w:bidi="ar"/>
        </w:rPr>
        <w:t>。</w:t>
      </w:r>
    </w:p>
    <w:p>
      <w:pPr>
        <w:widowControl/>
        <w:adjustRightInd w:val="0"/>
        <w:snapToGrid w:val="0"/>
        <w:spacing w:line="600" w:lineRule="exact"/>
        <w:ind w:firstLine="643" w:firstLineChars="200"/>
        <w:rPr>
          <w:rFonts w:hint="default" w:ascii="仿宋" w:hAnsi="仿宋" w:eastAsia="仿宋" w:cs="仿宋_GB2312"/>
          <w:color w:val="auto"/>
          <w:kern w:val="0"/>
          <w:sz w:val="32"/>
          <w:szCs w:val="32"/>
          <w:highlight w:val="red"/>
          <w:lang w:val="en-US" w:eastAsia="zh-CN" w:bidi="ar"/>
        </w:rPr>
      </w:pPr>
      <w:r>
        <w:rPr>
          <w:rFonts w:hint="eastAsia" w:ascii="仿宋" w:hAnsi="仿宋" w:eastAsia="仿宋" w:cs="仿宋_GB2312"/>
          <w:b/>
          <w:bCs/>
          <w:color w:val="auto"/>
          <w:kern w:val="0"/>
          <w:sz w:val="32"/>
          <w:szCs w:val="32"/>
          <w:lang w:bidi="ar"/>
        </w:rPr>
        <w:t>实施水资源保障工程。</w:t>
      </w:r>
      <w:r>
        <w:rPr>
          <w:rFonts w:hint="eastAsia" w:ascii="仿宋" w:hAnsi="仿宋" w:eastAsia="仿宋" w:cs="仿宋_GB2312"/>
          <w:color w:val="auto"/>
          <w:kern w:val="0"/>
          <w:sz w:val="32"/>
          <w:szCs w:val="32"/>
          <w:lang w:bidi="ar"/>
        </w:rPr>
        <w:t>以水资源承载能力为刚性约束，为以重点水源工程建设为抓手，加快推进水资源保障体系建设。按照“水量保证、水质达标、管理规范、运作可靠、监控到位、应急保障”的要求，加强水源地保护、重要引水 河道保护，推进饮用水源达标建设，建设应急备用水源工程，提高集 中式饮用水源安全保障水平</w:t>
      </w:r>
      <w:r>
        <w:rPr>
          <w:rFonts w:hint="eastAsia" w:ascii="仿宋" w:hAnsi="仿宋" w:eastAsia="仿宋" w:cs="仿宋_GB2312"/>
          <w:color w:val="auto"/>
          <w:kern w:val="0"/>
          <w:sz w:val="32"/>
          <w:szCs w:val="32"/>
          <w:lang w:eastAsia="zh-CN" w:bidi="ar"/>
        </w:rPr>
        <w:t>。</w:t>
      </w:r>
      <w:r>
        <w:rPr>
          <w:rFonts w:hint="eastAsia" w:ascii="仿宋" w:hAnsi="仿宋" w:eastAsia="仿宋" w:cs="仿宋_GB2312"/>
          <w:color w:val="auto"/>
          <w:kern w:val="0"/>
          <w:sz w:val="32"/>
          <w:szCs w:val="32"/>
          <w:lang w:val="en-US" w:eastAsia="zh-CN" w:bidi="ar"/>
        </w:rPr>
        <w:t xml:space="preserve">   </w:t>
      </w:r>
    </w:p>
    <w:p>
      <w:pPr>
        <w:widowControl/>
        <w:adjustRightInd w:val="0"/>
        <w:snapToGrid w:val="0"/>
        <w:spacing w:line="600" w:lineRule="exact"/>
        <w:ind w:firstLine="643" w:firstLineChars="200"/>
        <w:rPr>
          <w:rFonts w:ascii="仿宋" w:hAnsi="仿宋" w:eastAsia="仿宋" w:cs="仿宋_GB2312"/>
          <w:color w:val="auto"/>
          <w:kern w:val="0"/>
          <w:sz w:val="32"/>
          <w:szCs w:val="32"/>
          <w:lang w:bidi="ar"/>
        </w:rPr>
      </w:pPr>
      <w:bookmarkStart w:id="165" w:name="OLE_LINK60"/>
      <w:r>
        <w:rPr>
          <w:rFonts w:hint="eastAsia" w:ascii="仿宋" w:hAnsi="仿宋" w:eastAsia="仿宋" w:cs="仿宋_GB2312"/>
          <w:b/>
          <w:bCs/>
          <w:color w:val="auto"/>
          <w:kern w:val="0"/>
          <w:sz w:val="32"/>
          <w:szCs w:val="32"/>
          <w:lang w:bidi="ar"/>
        </w:rPr>
        <w:t>推进水生态保护与修复工程。</w:t>
      </w:r>
      <w:bookmarkEnd w:id="165"/>
      <w:r>
        <w:rPr>
          <w:rFonts w:hint="eastAsia" w:ascii="仿宋" w:hAnsi="仿宋" w:eastAsia="仿宋" w:cs="仿宋_GB2312"/>
          <w:color w:val="auto"/>
          <w:kern w:val="0"/>
          <w:sz w:val="32"/>
          <w:szCs w:val="32"/>
          <w:lang w:bidi="ar"/>
        </w:rPr>
        <w:t>深入实施万里碧道工程建设，</w:t>
      </w:r>
      <w:r>
        <w:rPr>
          <w:rFonts w:hint="eastAsia" w:ascii="仿宋" w:hAnsi="仿宋" w:eastAsia="仿宋" w:cs="仿宋_GB2312"/>
          <w:color w:val="auto"/>
          <w:sz w:val="32"/>
          <w:szCs w:val="32"/>
        </w:rPr>
        <w:t>规划建设大角湾段、五围沟综合治理段、新盐联围盐灶段、兰章联围主段等碧道，</w:t>
      </w:r>
      <w:r>
        <w:rPr>
          <w:rFonts w:hint="eastAsia" w:ascii="仿宋" w:hAnsi="仿宋" w:eastAsia="仿宋" w:cs="仿宋_GB2312"/>
          <w:color w:val="auto"/>
          <w:kern w:val="0"/>
          <w:sz w:val="32"/>
          <w:szCs w:val="32"/>
          <w:lang w:bidi="ar"/>
        </w:rPr>
        <w:t>将海陵区建设为水利工程完善、生态环境优美、水利与生态文明相协调的美丽开发区城市。到</w:t>
      </w:r>
      <w:r>
        <w:rPr>
          <w:rFonts w:ascii="仿宋" w:hAnsi="仿宋" w:eastAsia="仿宋" w:cs="仿宋_GB2312"/>
          <w:color w:val="auto"/>
          <w:kern w:val="0"/>
          <w:sz w:val="32"/>
          <w:szCs w:val="32"/>
          <w:lang w:bidi="ar"/>
        </w:rPr>
        <w:t xml:space="preserve">2025 </w:t>
      </w:r>
      <w:r>
        <w:rPr>
          <w:rFonts w:hint="eastAsia" w:ascii="仿宋" w:hAnsi="仿宋" w:eastAsia="仿宋" w:cs="仿宋_GB2312"/>
          <w:color w:val="auto"/>
          <w:kern w:val="0"/>
          <w:sz w:val="32"/>
          <w:szCs w:val="32"/>
          <w:lang w:bidi="ar"/>
        </w:rPr>
        <w:t xml:space="preserve">年，达到碧道建设长度 </w:t>
      </w:r>
      <w:r>
        <w:rPr>
          <w:rFonts w:ascii="仿宋" w:hAnsi="仿宋" w:eastAsia="仿宋" w:cs="仿宋_GB2312"/>
          <w:color w:val="auto"/>
          <w:kern w:val="0"/>
          <w:sz w:val="32"/>
          <w:szCs w:val="32"/>
          <w:lang w:bidi="ar"/>
        </w:rPr>
        <w:t>8.7km</w:t>
      </w:r>
      <w:r>
        <w:rPr>
          <w:rFonts w:hint="eastAsia" w:ascii="仿宋" w:hAnsi="仿宋" w:eastAsia="仿宋" w:cs="仿宋_GB2312"/>
          <w:color w:val="auto"/>
          <w:kern w:val="0"/>
          <w:sz w:val="32"/>
          <w:szCs w:val="32"/>
          <w:lang w:bidi="ar"/>
        </w:rPr>
        <w:t>的目标。</w:t>
      </w:r>
    </w:p>
    <w:p>
      <w:pPr>
        <w:pStyle w:val="11"/>
        <w:adjustRightInd w:val="0"/>
        <w:snapToGrid w:val="0"/>
        <w:spacing w:after="0" w:line="600" w:lineRule="exact"/>
        <w:ind w:left="0" w:leftChars="0" w:firstLine="643" w:firstLineChars="200"/>
        <w:rPr>
          <w:rFonts w:ascii="仿宋" w:hAnsi="仿宋" w:eastAsia="仿宋" w:cs="仿宋_GB2312"/>
          <w:color w:val="auto"/>
          <w:sz w:val="32"/>
          <w:szCs w:val="32"/>
        </w:rPr>
      </w:pPr>
      <w:r>
        <w:rPr>
          <w:rFonts w:hint="eastAsia" w:ascii="仿宋" w:hAnsi="仿宋" w:eastAsia="仿宋" w:cs="仿宋_GB2312"/>
          <w:b/>
          <w:bCs/>
          <w:color w:val="auto"/>
          <w:kern w:val="0"/>
          <w:sz w:val="32"/>
          <w:szCs w:val="32"/>
          <w:lang w:bidi="ar"/>
        </w:rPr>
        <w:t>开展水利信息化工程投资。</w:t>
      </w:r>
      <w:r>
        <w:rPr>
          <w:rFonts w:hint="eastAsia" w:ascii="仿宋" w:hAnsi="仿宋" w:eastAsia="仿宋" w:cs="仿宋_GB2312"/>
          <w:color w:val="auto"/>
          <w:sz w:val="32"/>
          <w:szCs w:val="32"/>
        </w:rPr>
        <w:t>按照监测和监管要求补充水文站网，提升既有站点监测能力，建设各级水文监测中心，构建水利信息立体采集感知体系；完善水利工程监管系统，逐步加强水利工程监管能力。有机整合海陵区水利信息化建设成果，推动5G、大数据、云计算等新一代信息技术与水利设施和水利业务深度融合，建成集全面感知、数据共享和智能应用于一体的海陵岛智慧水利平台体系。</w:t>
      </w:r>
      <w:bookmarkStart w:id="166" w:name="OLE_LINK29"/>
    </w:p>
    <w:p>
      <w:pPr>
        <w:widowControl/>
        <w:jc w:val="center"/>
        <w:rPr>
          <w:rFonts w:eastAsia="方正小标宋简体"/>
          <w:b/>
          <w:bCs/>
          <w:color w:val="auto"/>
          <w:kern w:val="0"/>
          <w:sz w:val="28"/>
          <w:szCs w:val="28"/>
        </w:rPr>
      </w:pPr>
      <w:r>
        <w:rPr>
          <w:rFonts w:hint="eastAsia" w:eastAsia="方正小标宋简体"/>
          <w:b/>
          <w:bCs/>
          <w:color w:val="auto"/>
          <w:kern w:val="0"/>
          <w:sz w:val="28"/>
          <w:szCs w:val="28"/>
        </w:rPr>
        <w:t xml:space="preserve">专栏 </w:t>
      </w:r>
      <w:r>
        <w:rPr>
          <w:rFonts w:eastAsia="方正小标宋简体"/>
          <w:b/>
          <w:bCs/>
          <w:color w:val="auto"/>
          <w:kern w:val="0"/>
          <w:sz w:val="28"/>
          <w:szCs w:val="28"/>
        </w:rPr>
        <w:t xml:space="preserve"> </w:t>
      </w:r>
      <w:r>
        <w:rPr>
          <w:rFonts w:hint="eastAsia" w:eastAsia="方正小标宋简体"/>
          <w:b/>
          <w:bCs/>
          <w:color w:val="auto"/>
          <w:kern w:val="0"/>
          <w:sz w:val="28"/>
          <w:szCs w:val="28"/>
        </w:rPr>
        <w:t>海陵岛水利重点建设工程</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4" w:type="dxa"/>
          </w:tcPr>
          <w:p>
            <w:pPr>
              <w:spacing w:line="360" w:lineRule="auto"/>
              <w:rPr>
                <w:rFonts w:ascii="仿宋_GB2312" w:hAnsi="等线" w:eastAsia="仿宋"/>
                <w:b/>
                <w:bCs/>
                <w:color w:val="auto"/>
                <w:sz w:val="24"/>
                <w:szCs w:val="30"/>
              </w:rPr>
            </w:pPr>
            <w:r>
              <w:rPr>
                <w:rFonts w:hint="eastAsia" w:ascii="仿宋_GB2312" w:hAnsi="等线" w:eastAsia="仿宋"/>
                <w:b/>
                <w:bCs/>
                <w:color w:val="auto"/>
                <w:sz w:val="24"/>
                <w:szCs w:val="30"/>
              </w:rPr>
              <w:t>一、防洪提升工程</w:t>
            </w:r>
          </w:p>
          <w:p>
            <w:pPr>
              <w:spacing w:line="360" w:lineRule="auto"/>
              <w:rPr>
                <w:rFonts w:ascii="仿宋_GB2312" w:hAnsi="等线" w:eastAsia="仿宋"/>
                <w:color w:val="auto"/>
                <w:sz w:val="24"/>
                <w:szCs w:val="30"/>
              </w:rPr>
            </w:pPr>
            <w:r>
              <w:rPr>
                <w:rFonts w:hint="eastAsia" w:ascii="仿宋_GB2312" w:hAnsi="等线" w:eastAsia="仿宋"/>
                <w:color w:val="auto"/>
                <w:sz w:val="24"/>
                <w:szCs w:val="30"/>
              </w:rPr>
              <w:t>1.海陵区小型水库标准化建设：主要建设内容为水库安装监控系统、应急照明系统、监测设备等，做到水库信息及时掌握，水库运行及时调</w:t>
            </w:r>
          </w:p>
          <w:p>
            <w:pPr>
              <w:spacing w:line="360" w:lineRule="auto"/>
              <w:rPr>
                <w:rFonts w:ascii="仿宋_GB2312" w:hAnsi="等线" w:eastAsia="仿宋"/>
                <w:color w:val="auto"/>
                <w:sz w:val="24"/>
                <w:szCs w:val="30"/>
              </w:rPr>
            </w:pPr>
            <w:r>
              <w:rPr>
                <w:rFonts w:hint="eastAsia" w:ascii="仿宋_GB2312" w:hAnsi="等线" w:eastAsia="仿宋"/>
                <w:color w:val="auto"/>
                <w:sz w:val="24"/>
                <w:szCs w:val="30"/>
              </w:rPr>
              <w:t>度。</w:t>
            </w:r>
          </w:p>
          <w:p>
            <w:pPr>
              <w:spacing w:line="360" w:lineRule="auto"/>
              <w:rPr>
                <w:rFonts w:ascii="仿宋_GB2312" w:hAnsi="等线" w:eastAsia="仿宋"/>
                <w:color w:val="auto"/>
                <w:sz w:val="24"/>
                <w:szCs w:val="30"/>
              </w:rPr>
            </w:pPr>
            <w:r>
              <w:rPr>
                <w:rFonts w:hint="eastAsia" w:ascii="仿宋_GB2312" w:hAnsi="等线" w:eastAsia="仿宋"/>
                <w:color w:val="auto"/>
                <w:sz w:val="24"/>
                <w:szCs w:val="30"/>
              </w:rPr>
              <w:t>2.小型病险水闸除险加固工程：海陵区新盐水闸重建工程、海陵区兰章联围 1 号至 5 号涵闸改造加固工程</w:t>
            </w:r>
          </w:p>
          <w:p>
            <w:pPr>
              <w:spacing w:line="360" w:lineRule="auto"/>
              <w:rPr>
                <w:rFonts w:ascii="仿宋_GB2312" w:hAnsi="等线" w:eastAsia="仿宋"/>
                <w:color w:val="auto"/>
                <w:sz w:val="24"/>
                <w:szCs w:val="30"/>
              </w:rPr>
            </w:pPr>
            <w:r>
              <w:rPr>
                <w:rFonts w:hint="eastAsia" w:ascii="仿宋_GB2312" w:hAnsi="等线" w:eastAsia="仿宋"/>
                <w:color w:val="auto"/>
                <w:sz w:val="24"/>
                <w:szCs w:val="30"/>
              </w:rPr>
              <w:t>3.海堤达标建设工程:海陵区北面海堤达标建设工程。</w:t>
            </w:r>
          </w:p>
          <w:p>
            <w:pPr>
              <w:spacing w:line="360" w:lineRule="auto"/>
              <w:rPr>
                <w:rFonts w:ascii="仿宋_GB2312" w:hAnsi="等线" w:eastAsia="仿宋"/>
                <w:b/>
                <w:bCs/>
                <w:color w:val="auto"/>
                <w:sz w:val="24"/>
                <w:szCs w:val="30"/>
              </w:rPr>
            </w:pPr>
            <w:r>
              <w:rPr>
                <w:rFonts w:hint="eastAsia" w:ascii="仿宋_GB2312" w:hAnsi="等线" w:eastAsia="仿宋"/>
                <w:b/>
                <w:bCs/>
                <w:color w:val="auto"/>
                <w:sz w:val="24"/>
                <w:szCs w:val="30"/>
              </w:rPr>
              <w:t>二、水资源保障工程</w:t>
            </w:r>
          </w:p>
          <w:p>
            <w:pPr>
              <w:spacing w:line="360" w:lineRule="auto"/>
              <w:rPr>
                <w:rFonts w:ascii="仿宋_GB2312" w:hAnsi="等线" w:eastAsia="仿宋"/>
                <w:color w:val="auto"/>
                <w:sz w:val="24"/>
                <w:szCs w:val="30"/>
              </w:rPr>
            </w:pPr>
            <w:r>
              <w:rPr>
                <w:rFonts w:hint="eastAsia" w:ascii="仿宋_GB2312" w:hAnsi="等线" w:eastAsia="仿宋"/>
                <w:color w:val="auto"/>
                <w:sz w:val="24"/>
                <w:szCs w:val="30"/>
              </w:rPr>
              <w:t>1.农村排灌基础设施：海陵区草王山水库灌区改造工程、海陵区鸡坑水库灌区改造工程、海陵区水响水库灌区改造工程</w:t>
            </w:r>
          </w:p>
          <w:p>
            <w:pPr>
              <w:spacing w:line="360" w:lineRule="auto"/>
              <w:rPr>
                <w:rFonts w:ascii="仿宋_GB2312" w:hAnsi="等线" w:eastAsia="仿宋"/>
                <w:color w:val="auto"/>
                <w:sz w:val="24"/>
                <w:szCs w:val="30"/>
              </w:rPr>
            </w:pPr>
            <w:r>
              <w:rPr>
                <w:rFonts w:hint="eastAsia" w:ascii="仿宋_GB2312" w:hAnsi="等线" w:eastAsia="仿宋"/>
                <w:color w:val="auto"/>
                <w:sz w:val="24"/>
                <w:szCs w:val="30"/>
              </w:rPr>
              <w:t>2.海陵区草王山水库备用水源污染防治与清淤整治工程</w:t>
            </w:r>
          </w:p>
          <w:p>
            <w:pPr>
              <w:spacing w:line="360" w:lineRule="auto"/>
              <w:rPr>
                <w:rFonts w:ascii="仿宋_GB2312" w:hAnsi="等线" w:eastAsia="仿宋"/>
                <w:b/>
                <w:bCs/>
                <w:color w:val="auto"/>
                <w:sz w:val="24"/>
                <w:szCs w:val="30"/>
              </w:rPr>
            </w:pPr>
            <w:r>
              <w:rPr>
                <w:rFonts w:hint="eastAsia" w:ascii="仿宋_GB2312" w:hAnsi="等线" w:eastAsia="仿宋"/>
                <w:b/>
                <w:bCs/>
                <w:color w:val="auto"/>
                <w:sz w:val="24"/>
                <w:szCs w:val="30"/>
              </w:rPr>
              <w:t>三、水生态保护与修复工程</w:t>
            </w:r>
          </w:p>
          <w:p>
            <w:pPr>
              <w:spacing w:line="360" w:lineRule="auto"/>
              <w:rPr>
                <w:rFonts w:ascii="仿宋" w:hAnsi="仿宋" w:eastAsia="仿宋" w:cs="仿宋_GB2312"/>
                <w:color w:val="auto"/>
                <w:sz w:val="24"/>
              </w:rPr>
            </w:pPr>
            <w:r>
              <w:rPr>
                <w:rFonts w:hint="eastAsia" w:ascii="仿宋_GB2312" w:hAnsi="等线" w:eastAsia="仿宋"/>
                <w:color w:val="auto"/>
                <w:sz w:val="24"/>
                <w:szCs w:val="30"/>
              </w:rPr>
              <w:t>万里碧道工程：规划建设大角湾段、五围沟综合治理段、新盐联围盐灶段、兰章联围主段等碧道建设工程。</w:t>
            </w:r>
          </w:p>
        </w:tc>
      </w:tr>
      <w:bookmarkEnd w:id="166"/>
    </w:tbl>
    <w:p>
      <w:pPr>
        <w:adjustRightInd w:val="0"/>
        <w:snapToGrid w:val="0"/>
        <w:spacing w:line="600" w:lineRule="exact"/>
        <w:jc w:val="center"/>
        <w:outlineLvl w:val="0"/>
        <w:rPr>
          <w:rFonts w:ascii="方正小标宋简体" w:eastAsia="方正小标宋简体" w:cs="仿宋" w:hAnsiTheme="minorEastAsia"/>
          <w:color w:val="auto"/>
          <w:spacing w:val="-12"/>
          <w:sz w:val="32"/>
          <w:szCs w:val="32"/>
        </w:rPr>
      </w:pPr>
      <w:bookmarkStart w:id="167" w:name="_Toc25893"/>
      <w:bookmarkStart w:id="168" w:name="OLE_LINK50"/>
      <w:r>
        <w:rPr>
          <w:rFonts w:hint="eastAsia" w:ascii="方正小标宋简体" w:eastAsia="方正小标宋简体" w:cs="仿宋" w:hAnsiTheme="minorEastAsia"/>
          <w:color w:val="auto"/>
          <w:spacing w:val="-12"/>
          <w:sz w:val="32"/>
          <w:szCs w:val="32"/>
        </w:rPr>
        <w:t>第八章 坚持全面深化改革，打造一流营商环境</w:t>
      </w:r>
      <w:bookmarkEnd w:id="167"/>
    </w:p>
    <w:p>
      <w:pPr>
        <w:adjustRightInd w:val="0"/>
        <w:snapToGrid w:val="0"/>
        <w:spacing w:line="600" w:lineRule="exact"/>
        <w:ind w:firstLine="640" w:firstLineChars="200"/>
        <w:rPr>
          <w:rFonts w:hint="eastAsia" w:ascii="仿宋" w:hAnsi="仿宋" w:eastAsia="仿宋" w:cs="方正仿宋简体"/>
          <w:color w:val="auto"/>
          <w:sz w:val="32"/>
          <w:szCs w:val="32"/>
        </w:rPr>
      </w:pPr>
      <w:r>
        <w:rPr>
          <w:rFonts w:hint="eastAsia" w:ascii="仿宋" w:hAnsi="仿宋" w:eastAsia="仿宋" w:cs="方正仿宋简体"/>
          <w:color w:val="auto"/>
          <w:sz w:val="32"/>
          <w:szCs w:val="32"/>
        </w:rPr>
        <w:t>围绕使市场在资源配置中起决定性作用和更好发挥政府作用，聚焦重要领域和关键环节，全面深化“放管服”改革，加强改革的系统集成和协同高效，降低制度性交易成本，提升发展软环境。</w:t>
      </w:r>
    </w:p>
    <w:p>
      <w:pPr>
        <w:pStyle w:val="2"/>
      </w:pPr>
    </w:p>
    <w:p>
      <w:pPr>
        <w:adjustRightInd w:val="0"/>
        <w:snapToGrid w:val="0"/>
        <w:spacing w:line="600" w:lineRule="exact"/>
        <w:jc w:val="center"/>
        <w:outlineLvl w:val="1"/>
        <w:rPr>
          <w:rFonts w:ascii="黑体" w:hAnsi="黑体" w:eastAsia="黑体" w:cs="仿宋"/>
          <w:color w:val="auto"/>
          <w:sz w:val="32"/>
          <w:szCs w:val="32"/>
          <w:lang w:val="zh-CN"/>
        </w:rPr>
      </w:pPr>
      <w:bookmarkStart w:id="169" w:name="_Toc28870"/>
      <w:bookmarkStart w:id="170" w:name="_Toc24853"/>
      <w:bookmarkStart w:id="171" w:name="_Toc59624869"/>
      <w:bookmarkStart w:id="172" w:name="_Toc6255"/>
      <w:r>
        <w:rPr>
          <w:rFonts w:hint="eastAsia" w:ascii="黑体" w:hAnsi="黑体" w:eastAsia="黑体" w:cs="仿宋"/>
          <w:color w:val="auto"/>
          <w:sz w:val="32"/>
          <w:szCs w:val="32"/>
          <w:lang w:val="zh-CN"/>
        </w:rPr>
        <w:t>第一节 全面优化营商环境</w:t>
      </w:r>
      <w:bookmarkEnd w:id="169"/>
      <w:bookmarkEnd w:id="170"/>
      <w:bookmarkEnd w:id="171"/>
      <w:bookmarkEnd w:id="172"/>
    </w:p>
    <w:p>
      <w:pPr>
        <w:adjustRightInd w:val="0"/>
        <w:snapToGrid w:val="0"/>
        <w:spacing w:line="600" w:lineRule="exact"/>
        <w:ind w:firstLine="640" w:firstLineChars="200"/>
        <w:rPr>
          <w:rFonts w:ascii="仿宋" w:hAnsi="仿宋" w:eastAsia="仿宋" w:cs="方正仿宋简体"/>
          <w:color w:val="auto"/>
          <w:sz w:val="32"/>
          <w:szCs w:val="32"/>
        </w:rPr>
      </w:pPr>
      <w:r>
        <w:rPr>
          <w:rFonts w:hint="eastAsia" w:ascii="仿宋" w:hAnsi="仿宋" w:eastAsia="仿宋" w:cs="方正仿宋简体"/>
          <w:color w:val="auto"/>
          <w:sz w:val="32"/>
          <w:szCs w:val="32"/>
        </w:rPr>
        <w:t>坚持以企业为中心，以企业需求为导向，着力解决企业开办、投资、运营、退出全流程各环节的痛点堵点难点问题。以世界银行营商环境指标体系为基础，借鉴粤港澳大湾区特别是广东自由贸易试验区可复制可推广的经验，着力打造稳定公平透明、与“双区”接轨的营商环境。推进行政审批制度改革，深化“最多跑一次”改革和“放管服”改革，进一步取消、下放和转移一批审批事项，全面取消非行政许可审批事项。继续推进相对集中行政许可权试点、商事制度、“证照分离”等改革，推动“照后减证”，建立承诺制和“容缺受理”制度，压缩企业开办时间和投资项目办理期限。深化商事制度改革。建设海陵岛企业开办一站式服务系统，推进“证照分离”“照后减证”，推行商事登记全程电子化。完善以“双随机、一公开”监管为基本手段、以重点监管为补充的监管机制。推进工程建设项目审批制度改革。实行项目提前介入制度，推行行政审批与技术审查相分离，实行联合审图。加强政府与民间资本合作（PPP）项目管理。</w:t>
      </w:r>
    </w:p>
    <w:p>
      <w:pPr>
        <w:adjustRightInd w:val="0"/>
        <w:snapToGrid w:val="0"/>
        <w:spacing w:line="600" w:lineRule="exact"/>
        <w:jc w:val="center"/>
        <w:outlineLvl w:val="1"/>
        <w:rPr>
          <w:rFonts w:ascii="黑体" w:hAnsi="黑体" w:eastAsia="黑体" w:cs="仿宋"/>
          <w:color w:val="auto"/>
          <w:sz w:val="32"/>
          <w:szCs w:val="32"/>
          <w:lang w:val="zh-CN"/>
        </w:rPr>
      </w:pPr>
      <w:bookmarkStart w:id="173" w:name="_Toc7405"/>
      <w:bookmarkStart w:id="174" w:name="_Toc59624870"/>
      <w:bookmarkStart w:id="175" w:name="_Toc8234"/>
      <w:bookmarkStart w:id="176" w:name="_Toc7153"/>
      <w:bookmarkStart w:id="177" w:name="_Toc23470"/>
      <w:r>
        <w:rPr>
          <w:rFonts w:hint="eastAsia" w:ascii="黑体" w:hAnsi="黑体" w:eastAsia="黑体" w:cs="仿宋"/>
          <w:color w:val="auto"/>
          <w:sz w:val="32"/>
          <w:szCs w:val="32"/>
          <w:lang w:val="zh-CN"/>
        </w:rPr>
        <w:t>第二节 创新完善政府管理</w:t>
      </w:r>
      <w:bookmarkEnd w:id="173"/>
      <w:bookmarkEnd w:id="174"/>
      <w:bookmarkEnd w:id="175"/>
      <w:bookmarkEnd w:id="176"/>
      <w:bookmarkEnd w:id="177"/>
    </w:p>
    <w:p>
      <w:pPr>
        <w:adjustRightInd w:val="0"/>
        <w:snapToGrid w:val="0"/>
        <w:spacing w:line="600" w:lineRule="exact"/>
        <w:ind w:firstLine="640" w:firstLineChars="200"/>
        <w:rPr>
          <w:rFonts w:ascii="仿宋" w:hAnsi="仿宋" w:eastAsia="仿宋" w:cs="方正仿宋简体"/>
          <w:color w:val="auto"/>
          <w:sz w:val="32"/>
          <w:szCs w:val="32"/>
        </w:rPr>
      </w:pPr>
      <w:r>
        <w:rPr>
          <w:rFonts w:hint="eastAsia" w:ascii="仿宋" w:hAnsi="仿宋" w:eastAsia="仿宋" w:cs="方正仿宋简体"/>
          <w:color w:val="auto"/>
          <w:sz w:val="32"/>
          <w:szCs w:val="32"/>
        </w:rPr>
        <w:t>加快转变政府职能，建设职责明确、依法行政的政府治理体系。深化简政放权、放管结合、优化服务改革，全面实行政府权责清单制度。</w:t>
      </w:r>
    </w:p>
    <w:p>
      <w:pPr>
        <w:adjustRightInd w:val="0"/>
        <w:snapToGrid w:val="0"/>
        <w:spacing w:line="600" w:lineRule="exact"/>
        <w:ind w:firstLine="643" w:firstLineChars="200"/>
        <w:rPr>
          <w:rFonts w:ascii="仿宋" w:hAnsi="仿宋" w:eastAsia="仿宋" w:cs="方正仿宋简体"/>
          <w:color w:val="auto"/>
          <w:sz w:val="32"/>
          <w:szCs w:val="32"/>
        </w:rPr>
      </w:pPr>
      <w:r>
        <w:rPr>
          <w:rFonts w:hint="eastAsia" w:ascii="仿宋" w:hAnsi="仿宋" w:eastAsia="仿宋"/>
          <w:b/>
          <w:bCs w:val="0"/>
          <w:color w:val="auto"/>
          <w:sz w:val="32"/>
          <w:szCs w:val="32"/>
        </w:rPr>
        <w:t>优化政府职责体系。</w:t>
      </w:r>
      <w:r>
        <w:rPr>
          <w:rFonts w:hint="eastAsia" w:ascii="仿宋" w:hAnsi="仿宋" w:eastAsia="仿宋" w:cs="方正仿宋简体"/>
          <w:color w:val="auto"/>
          <w:sz w:val="32"/>
          <w:szCs w:val="32"/>
        </w:rPr>
        <w:t>推进政府机构科学设置，统筹利用行政管理资源，优化政府组织机构。</w:t>
      </w:r>
      <w:r>
        <w:rPr>
          <w:rFonts w:hint="eastAsia" w:ascii="仿宋" w:hAnsi="仿宋" w:eastAsia="仿宋"/>
          <w:color w:val="auto"/>
          <w:sz w:val="32"/>
          <w:szCs w:val="32"/>
        </w:rPr>
        <w:t>深入推进简政放权，</w:t>
      </w:r>
      <w:r>
        <w:rPr>
          <w:rFonts w:hint="eastAsia" w:ascii="仿宋" w:hAnsi="仿宋" w:eastAsia="仿宋" w:cs="方正仿宋简体"/>
          <w:color w:val="auto"/>
          <w:sz w:val="32"/>
          <w:szCs w:val="32"/>
        </w:rPr>
        <w:t>持续精简行政许可事项，</w:t>
      </w:r>
      <w:r>
        <w:rPr>
          <w:rFonts w:ascii="仿宋" w:hAnsi="仿宋" w:eastAsia="仿宋" w:cs="方正仿宋简体"/>
          <w:color w:val="auto"/>
          <w:sz w:val="32"/>
          <w:szCs w:val="32"/>
        </w:rPr>
        <w:t>完善政府权责清单动态管理。</w:t>
      </w:r>
      <w:r>
        <w:rPr>
          <w:rFonts w:hint="eastAsia" w:ascii="仿宋" w:hAnsi="仿宋" w:eastAsia="仿宋"/>
          <w:color w:val="auto"/>
          <w:sz w:val="32"/>
          <w:szCs w:val="32"/>
        </w:rPr>
        <w:t>健全行政决策、行政执行、行政组织、行政监督体制，加强部门协调配合。深化行政执法体制改革，最大限度减少不必要的行政执法事项。</w:t>
      </w:r>
      <w:r>
        <w:rPr>
          <w:rFonts w:hint="eastAsia" w:ascii="仿宋" w:hAnsi="仿宋" w:eastAsia="仿宋" w:cs="方正仿宋简体"/>
          <w:color w:val="auto"/>
          <w:sz w:val="32"/>
          <w:szCs w:val="32"/>
        </w:rPr>
        <w:t>持续推进事业单位改革，完善章程管理等制度机制，推进政事分开、事企分开、管办分开。</w:t>
      </w:r>
    </w:p>
    <w:p>
      <w:pPr>
        <w:adjustRightInd w:val="0"/>
        <w:snapToGrid w:val="0"/>
        <w:spacing w:line="600" w:lineRule="exact"/>
        <w:ind w:firstLine="643" w:firstLineChars="200"/>
        <w:rPr>
          <w:rFonts w:ascii="仿宋" w:hAnsi="仿宋" w:eastAsia="仿宋"/>
          <w:bCs/>
          <w:color w:val="auto"/>
          <w:sz w:val="32"/>
          <w:szCs w:val="32"/>
        </w:rPr>
      </w:pPr>
      <w:r>
        <w:rPr>
          <w:rFonts w:hint="eastAsia" w:ascii="仿宋" w:hAnsi="仿宋" w:eastAsia="仿宋" w:cs="仿宋_GB2312"/>
          <w:b/>
          <w:bCs/>
          <w:color w:val="auto"/>
          <w:sz w:val="32"/>
          <w:szCs w:val="32"/>
        </w:rPr>
        <w:t>全面推进“数字政府”建设。</w:t>
      </w:r>
      <w:r>
        <w:rPr>
          <w:rFonts w:hint="eastAsia" w:ascii="仿宋" w:hAnsi="仿宋" w:eastAsia="仿宋" w:cs="仿宋_GB2312"/>
          <w:color w:val="auto"/>
          <w:sz w:val="32"/>
          <w:szCs w:val="32"/>
        </w:rPr>
        <w:t>充分利用移动互联网、大数据、人工智能等技术，积极推动海陵岛“数字政府”平台接入阳江市“数字政府”平台，以“粤省事”、广东政务服务网以及协同办公平台为依托，实现政务信息资源整合、开放共享和业务协同。加强组织领导，建立主要领导负责制，强化统筹协调，保障“数字政府”改革工作顺利开展。出台与“数字政府”改革建设相适应的配套制度，构建各部门协同联动的综合协调机制。完成全岛政务服务事项实施清单“十统一”标准化梳理工作，统一市、县（市、区）、镇（街道）、村（社区）四级公共服务事项名称和实施清单基本要素，推进政务服务事项标准化。加快推进“一门、一窗、一网、一次”政务服务体系建设，进一步规范政务服务管理，提升政务服务质量。落实“数字政府”建设“好差评”制度，制定“数字政府”建设运营全过程质量管理要求和绩效评估指标体系，引进专业机构开展第三方评估工作，持续优化“数字政府”建设发展环境。依托“数字政府”专家委员会，组织相关研究、交流活动，提升信息化建设层次。定期组织相关部门进行“数字政府”和信息化发展培训、轮训工作，做好“数字政府”建设的教育、宣贯工作。强化互联网宣传，提升公众参与度，加强对“数字政府”建设的舆论引导。加强数据安全保护，切实保障“数字政府”信息基础设施、平台和应用系统平稳高效安全运行。</w:t>
      </w:r>
    </w:p>
    <w:p>
      <w:pPr>
        <w:adjustRightInd w:val="0"/>
        <w:snapToGrid w:val="0"/>
        <w:spacing w:line="600" w:lineRule="exact"/>
        <w:ind w:firstLine="643" w:firstLineChars="200"/>
        <w:rPr>
          <w:rFonts w:ascii="仿宋" w:hAnsi="仿宋" w:eastAsia="仿宋"/>
          <w:color w:val="auto"/>
          <w:sz w:val="32"/>
          <w:szCs w:val="32"/>
        </w:rPr>
      </w:pPr>
      <w:r>
        <w:rPr>
          <w:rFonts w:hint="eastAsia" w:ascii="仿宋" w:hAnsi="仿宋" w:eastAsia="仿宋"/>
          <w:b/>
          <w:color w:val="auto"/>
          <w:sz w:val="32"/>
          <w:szCs w:val="32"/>
        </w:rPr>
        <w:t>加快社会信用体系建设。</w:t>
      </w:r>
      <w:r>
        <w:rPr>
          <w:rFonts w:hint="eastAsia" w:ascii="仿宋" w:hAnsi="仿宋" w:eastAsia="仿宋" w:cs="方正仿宋简体"/>
          <w:color w:val="auto"/>
          <w:sz w:val="32"/>
          <w:szCs w:val="32"/>
        </w:rPr>
        <w:t>全面加强政务诚信、商务诚信、社会诚信和司法公信建设，建设更注重法治化、标准化、规范化的社会信用体系，充分发挥社会信用体系建设对优化营商环境的支撑作用。探索实行信用承诺制，全面推开信用核查和信用联合奖惩，在公共资源交易等领域推行信用评分，加快建立以信用为基础的新型监管机制。推广“信易贷”模式，开展守信激励创新试点，拓展创新社会化、市场化守信激励措施，实现信用惠民便企。</w:t>
      </w:r>
    </w:p>
    <w:p>
      <w:pPr>
        <w:adjustRightInd w:val="0"/>
        <w:snapToGrid w:val="0"/>
        <w:spacing w:line="600" w:lineRule="exact"/>
        <w:jc w:val="center"/>
        <w:outlineLvl w:val="1"/>
        <w:rPr>
          <w:rFonts w:ascii="黑体" w:hAnsi="黑体" w:eastAsia="黑体" w:cs="仿宋"/>
          <w:color w:val="auto"/>
          <w:sz w:val="32"/>
          <w:szCs w:val="32"/>
          <w:lang w:val="zh-CN"/>
        </w:rPr>
      </w:pPr>
      <w:bookmarkStart w:id="178" w:name="_Toc59624871"/>
      <w:bookmarkStart w:id="179" w:name="_Toc25470"/>
      <w:bookmarkStart w:id="180" w:name="_Toc13206"/>
      <w:bookmarkStart w:id="181" w:name="_Toc3442"/>
      <w:bookmarkStart w:id="182" w:name="_Toc11916"/>
      <w:r>
        <w:rPr>
          <w:rFonts w:hint="eastAsia" w:ascii="黑体" w:hAnsi="黑体" w:eastAsia="黑体" w:cs="仿宋"/>
          <w:color w:val="auto"/>
          <w:sz w:val="32"/>
          <w:szCs w:val="32"/>
          <w:lang w:val="zh-CN"/>
        </w:rPr>
        <w:t>第三节 推进要素市场化配置改革</w:t>
      </w:r>
      <w:bookmarkEnd w:id="178"/>
      <w:bookmarkEnd w:id="179"/>
      <w:bookmarkEnd w:id="180"/>
      <w:bookmarkEnd w:id="181"/>
      <w:bookmarkEnd w:id="182"/>
    </w:p>
    <w:p>
      <w:pPr>
        <w:adjustRightInd w:val="0"/>
        <w:snapToGrid w:val="0"/>
        <w:spacing w:line="600" w:lineRule="exact"/>
        <w:ind w:firstLine="640" w:firstLineChars="200"/>
        <w:rPr>
          <w:rFonts w:ascii="仿宋" w:hAnsi="仿宋" w:eastAsia="仿宋" w:cs="方正仿宋简体"/>
          <w:color w:val="auto"/>
          <w:sz w:val="32"/>
          <w:szCs w:val="32"/>
        </w:rPr>
      </w:pPr>
      <w:r>
        <w:rPr>
          <w:rFonts w:hint="eastAsia" w:ascii="仿宋" w:hAnsi="仿宋" w:eastAsia="仿宋" w:cs="方正仿宋简体"/>
          <w:color w:val="auto"/>
          <w:sz w:val="32"/>
          <w:szCs w:val="32"/>
        </w:rPr>
        <w:t>推进要素市场制度建设，健全土地、劳动力、资本、技术、数据等生产要素由市场评价贡献、按贡献决定报酬的机制，实现要素价格市场决定、流动自主有序、配置高效公平。深化土地制度改革，探索点状供地模式，推进“三旧”改造。推进劳动力要素市场化配置，健全适应城乡融合发展的劳动力流动制度。建立健全多层次资本市场体系，拓宽企业融资渠道。</w:t>
      </w:r>
      <w:r>
        <w:rPr>
          <w:rFonts w:hint="eastAsia" w:ascii="仿宋" w:hAnsi="仿宋" w:eastAsia="仿宋" w:cs="仿宋"/>
          <w:color w:val="auto"/>
          <w:sz w:val="32"/>
          <w:szCs w:val="32"/>
        </w:rPr>
        <w:t>加快发展技术要素市场，推动技术转移和科技成果转化。</w:t>
      </w:r>
      <w:r>
        <w:rPr>
          <w:rFonts w:hint="eastAsia" w:ascii="仿宋" w:hAnsi="仿宋" w:eastAsia="仿宋" w:cs="方正仿宋简体"/>
          <w:color w:val="auto"/>
          <w:sz w:val="32"/>
          <w:szCs w:val="32"/>
        </w:rPr>
        <w:t>培育发展数据要素市场，</w:t>
      </w:r>
      <w:r>
        <w:rPr>
          <w:rFonts w:hint="eastAsia" w:ascii="仿宋" w:hAnsi="仿宋" w:eastAsia="仿宋" w:cs="仿宋"/>
          <w:color w:val="auto"/>
          <w:sz w:val="32"/>
          <w:szCs w:val="32"/>
        </w:rPr>
        <w:t>研究建立公共数据开放和数据资源有效流动、数据产权确权、数据隐私保护的制度规范。</w:t>
      </w:r>
      <w:r>
        <w:rPr>
          <w:rFonts w:hint="eastAsia" w:ascii="仿宋" w:hAnsi="仿宋" w:eastAsia="仿宋" w:cs="方正仿宋简体"/>
          <w:color w:val="auto"/>
          <w:sz w:val="32"/>
          <w:szCs w:val="32"/>
        </w:rPr>
        <w:t>推动供配电体制改革创新，推动油气体制改革。</w:t>
      </w:r>
      <w:r>
        <w:rPr>
          <w:rFonts w:hint="eastAsia" w:ascii="仿宋" w:hAnsi="仿宋" w:eastAsia="仿宋"/>
          <w:color w:val="auto"/>
          <w:sz w:val="32"/>
          <w:szCs w:val="32"/>
        </w:rPr>
        <w:t>健全要素市场运行机制，完善要素交易规则和服务体系。</w:t>
      </w:r>
    </w:p>
    <w:p>
      <w:pPr>
        <w:adjustRightInd w:val="0"/>
        <w:snapToGrid w:val="0"/>
        <w:spacing w:line="600" w:lineRule="exact"/>
        <w:jc w:val="center"/>
        <w:outlineLvl w:val="1"/>
        <w:rPr>
          <w:rFonts w:ascii="黑体" w:hAnsi="黑体" w:eastAsia="黑体" w:cs="仿宋"/>
          <w:color w:val="auto"/>
          <w:sz w:val="32"/>
          <w:szCs w:val="32"/>
          <w:lang w:val="zh-CN"/>
        </w:rPr>
      </w:pPr>
      <w:bookmarkStart w:id="183" w:name="_Toc20378"/>
      <w:bookmarkStart w:id="184" w:name="_Toc6729"/>
      <w:bookmarkStart w:id="185" w:name="_Toc59624872"/>
      <w:bookmarkStart w:id="186" w:name="_Toc25383"/>
      <w:bookmarkStart w:id="187" w:name="_Toc1103"/>
      <w:r>
        <w:rPr>
          <w:rFonts w:hint="eastAsia" w:ascii="黑体" w:hAnsi="黑体" w:eastAsia="黑体" w:cs="仿宋"/>
          <w:color w:val="auto"/>
          <w:sz w:val="32"/>
          <w:szCs w:val="32"/>
          <w:lang w:val="zh-CN"/>
        </w:rPr>
        <w:t>第四节 激发各类市场主体活力</w:t>
      </w:r>
      <w:bookmarkEnd w:id="183"/>
      <w:bookmarkEnd w:id="184"/>
      <w:bookmarkEnd w:id="185"/>
      <w:bookmarkEnd w:id="186"/>
      <w:bookmarkEnd w:id="187"/>
    </w:p>
    <w:p>
      <w:pPr>
        <w:adjustRightInd w:val="0"/>
        <w:snapToGrid w:val="0"/>
        <w:spacing w:line="600" w:lineRule="exact"/>
        <w:ind w:firstLine="640" w:firstLineChars="200"/>
        <w:rPr>
          <w:rFonts w:ascii="仿宋" w:hAnsi="仿宋" w:eastAsia="仿宋" w:cs="方正仿宋简体"/>
          <w:color w:val="auto"/>
          <w:sz w:val="32"/>
          <w:szCs w:val="32"/>
        </w:rPr>
      </w:pPr>
      <w:r>
        <w:rPr>
          <w:rFonts w:hint="eastAsia" w:ascii="仿宋" w:hAnsi="仿宋" w:eastAsia="仿宋" w:cs="方正仿宋简体"/>
          <w:color w:val="auto"/>
          <w:sz w:val="32"/>
          <w:szCs w:val="32"/>
        </w:rPr>
        <w:t>毫不动摇巩固和发展公有制经济，毫不动摇鼓励、支持、引导非公有制经济发展。</w:t>
      </w:r>
      <w:r>
        <w:rPr>
          <w:rFonts w:hint="eastAsia" w:ascii="仿宋" w:hAnsi="仿宋" w:eastAsia="仿宋"/>
          <w:bCs/>
          <w:color w:val="auto"/>
          <w:sz w:val="32"/>
          <w:szCs w:val="32"/>
        </w:rPr>
        <w:t>全面实施市场准入负面清单制度，</w:t>
      </w:r>
      <w:r>
        <w:rPr>
          <w:rFonts w:hint="eastAsia" w:ascii="仿宋" w:hAnsi="仿宋" w:eastAsia="仿宋" w:cs="方正仿宋简体"/>
          <w:color w:val="auto"/>
          <w:sz w:val="32"/>
          <w:szCs w:val="32"/>
        </w:rPr>
        <w:t>推动“非禁即入”普遍落实，建立健全与市场准入负面清单制度相适应的准入机制、审批机制、事中事后监管机制、社会信用体系和激励奖惩机制、商事登记制度等，使市场既充满活力又规范有序。</w:t>
      </w:r>
    </w:p>
    <w:p>
      <w:pPr>
        <w:adjustRightInd w:val="0"/>
        <w:snapToGrid w:val="0"/>
        <w:spacing w:line="600" w:lineRule="exact"/>
        <w:ind w:firstLine="643" w:firstLineChars="200"/>
        <w:rPr>
          <w:rFonts w:ascii="仿宋" w:hAnsi="仿宋" w:eastAsia="仿宋" w:cs="方正仿宋简体"/>
          <w:color w:val="auto"/>
          <w:sz w:val="32"/>
          <w:szCs w:val="32"/>
        </w:rPr>
      </w:pPr>
      <w:r>
        <w:rPr>
          <w:rFonts w:hint="eastAsia" w:ascii="仿宋" w:hAnsi="仿宋" w:eastAsia="仿宋"/>
          <w:b/>
          <w:color w:val="auto"/>
          <w:sz w:val="32"/>
          <w:szCs w:val="32"/>
        </w:rPr>
        <w:t>深化国有企业改革。</w:t>
      </w:r>
      <w:r>
        <w:rPr>
          <w:rFonts w:hint="eastAsia" w:ascii="仿宋" w:hAnsi="仿宋" w:eastAsia="仿宋" w:cs="方正仿宋简体"/>
          <w:color w:val="auto"/>
          <w:sz w:val="32"/>
          <w:szCs w:val="32"/>
        </w:rPr>
        <w:t>完善现代产权制度，积极推进混合所有制改革，将国有资本主体集中到基础性、公共性、平台性、引领性等重要行业和关键领域，建立适应市场要求的市场化经营机制，提高国有资本运行效率。“一企一策”推动省属、市属国有企业战略重组，按照完善治理、强化激励、突出主业、提高效率的要求推进国有企业改革，推动国有企业走规模化竞争道路。</w:t>
      </w:r>
    </w:p>
    <w:p>
      <w:pPr>
        <w:adjustRightInd w:val="0"/>
        <w:snapToGrid w:val="0"/>
        <w:spacing w:line="600" w:lineRule="exact"/>
        <w:ind w:firstLine="643" w:firstLineChars="200"/>
        <w:rPr>
          <w:rFonts w:ascii="方正小标宋简体" w:eastAsia="方正小标宋简体" w:cs="仿宋" w:hAnsiTheme="minorEastAsia"/>
          <w:color w:val="auto"/>
          <w:spacing w:val="-12"/>
          <w:sz w:val="32"/>
          <w:szCs w:val="32"/>
        </w:rPr>
      </w:pPr>
      <w:r>
        <w:rPr>
          <w:rFonts w:hint="eastAsia" w:ascii="仿宋" w:hAnsi="仿宋" w:eastAsia="仿宋"/>
          <w:b/>
          <w:color w:val="auto"/>
          <w:sz w:val="32"/>
          <w:szCs w:val="32"/>
        </w:rPr>
        <w:t>大力发展民营经济</w:t>
      </w:r>
      <w:r>
        <w:rPr>
          <w:rFonts w:hint="eastAsia" w:ascii="仿宋" w:hAnsi="仿宋" w:eastAsia="仿宋" w:cs="方正仿宋简体"/>
          <w:b/>
          <w:color w:val="auto"/>
          <w:sz w:val="32"/>
          <w:szCs w:val="32"/>
        </w:rPr>
        <w:t>。</w:t>
      </w:r>
      <w:r>
        <w:rPr>
          <w:rFonts w:hint="eastAsia" w:ascii="仿宋" w:hAnsi="仿宋" w:eastAsia="仿宋" w:cs="方正仿宋简体"/>
          <w:color w:val="auto"/>
          <w:sz w:val="32"/>
          <w:szCs w:val="32"/>
        </w:rPr>
        <w:t>落实减税降费政策，完善用地、融资等惠企政策措施，支持个体工商户发展，促进“个转企、小升规”。全面实施公平竞争审查制度，清理废除妨碍统一市场和公平竞争的存量政策。</w:t>
      </w:r>
      <w:bookmarkStart w:id="188" w:name="_Toc40376873"/>
      <w:bookmarkStart w:id="189" w:name="_Toc40376211"/>
      <w:bookmarkStart w:id="190" w:name="_Toc38578998"/>
      <w:bookmarkStart w:id="191" w:name="_Toc38187098"/>
      <w:bookmarkStart w:id="192" w:name="_Toc40113083"/>
      <w:r>
        <w:rPr>
          <w:rFonts w:hint="eastAsia" w:ascii="仿宋" w:hAnsi="仿宋" w:eastAsia="仿宋" w:cs="方正仿宋简体"/>
          <w:color w:val="auto"/>
          <w:sz w:val="32"/>
          <w:szCs w:val="32"/>
        </w:rPr>
        <w:t>激发和保护企业家精神，构建亲清政商关系</w:t>
      </w:r>
      <w:bookmarkEnd w:id="188"/>
      <w:bookmarkEnd w:id="189"/>
      <w:bookmarkEnd w:id="190"/>
      <w:bookmarkEnd w:id="191"/>
      <w:bookmarkEnd w:id="192"/>
      <w:r>
        <w:rPr>
          <w:rFonts w:hint="eastAsia" w:ascii="仿宋" w:hAnsi="仿宋" w:eastAsia="仿宋" w:cs="方正仿宋简体"/>
          <w:color w:val="auto"/>
          <w:sz w:val="32"/>
          <w:szCs w:val="32"/>
        </w:rPr>
        <w:t>，营造亲商重商浓厚氛围，支持企业家扎根海陵岛创业兴业。</w:t>
      </w:r>
    </w:p>
    <w:p>
      <w:pPr>
        <w:adjustRightInd w:val="0"/>
        <w:snapToGrid w:val="0"/>
        <w:spacing w:line="600" w:lineRule="exact"/>
        <w:jc w:val="center"/>
        <w:outlineLvl w:val="0"/>
        <w:rPr>
          <w:rFonts w:ascii="方正小标宋简体" w:eastAsia="方正小标宋简体" w:cs="仿宋" w:hAnsiTheme="minorEastAsia"/>
          <w:color w:val="auto"/>
          <w:spacing w:val="-12"/>
          <w:sz w:val="32"/>
          <w:szCs w:val="32"/>
        </w:rPr>
      </w:pPr>
      <w:bookmarkStart w:id="193" w:name="_Toc27484"/>
      <w:r>
        <w:rPr>
          <w:rFonts w:hint="eastAsia" w:ascii="方正小标宋简体" w:eastAsia="方正小标宋简体" w:cs="仿宋" w:hAnsiTheme="minorEastAsia"/>
          <w:color w:val="auto"/>
          <w:spacing w:val="-12"/>
          <w:sz w:val="32"/>
          <w:szCs w:val="32"/>
        </w:rPr>
        <w:t>第九章 坚持农业农村优先，深入实施乡村振兴战略</w:t>
      </w:r>
      <w:bookmarkEnd w:id="193"/>
    </w:p>
    <w:p>
      <w:pPr>
        <w:pStyle w:val="25"/>
        <w:adjustRightInd w:val="0"/>
        <w:snapToGrid w:val="0"/>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深入推进乡村振兴，聚焦农业、农村、农民，把农业农村放在突出位置，推动海陵岛乡村产业兴旺、生态宜居、乡风文明、治理有效、生活富裕，探索践行具有南国旅游岛和渔乡特色的乡村振兴之路。</w:t>
      </w:r>
    </w:p>
    <w:p>
      <w:pPr>
        <w:adjustRightInd w:val="0"/>
        <w:snapToGrid w:val="0"/>
        <w:spacing w:line="600" w:lineRule="exact"/>
        <w:jc w:val="center"/>
        <w:outlineLvl w:val="1"/>
        <w:rPr>
          <w:rFonts w:ascii="黑体" w:hAnsi="黑体" w:eastAsia="黑体" w:cs="仿宋"/>
          <w:color w:val="auto"/>
          <w:sz w:val="32"/>
          <w:szCs w:val="32"/>
          <w:lang w:val="zh-CN"/>
        </w:rPr>
      </w:pPr>
      <w:bookmarkStart w:id="194" w:name="_Toc17124"/>
      <w:r>
        <w:rPr>
          <w:rFonts w:hint="eastAsia" w:ascii="黑体" w:hAnsi="黑体" w:eastAsia="黑体" w:cs="仿宋"/>
          <w:color w:val="auto"/>
          <w:sz w:val="32"/>
          <w:szCs w:val="32"/>
          <w:lang w:val="zh-CN"/>
        </w:rPr>
        <w:t>第一节 推动农村面貌改善</w:t>
      </w:r>
      <w:bookmarkEnd w:id="194"/>
    </w:p>
    <w:p>
      <w:pPr>
        <w:adjustRightInd w:val="0"/>
        <w:snapToGrid w:val="0"/>
        <w:spacing w:line="600" w:lineRule="exact"/>
        <w:ind w:firstLine="643" w:firstLineChars="200"/>
        <w:rPr>
          <w:rFonts w:ascii="仿宋" w:hAnsi="仿宋" w:eastAsia="仿宋" w:cs="仿宋_GB2312"/>
          <w:color w:val="auto"/>
          <w:sz w:val="32"/>
          <w:szCs w:val="32"/>
        </w:rPr>
      </w:pPr>
      <w:r>
        <w:rPr>
          <w:rFonts w:hint="eastAsia" w:ascii="仿宋" w:hAnsi="仿宋" w:eastAsia="仿宋" w:cs="仿宋_GB2312"/>
          <w:b/>
          <w:bCs/>
          <w:color w:val="auto"/>
          <w:sz w:val="32"/>
          <w:szCs w:val="32"/>
        </w:rPr>
        <w:t>推动</w:t>
      </w:r>
      <w:r>
        <w:rPr>
          <w:rFonts w:ascii="仿宋" w:hAnsi="仿宋" w:eastAsia="仿宋" w:cs="仿宋_GB2312"/>
          <w:b/>
          <w:bCs/>
          <w:color w:val="auto"/>
          <w:sz w:val="32"/>
          <w:szCs w:val="32"/>
        </w:rPr>
        <w:t>省级</w:t>
      </w:r>
      <w:r>
        <w:rPr>
          <w:rFonts w:hint="eastAsia" w:ascii="仿宋" w:hAnsi="仿宋" w:eastAsia="仿宋" w:cs="仿宋_GB2312"/>
          <w:b/>
          <w:bCs/>
          <w:color w:val="auto"/>
          <w:sz w:val="32"/>
          <w:szCs w:val="32"/>
        </w:rPr>
        <w:t>新农村</w:t>
      </w:r>
      <w:r>
        <w:rPr>
          <w:rFonts w:ascii="仿宋" w:hAnsi="仿宋" w:eastAsia="仿宋" w:cs="仿宋_GB2312"/>
          <w:b/>
          <w:bCs/>
          <w:color w:val="auto"/>
          <w:sz w:val="32"/>
          <w:szCs w:val="32"/>
        </w:rPr>
        <w:t>示范片区</w:t>
      </w:r>
      <w:r>
        <w:rPr>
          <w:rFonts w:hint="eastAsia" w:ascii="仿宋" w:hAnsi="仿宋" w:eastAsia="仿宋" w:cs="仿宋_GB2312"/>
          <w:b/>
          <w:bCs/>
          <w:color w:val="auto"/>
          <w:sz w:val="32"/>
          <w:szCs w:val="32"/>
        </w:rPr>
        <w:t>高质量发展。</w:t>
      </w:r>
      <w:r>
        <w:rPr>
          <w:rFonts w:hint="eastAsia" w:ascii="仿宋" w:hAnsi="仿宋" w:eastAsia="仿宋" w:cs="仿宋_GB2312"/>
          <w:color w:val="auto"/>
          <w:sz w:val="32"/>
          <w:szCs w:val="32"/>
        </w:rPr>
        <w:t>立足海陵岛</w:t>
      </w:r>
      <w:r>
        <w:rPr>
          <w:rFonts w:hint="eastAsia" w:ascii="仿宋" w:hAnsi="仿宋" w:eastAsia="仿宋" w:cs="仿宋_GB2312"/>
          <w:color w:val="auto"/>
          <w:sz w:val="32"/>
          <w:szCs w:val="32"/>
          <w:lang w:val="en-US" w:eastAsia="zh-CN"/>
        </w:rPr>
        <w:t>5</w:t>
      </w:r>
      <w:r>
        <w:rPr>
          <w:rFonts w:ascii="仿宋" w:hAnsi="仿宋" w:eastAsia="仿宋" w:cs="仿宋_GB2312"/>
          <w:color w:val="auto"/>
          <w:sz w:val="32"/>
          <w:szCs w:val="32"/>
        </w:rPr>
        <w:t>个省级示范片工程</w:t>
      </w:r>
      <w:r>
        <w:rPr>
          <w:rFonts w:hint="eastAsia" w:ascii="仿宋" w:hAnsi="仿宋" w:eastAsia="仿宋" w:cs="仿宋_GB2312"/>
          <w:color w:val="auto"/>
          <w:sz w:val="32"/>
          <w:szCs w:val="32"/>
        </w:rPr>
        <w:t>建设，推动打造</w:t>
      </w:r>
      <w:r>
        <w:rPr>
          <w:rFonts w:ascii="仿宋" w:hAnsi="仿宋" w:eastAsia="仿宋" w:cs="仿宋_GB2312"/>
          <w:color w:val="auto"/>
          <w:sz w:val="32"/>
          <w:szCs w:val="32"/>
        </w:rPr>
        <w:t>“一村一品”“一村一韵”旅游发展格局。</w:t>
      </w:r>
      <w:r>
        <w:rPr>
          <w:rFonts w:hint="eastAsia" w:ascii="仿宋" w:hAnsi="仿宋" w:eastAsia="仿宋" w:cs="仿宋_GB2312"/>
          <w:color w:val="auto"/>
          <w:sz w:val="32"/>
          <w:szCs w:val="32"/>
        </w:rPr>
        <w:t>推动</w:t>
      </w:r>
      <w:r>
        <w:rPr>
          <w:rFonts w:ascii="仿宋" w:hAnsi="仿宋" w:eastAsia="仿宋" w:cs="仿宋_GB2312"/>
          <w:color w:val="auto"/>
          <w:sz w:val="32"/>
          <w:szCs w:val="32"/>
        </w:rPr>
        <w:t>谷寮“中国最美古渔村”文化综合体</w:t>
      </w:r>
      <w:r>
        <w:rPr>
          <w:rFonts w:hint="eastAsia" w:ascii="仿宋" w:hAnsi="仿宋" w:eastAsia="仿宋" w:cs="仿宋_GB2312"/>
          <w:color w:val="auto"/>
          <w:sz w:val="32"/>
          <w:szCs w:val="32"/>
        </w:rPr>
        <w:t>和</w:t>
      </w:r>
      <w:r>
        <w:rPr>
          <w:rFonts w:ascii="仿宋" w:hAnsi="仿宋" w:eastAsia="仿宋" w:cs="仿宋_GB2312"/>
          <w:color w:val="auto"/>
          <w:sz w:val="32"/>
          <w:szCs w:val="32"/>
        </w:rPr>
        <w:t>沙村山海经农业大观园滨海休闲度假村两个示范片</w:t>
      </w:r>
      <w:r>
        <w:rPr>
          <w:rFonts w:hint="eastAsia" w:ascii="仿宋" w:hAnsi="仿宋" w:eastAsia="仿宋" w:cs="仿宋_GB2312"/>
          <w:color w:val="auto"/>
          <w:sz w:val="32"/>
          <w:szCs w:val="32"/>
        </w:rPr>
        <w:t>高质量发展</w:t>
      </w:r>
      <w:r>
        <w:rPr>
          <w:rFonts w:ascii="仿宋" w:hAnsi="仿宋" w:eastAsia="仿宋" w:cs="仿宋_GB2312"/>
          <w:color w:val="auto"/>
          <w:sz w:val="32"/>
          <w:szCs w:val="32"/>
        </w:rPr>
        <w:t>。</w:t>
      </w:r>
      <w:r>
        <w:rPr>
          <w:rFonts w:hint="eastAsia" w:ascii="仿宋" w:hAnsi="仿宋" w:eastAsia="仿宋" w:cs="仿宋_GB2312"/>
          <w:color w:val="auto"/>
          <w:sz w:val="32"/>
          <w:szCs w:val="32"/>
        </w:rPr>
        <w:t>支持</w:t>
      </w:r>
      <w:r>
        <w:rPr>
          <w:rFonts w:ascii="仿宋" w:hAnsi="仿宋" w:eastAsia="仿宋" w:cs="仿宋_GB2312"/>
          <w:color w:val="auto"/>
          <w:sz w:val="32"/>
          <w:szCs w:val="32"/>
        </w:rPr>
        <w:t>以省级新农村示范片建设为主体，引进企业进行村庄经营，</w:t>
      </w:r>
      <w:r>
        <w:rPr>
          <w:rFonts w:hint="eastAsia" w:ascii="仿宋" w:hAnsi="仿宋" w:eastAsia="仿宋" w:cs="仿宋_GB2312"/>
          <w:color w:val="auto"/>
          <w:sz w:val="32"/>
          <w:szCs w:val="32"/>
        </w:rPr>
        <w:t>提升</w:t>
      </w:r>
      <w:r>
        <w:rPr>
          <w:rFonts w:ascii="仿宋" w:hAnsi="仿宋" w:eastAsia="仿宋" w:cs="仿宋_GB2312"/>
          <w:color w:val="auto"/>
          <w:sz w:val="32"/>
          <w:szCs w:val="32"/>
        </w:rPr>
        <w:t>南村谷寮村、麻礼沙村、石塘山底古村等乡村旅游品牌。</w:t>
      </w:r>
      <w:r>
        <w:rPr>
          <w:rFonts w:hint="eastAsia" w:ascii="仿宋" w:hAnsi="仿宋" w:eastAsia="仿宋" w:cs="仿宋_GB2312"/>
          <w:color w:val="auto"/>
          <w:sz w:val="32"/>
          <w:szCs w:val="32"/>
        </w:rPr>
        <w:t>有序推进</w:t>
      </w:r>
      <w:r>
        <w:rPr>
          <w:rFonts w:ascii="仿宋" w:hAnsi="仿宋" w:eastAsia="仿宋" w:cs="仿宋_GB2312"/>
          <w:color w:val="auto"/>
          <w:sz w:val="32"/>
          <w:szCs w:val="32"/>
        </w:rPr>
        <w:t>“历史文化观光片区”和“绿色宜居秀美乡村片区”连片建设。</w:t>
      </w:r>
      <w:r>
        <w:rPr>
          <w:rFonts w:hint="eastAsia" w:ascii="仿宋" w:hAnsi="仿宋" w:eastAsia="仿宋" w:cs="仿宋_GB2312"/>
          <w:color w:val="auto"/>
          <w:sz w:val="32"/>
          <w:szCs w:val="32"/>
        </w:rPr>
        <w:t>推动建立完善“群众参与、群众受益”的乡村旅游开发、管理和利益分配机制，以旅游带动乡村振兴。</w:t>
      </w:r>
    </w:p>
    <w:p>
      <w:pPr>
        <w:pStyle w:val="25"/>
        <w:adjustRightInd w:val="0"/>
        <w:snapToGrid w:val="0"/>
        <w:spacing w:line="600" w:lineRule="exact"/>
        <w:ind w:firstLine="643" w:firstLineChars="200"/>
        <w:rPr>
          <w:rFonts w:ascii="仿宋" w:hAnsi="仿宋" w:eastAsia="仿宋" w:cs="仿宋_GB2312"/>
          <w:color w:val="auto"/>
          <w:sz w:val="32"/>
          <w:szCs w:val="32"/>
        </w:rPr>
      </w:pPr>
      <w:r>
        <w:rPr>
          <w:rFonts w:hint="eastAsia" w:ascii="仿宋" w:hAnsi="仿宋" w:eastAsia="仿宋" w:cs="仿宋_GB2312"/>
          <w:b/>
          <w:bCs/>
          <w:color w:val="auto"/>
          <w:sz w:val="32"/>
          <w:szCs w:val="32"/>
        </w:rPr>
        <w:t>全面改善农村人居环境。</w:t>
      </w:r>
      <w:r>
        <w:rPr>
          <w:rFonts w:ascii="仿宋" w:hAnsi="仿宋" w:eastAsia="仿宋" w:cs="仿宋_GB2312"/>
          <w:color w:val="auto"/>
          <w:sz w:val="32"/>
          <w:szCs w:val="32"/>
        </w:rPr>
        <w:t>以美丽乡村建设为中心，</w:t>
      </w:r>
      <w:r>
        <w:rPr>
          <w:rFonts w:hint="eastAsia" w:ascii="仿宋" w:hAnsi="仿宋" w:eastAsia="仿宋" w:cs="仿宋_GB2312"/>
          <w:color w:val="auto"/>
          <w:sz w:val="32"/>
          <w:szCs w:val="32"/>
        </w:rPr>
        <w:t>以自然村为基本单元，以垃圾、污水、厕所、窝棚等为整治重点内容，以道路交通沿线、田间地头等为重点区域，</w:t>
      </w:r>
      <w:r>
        <w:rPr>
          <w:rFonts w:ascii="仿宋" w:hAnsi="仿宋" w:eastAsia="仿宋" w:cs="仿宋_GB2312"/>
          <w:color w:val="auto"/>
          <w:sz w:val="32"/>
          <w:szCs w:val="32"/>
        </w:rPr>
        <w:t>大力开展农村人居环境综合整治工作，巩固“三个三”整治成果</w:t>
      </w:r>
      <w:r>
        <w:rPr>
          <w:rFonts w:hint="eastAsia" w:ascii="仿宋" w:hAnsi="仿宋" w:eastAsia="仿宋" w:cs="仿宋_GB2312"/>
          <w:color w:val="auto"/>
          <w:sz w:val="32"/>
          <w:szCs w:val="32"/>
        </w:rPr>
        <w:t>。</w:t>
      </w:r>
      <w:r>
        <w:rPr>
          <w:rFonts w:ascii="仿宋" w:hAnsi="仿宋" w:eastAsia="仿宋" w:cs="仿宋_GB2312"/>
          <w:color w:val="auto"/>
          <w:sz w:val="32"/>
          <w:szCs w:val="32"/>
        </w:rPr>
        <w:t>继续加大财政投入，完善保洁配套设施，保证农村环境卫生运作</w:t>
      </w:r>
      <w:r>
        <w:rPr>
          <w:rFonts w:hint="eastAsia" w:ascii="仿宋" w:hAnsi="仿宋" w:eastAsia="仿宋" w:cs="仿宋_GB2312"/>
          <w:color w:val="auto"/>
          <w:sz w:val="32"/>
          <w:szCs w:val="32"/>
        </w:rPr>
        <w:t>。切实加强农村饮用水源地环境保护和水质改善，继续完善农村垃圾分类收集制度，推进农村危房改造，盘活农村宅基地资源，建设特色农民住宅示范社区。实施乡村厕所革命，大力开展农村卫生厕所建设和改造，同步实施粪污治理，全面普及乡村旅游区等公共厕所，实施农村户用无害化厕所改造。</w:t>
      </w:r>
    </w:p>
    <w:p>
      <w:pPr>
        <w:adjustRightInd w:val="0"/>
        <w:snapToGrid w:val="0"/>
        <w:spacing w:line="600" w:lineRule="exact"/>
        <w:ind w:firstLine="643" w:firstLineChars="200"/>
        <w:rPr>
          <w:rFonts w:ascii="仿宋" w:hAnsi="仿宋" w:eastAsia="仿宋" w:cs="仿宋_GB2312"/>
          <w:color w:val="auto"/>
          <w:sz w:val="32"/>
          <w:szCs w:val="32"/>
        </w:rPr>
      </w:pPr>
      <w:r>
        <w:rPr>
          <w:rFonts w:hint="eastAsia" w:ascii="仿宋" w:hAnsi="仿宋" w:eastAsia="仿宋" w:cs="仿宋_GB2312"/>
          <w:b/>
          <w:bCs/>
          <w:color w:val="auto"/>
          <w:sz w:val="32"/>
          <w:szCs w:val="32"/>
        </w:rPr>
        <w:t>完善乡村基础设施建设。</w:t>
      </w:r>
      <w:r>
        <w:rPr>
          <w:rFonts w:hint="eastAsia" w:ascii="仿宋" w:hAnsi="仿宋" w:eastAsia="仿宋" w:cs="仿宋_GB2312"/>
          <w:color w:val="auto"/>
          <w:sz w:val="32"/>
          <w:szCs w:val="32"/>
        </w:rPr>
        <w:t>把农田水利建设作为农村基础设施建设的重点，积极推动高标准基本农田建设项目，增加对农田水利基础设施建设投入。加强农村物流基础设施建设。大力推进智能仓储、冷链物流等新型物流基础设施，为发展农渔业发展供应链物流、冷链物流、电商物流、城市物资配送等物流业务创造条件。加快农村公路网建设，注重农村公路的质量建设与管理维护。着力推进农村信息基础设施建设。推动农村5G基站、互联网等基础设施全覆盖，促进农业提质增效、农民创收致富、农村繁荣兴旺。健全乡村基础设施一体化规划建设和运行管护机制，坚持先建机制、后建工程，实现乡村基础设施统一规划、统一建设、统一管护。</w:t>
      </w:r>
    </w:p>
    <w:p>
      <w:pPr>
        <w:adjustRightInd w:val="0"/>
        <w:snapToGrid w:val="0"/>
        <w:spacing w:line="600" w:lineRule="exact"/>
        <w:jc w:val="center"/>
        <w:outlineLvl w:val="1"/>
        <w:rPr>
          <w:rFonts w:ascii="黑体" w:hAnsi="黑体" w:eastAsia="黑体" w:cs="仿宋"/>
          <w:color w:val="auto"/>
          <w:sz w:val="32"/>
          <w:szCs w:val="32"/>
          <w:lang w:val="zh-CN"/>
        </w:rPr>
      </w:pPr>
      <w:bookmarkStart w:id="195" w:name="_Toc1328"/>
      <w:r>
        <w:rPr>
          <w:rFonts w:hint="eastAsia" w:ascii="黑体" w:hAnsi="黑体" w:eastAsia="黑体" w:cs="仿宋"/>
          <w:color w:val="auto"/>
          <w:sz w:val="32"/>
          <w:szCs w:val="32"/>
          <w:lang w:val="zh-CN"/>
        </w:rPr>
        <w:t>第二节 促进农民生活富裕</w:t>
      </w:r>
      <w:bookmarkEnd w:id="195"/>
    </w:p>
    <w:p>
      <w:pPr>
        <w:adjustRightInd w:val="0"/>
        <w:snapToGrid w:val="0"/>
        <w:spacing w:line="600" w:lineRule="exact"/>
        <w:ind w:firstLine="643" w:firstLineChars="200"/>
        <w:rPr>
          <w:rFonts w:ascii="仿宋" w:hAnsi="仿宋" w:eastAsia="仿宋" w:cs="仿宋_GB2312"/>
          <w:color w:val="auto"/>
          <w:sz w:val="32"/>
          <w:szCs w:val="32"/>
        </w:rPr>
      </w:pPr>
      <w:r>
        <w:rPr>
          <w:rFonts w:hint="eastAsia" w:ascii="仿宋" w:hAnsi="仿宋" w:eastAsia="仿宋" w:cs="仿宋_GB2312"/>
          <w:b/>
          <w:bCs/>
          <w:color w:val="auto"/>
          <w:sz w:val="32"/>
          <w:szCs w:val="32"/>
        </w:rPr>
        <w:t>聚力完成“两不愁三保障”任务。</w:t>
      </w:r>
      <w:r>
        <w:rPr>
          <w:rFonts w:hint="eastAsia" w:ascii="仿宋" w:hAnsi="仿宋" w:eastAsia="仿宋" w:cs="仿宋_GB2312"/>
          <w:color w:val="auto"/>
          <w:kern w:val="32"/>
          <w:sz w:val="32"/>
          <w:szCs w:val="32"/>
          <w:lang w:val="zh-CN"/>
        </w:rPr>
        <w:t>强化扶贫资金使用</w:t>
      </w:r>
      <w:r>
        <w:rPr>
          <w:rFonts w:hint="eastAsia" w:ascii="仿宋" w:hAnsi="仿宋" w:eastAsia="仿宋" w:cs="仿宋_GB2312"/>
          <w:color w:val="auto"/>
          <w:kern w:val="32"/>
          <w:sz w:val="32"/>
          <w:szCs w:val="32"/>
        </w:rPr>
        <w:t>和监督管理</w:t>
      </w:r>
      <w:r>
        <w:rPr>
          <w:rFonts w:hint="eastAsia" w:ascii="仿宋" w:hAnsi="仿宋" w:eastAsia="仿宋" w:cs="仿宋_GB2312"/>
          <w:color w:val="auto"/>
          <w:kern w:val="32"/>
          <w:sz w:val="32"/>
          <w:szCs w:val="32"/>
          <w:lang w:val="zh-CN"/>
        </w:rPr>
        <w:t>，做好相对贫困人口退出验收工作，确保全面完成脱贫攻坚任务。</w:t>
      </w:r>
      <w:r>
        <w:rPr>
          <w:rFonts w:hint="eastAsia" w:ascii="仿宋" w:hAnsi="仿宋" w:eastAsia="仿宋" w:cs="仿宋_GB2312"/>
          <w:color w:val="auto"/>
          <w:sz w:val="32"/>
          <w:szCs w:val="32"/>
        </w:rPr>
        <w:t>在基本解决“两不愁”问题基础上，</w:t>
      </w:r>
      <w:r>
        <w:rPr>
          <w:rFonts w:hint="eastAsia" w:ascii="仿宋" w:hAnsi="仿宋" w:eastAsia="仿宋" w:cs="仿宋_GB2312"/>
          <w:color w:val="auto"/>
          <w:kern w:val="32"/>
          <w:sz w:val="32"/>
          <w:szCs w:val="32"/>
        </w:rPr>
        <w:t>做实做细“三保障”政策，确保教育、医疗、住房等各项指标全部达标。</w:t>
      </w:r>
      <w:r>
        <w:rPr>
          <w:rFonts w:hint="eastAsia" w:ascii="仿宋" w:hAnsi="仿宋" w:eastAsia="仿宋" w:cs="仿宋_GB2312"/>
          <w:color w:val="auto"/>
          <w:sz w:val="32"/>
          <w:szCs w:val="32"/>
        </w:rPr>
        <w:t>逐项抓好落实义务教育、基本医疗和住房安全“三保障”方面突出问题。加快谋划海陵岛义务教育和基本医疗公共基础设施建设。围绕住房安全有保障目标任务，持续推进农村危房改造工作，实现全域农村住房安全有保障目标任务全覆盖。</w:t>
      </w:r>
      <w:r>
        <w:rPr>
          <w:rFonts w:hint="eastAsia" w:ascii="仿宋" w:hAnsi="仿宋" w:eastAsia="仿宋" w:cs="仿宋_GB2312"/>
          <w:color w:val="auto"/>
          <w:kern w:val="32"/>
          <w:sz w:val="32"/>
          <w:szCs w:val="32"/>
        </w:rPr>
        <w:t>强化贫困户劳动技能培训和就业工作，确保贫困户稳定增收。</w:t>
      </w:r>
    </w:p>
    <w:p>
      <w:pPr>
        <w:adjustRightInd w:val="0"/>
        <w:snapToGrid w:val="0"/>
        <w:spacing w:line="600" w:lineRule="exact"/>
        <w:ind w:firstLine="643" w:firstLineChars="200"/>
        <w:rPr>
          <w:rFonts w:ascii="仿宋" w:hAnsi="仿宋" w:eastAsia="仿宋" w:cs="仿宋_GB2312"/>
          <w:color w:val="auto"/>
          <w:sz w:val="32"/>
          <w:szCs w:val="32"/>
        </w:rPr>
      </w:pPr>
      <w:r>
        <w:rPr>
          <w:rFonts w:hint="eastAsia" w:ascii="仿宋" w:hAnsi="仿宋" w:eastAsia="仿宋" w:cs="仿宋_GB2312"/>
          <w:b/>
          <w:bCs/>
          <w:color w:val="auto"/>
          <w:sz w:val="32"/>
          <w:szCs w:val="32"/>
        </w:rPr>
        <w:t>实施新型农民培育工程。</w:t>
      </w:r>
      <w:r>
        <w:rPr>
          <w:rFonts w:hint="eastAsia" w:ascii="仿宋" w:hAnsi="仿宋" w:eastAsia="仿宋" w:cs="仿宋_GB2312"/>
          <w:color w:val="auto"/>
          <w:sz w:val="32"/>
          <w:szCs w:val="32"/>
        </w:rPr>
        <w:t>注重从传统农民、农村初高中毕业生、新农民群体中培育新型职业农民。鼓励农民通过半农半读等形式就近就地接受职业教育培训。整合各类教育培训资金，逐年增加农民教育培训经费，建立完善政府、企业和社会多元化投入机制。采取村委组织、党员带动、遵从农民意愿的方式，开展职业技能培训，提升农民生产经营素质，积极培育爱农业、懂技术、善经营的新型职业农民，建立健全集培养培训、认定管理、生产经营、社会保障、退休养老等新型职业农民制度体系；支持农村青年创业致富带头人培育工作，加强培育各类职业经理人、合作社管理人员、家庭农场主、经纪人和创业致富带头人；</w:t>
      </w:r>
      <w:bookmarkStart w:id="196" w:name="OLE_LINK99"/>
      <w:r>
        <w:rPr>
          <w:rFonts w:hint="eastAsia" w:ascii="仿宋" w:hAnsi="仿宋" w:eastAsia="仿宋" w:cs="仿宋_GB2312"/>
          <w:color w:val="auto"/>
          <w:sz w:val="32"/>
          <w:szCs w:val="32"/>
        </w:rPr>
        <w:t>加快新型职业农民培育管理机构、培训单位、实训基地、田间学校、渔港学校的建设，支持农民合作社、专业技术协会、龙头企业等主体承担培训任务，对农民进行农业技术培训，现场技术指导。</w:t>
      </w:r>
    </w:p>
    <w:bookmarkEnd w:id="196"/>
    <w:p>
      <w:pPr>
        <w:adjustRightInd w:val="0"/>
        <w:snapToGrid w:val="0"/>
        <w:spacing w:line="600" w:lineRule="exact"/>
        <w:ind w:firstLine="643" w:firstLineChars="200"/>
        <w:rPr>
          <w:rFonts w:ascii="仿宋" w:hAnsi="仿宋" w:eastAsia="仿宋" w:cs="仿宋_GB2312"/>
          <w:color w:val="auto"/>
          <w:sz w:val="32"/>
          <w:szCs w:val="32"/>
        </w:rPr>
      </w:pPr>
      <w:bookmarkStart w:id="197" w:name="_Toc529311449"/>
      <w:r>
        <w:rPr>
          <w:rFonts w:hint="eastAsia" w:ascii="仿宋" w:hAnsi="仿宋" w:eastAsia="仿宋" w:cs="仿宋_GB2312"/>
          <w:b/>
          <w:bCs/>
          <w:color w:val="auto"/>
          <w:sz w:val="32"/>
          <w:szCs w:val="32"/>
        </w:rPr>
        <w:t>打造高技能人才</w:t>
      </w:r>
      <w:bookmarkEnd w:id="197"/>
      <w:r>
        <w:rPr>
          <w:rFonts w:hint="eastAsia" w:ascii="仿宋" w:hAnsi="仿宋" w:eastAsia="仿宋" w:cs="仿宋_GB2312"/>
          <w:b/>
          <w:bCs/>
          <w:color w:val="auto"/>
          <w:sz w:val="32"/>
          <w:szCs w:val="32"/>
        </w:rPr>
        <w:t>队伍。</w:t>
      </w:r>
      <w:r>
        <w:rPr>
          <w:rFonts w:hint="eastAsia" w:ascii="仿宋" w:hAnsi="仿宋" w:eastAsia="仿宋" w:cs="仿宋_GB2312"/>
          <w:color w:val="auto"/>
          <w:sz w:val="32"/>
          <w:szCs w:val="32"/>
        </w:rPr>
        <w:t>深入实施</w:t>
      </w:r>
      <w:bookmarkStart w:id="198" w:name="OLE_LINK14"/>
      <w:r>
        <w:rPr>
          <w:rFonts w:hint="eastAsia" w:ascii="仿宋" w:hAnsi="仿宋" w:eastAsia="仿宋" w:cs="仿宋_GB2312"/>
          <w:color w:val="auto"/>
          <w:sz w:val="32"/>
          <w:szCs w:val="32"/>
        </w:rPr>
        <w:t>“广东技工”、“粤菜师傅”、</w:t>
      </w:r>
      <w:bookmarkEnd w:id="198"/>
      <w:r>
        <w:rPr>
          <w:rFonts w:hint="eastAsia" w:ascii="仿宋" w:hAnsi="仿宋" w:eastAsia="仿宋" w:cs="仿宋_GB2312"/>
          <w:color w:val="auto"/>
          <w:sz w:val="32"/>
          <w:szCs w:val="32"/>
        </w:rPr>
        <w:t>“南粤家政”三大工程，支持有关部门联合重点企业举办“广东技工”、“粤菜师傅”、“南粤家政”培训班等，共同培育新时代农村高技能人才。围绕电子商务发展需求，实施“农村电商”工程。通过“三支一扶”等渠道招募一批农业、城乡规划、旅游、水产、捕捞等相关专业的本科以上毕业生到村委会工作，支持有意愿的农民群众通过专业培训后回乡开办农家乐创业。建立健全乡村专业人才培训机制，推动乡村专业技术人才开展职称评定工作；制定和落实高等院校、科研院所等事业单位专业技术人员到农民专业合作社、家庭农场及企业挂职、兼职和离岗创业制度。</w:t>
      </w:r>
    </w:p>
    <w:p>
      <w:pPr>
        <w:adjustRightInd w:val="0"/>
        <w:snapToGrid w:val="0"/>
        <w:spacing w:line="600" w:lineRule="exact"/>
        <w:ind w:firstLine="643" w:firstLineChars="200"/>
        <w:rPr>
          <w:rFonts w:ascii="仿宋" w:hAnsi="仿宋" w:eastAsia="仿宋" w:cs="仿宋_GB2312"/>
          <w:color w:val="auto"/>
          <w:sz w:val="32"/>
          <w:szCs w:val="32"/>
        </w:rPr>
      </w:pPr>
      <w:r>
        <w:rPr>
          <w:rFonts w:hint="eastAsia" w:ascii="仿宋" w:hAnsi="仿宋" w:eastAsia="仿宋" w:cs="仿宋_GB2312"/>
          <w:b/>
          <w:bCs/>
          <w:color w:val="auto"/>
          <w:sz w:val="32"/>
          <w:szCs w:val="32"/>
        </w:rPr>
        <w:t>加快农民、农民工等群体市民化进程。</w:t>
      </w:r>
      <w:r>
        <w:rPr>
          <w:rFonts w:hint="eastAsia" w:ascii="仿宋" w:hAnsi="仿宋" w:eastAsia="仿宋" w:cs="仿宋_GB2312"/>
          <w:color w:val="auto"/>
          <w:sz w:val="32"/>
          <w:szCs w:val="32"/>
        </w:rPr>
        <w:t>深化户籍制度改革，建立镇村统一的户口登记制度，消除城乡间户籍壁垒，促进农村转移人口市民化，提高城镇人口集聚度。深入推进教育、医疗等城镇基本公共服务覆盖常住人口，健全以居住证为载体的城镇基本公共服务提供机制，将异地务工人员及随迁家属纳入城镇就业、教育、医疗、社会保障服务体系，实现居住证持有者、城中（郊）村居民在公共服务上与本地居民享受同等待遇。</w:t>
      </w:r>
    </w:p>
    <w:p>
      <w:pPr>
        <w:widowControl/>
        <w:jc w:val="center"/>
        <w:rPr>
          <w:rFonts w:eastAsia="方正小标宋简体"/>
          <w:b/>
          <w:bCs/>
          <w:color w:val="auto"/>
          <w:kern w:val="0"/>
          <w:sz w:val="28"/>
          <w:szCs w:val="28"/>
        </w:rPr>
      </w:pPr>
      <w:bookmarkStart w:id="199" w:name="OLE_LINK102"/>
      <w:r>
        <w:rPr>
          <w:rFonts w:hint="eastAsia" w:eastAsia="方正小标宋简体"/>
          <w:b/>
          <w:bCs/>
          <w:color w:val="auto"/>
          <w:kern w:val="0"/>
          <w:sz w:val="28"/>
          <w:szCs w:val="28"/>
        </w:rPr>
        <w:t xml:space="preserve">专栏 </w:t>
      </w:r>
      <w:r>
        <w:rPr>
          <w:rFonts w:eastAsia="方正小标宋简体"/>
          <w:b/>
          <w:bCs/>
          <w:color w:val="auto"/>
          <w:kern w:val="0"/>
          <w:sz w:val="28"/>
          <w:szCs w:val="28"/>
        </w:rPr>
        <w:t xml:space="preserve"> </w:t>
      </w:r>
      <w:r>
        <w:rPr>
          <w:rFonts w:hint="eastAsia" w:eastAsia="方正小标宋简体"/>
          <w:b/>
          <w:bCs/>
          <w:color w:val="auto"/>
          <w:kern w:val="0"/>
          <w:sz w:val="28"/>
          <w:szCs w:val="28"/>
        </w:rPr>
        <w:t>海陵岛乡村人才振兴重点工程</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4" w:type="dxa"/>
          </w:tcPr>
          <w:p>
            <w:pPr>
              <w:spacing w:line="360" w:lineRule="auto"/>
              <w:rPr>
                <w:rFonts w:ascii="仿宋_GB2312" w:hAnsi="等线" w:eastAsia="仿宋"/>
                <w:color w:val="auto"/>
                <w:sz w:val="24"/>
                <w:szCs w:val="30"/>
              </w:rPr>
            </w:pPr>
            <w:r>
              <w:rPr>
                <w:rFonts w:hint="eastAsia" w:ascii="仿宋_GB2312" w:hAnsi="等线" w:eastAsia="仿宋"/>
                <w:b/>
                <w:bCs/>
                <w:color w:val="auto"/>
                <w:sz w:val="24"/>
                <w:szCs w:val="30"/>
              </w:rPr>
              <w:t>1.深入实施“粤菜师傅”工程。</w:t>
            </w:r>
            <w:r>
              <w:rPr>
                <w:rFonts w:hint="eastAsia" w:ascii="仿宋_GB2312" w:hAnsi="等线" w:eastAsia="仿宋"/>
                <w:color w:val="auto"/>
                <w:sz w:val="24"/>
                <w:szCs w:val="30"/>
              </w:rPr>
              <w:t xml:space="preserve">加快推进“粤菜师傅”技能培训和职业教育，提升粤菜烹饪技能人才培养能力和质量。完善“粤菜师傅”培训基地和就业和人才服务中心、。 </w:t>
            </w:r>
          </w:p>
          <w:p>
            <w:pPr>
              <w:spacing w:line="360" w:lineRule="auto"/>
              <w:rPr>
                <w:rFonts w:ascii="仿宋_GB2312" w:hAnsi="等线" w:eastAsia="仿宋"/>
                <w:color w:val="auto"/>
                <w:sz w:val="24"/>
                <w:szCs w:val="30"/>
              </w:rPr>
            </w:pPr>
            <w:r>
              <w:rPr>
                <w:rFonts w:hint="eastAsia" w:ascii="仿宋_GB2312" w:hAnsi="等线" w:eastAsia="仿宋"/>
                <w:b/>
                <w:bCs/>
                <w:color w:val="auto"/>
                <w:sz w:val="24"/>
                <w:szCs w:val="30"/>
              </w:rPr>
              <w:t>2.大力实施“广东技工”工程。</w:t>
            </w:r>
            <w:r>
              <w:rPr>
                <w:rFonts w:hint="eastAsia" w:ascii="仿宋_GB2312" w:hAnsi="等线" w:eastAsia="仿宋"/>
                <w:color w:val="auto"/>
                <w:sz w:val="24"/>
                <w:szCs w:val="30"/>
              </w:rPr>
              <w:t xml:space="preserve">进一步推进技工学校与企业共建 高技能人才实训基地，支持企业建立首席技师机制，挖掘“领军型” 高技能人才;加强年轻优秀技能人才的选拔培养。 </w:t>
            </w:r>
          </w:p>
          <w:p>
            <w:pPr>
              <w:spacing w:line="360" w:lineRule="auto"/>
              <w:rPr>
                <w:rFonts w:ascii="仿宋_GB2312" w:hAnsi="等线" w:eastAsia="仿宋"/>
                <w:color w:val="auto"/>
                <w:sz w:val="24"/>
                <w:szCs w:val="30"/>
              </w:rPr>
            </w:pPr>
            <w:r>
              <w:rPr>
                <w:rFonts w:hint="eastAsia" w:ascii="仿宋_GB2312" w:hAnsi="等线" w:eastAsia="仿宋"/>
                <w:b/>
                <w:bCs/>
                <w:color w:val="auto"/>
                <w:sz w:val="24"/>
                <w:szCs w:val="30"/>
              </w:rPr>
              <w:t>3.推进“南粤家政”工程提质扩容。</w:t>
            </w:r>
            <w:r>
              <w:rPr>
                <w:rFonts w:hint="eastAsia" w:ascii="仿宋_GB2312" w:hAnsi="等线" w:eastAsia="仿宋"/>
                <w:color w:val="auto"/>
                <w:sz w:val="24"/>
                <w:szCs w:val="30"/>
              </w:rPr>
              <w:t>构建完善“南粤家政”高质 量发展体系，实施母婴服务、居家服务、养老服务、医护服务四大项目，夯实培养示范、综合服务、交流合作、行业发展四大平台。创建“南粤家政”培训示范基地和基层服务站点建设。</w:t>
            </w:r>
          </w:p>
          <w:p>
            <w:pPr>
              <w:spacing w:line="360" w:lineRule="auto"/>
              <w:rPr>
                <w:rFonts w:ascii="仿宋_GB2312" w:hAnsi="等线" w:eastAsia="仿宋"/>
                <w:color w:val="auto"/>
                <w:sz w:val="24"/>
                <w:szCs w:val="30"/>
              </w:rPr>
            </w:pPr>
            <w:r>
              <w:rPr>
                <w:rFonts w:hint="eastAsia" w:ascii="仿宋_GB2312" w:hAnsi="等线" w:eastAsia="仿宋"/>
                <w:b/>
                <w:bCs/>
                <w:color w:val="auto"/>
                <w:sz w:val="24"/>
                <w:szCs w:val="30"/>
              </w:rPr>
              <w:t>4.新型农民培育工程。</w:t>
            </w:r>
            <w:r>
              <w:rPr>
                <w:rFonts w:hint="eastAsia" w:ascii="仿宋_GB2312" w:hAnsi="等线" w:eastAsia="仿宋"/>
                <w:color w:val="auto"/>
                <w:sz w:val="24"/>
                <w:szCs w:val="30"/>
              </w:rPr>
              <w:t>加快新型职业农民培育管理机构、培训单位、实训基地、渔港学校的建设，支持农民合作社、专业技术协会、龙头企业等主体承担培训任务，对农民进行农业技术培训，现场技术指导。</w:t>
            </w:r>
          </w:p>
          <w:p>
            <w:pPr>
              <w:spacing w:line="360" w:lineRule="auto"/>
              <w:rPr>
                <w:rFonts w:ascii="仿宋" w:hAnsi="仿宋" w:eastAsia="仿宋" w:cs="仿宋_GB2312"/>
                <w:color w:val="auto"/>
                <w:sz w:val="24"/>
              </w:rPr>
            </w:pPr>
            <w:r>
              <w:rPr>
                <w:rFonts w:hint="eastAsia" w:ascii="仿宋_GB2312" w:hAnsi="等线" w:eastAsia="仿宋"/>
                <w:b/>
                <w:bCs/>
                <w:color w:val="auto"/>
                <w:sz w:val="24"/>
                <w:szCs w:val="30"/>
              </w:rPr>
              <w:t>5.科技特派员“百人进百村”工程。</w:t>
            </w:r>
            <w:r>
              <w:rPr>
                <w:rFonts w:hint="eastAsia" w:ascii="仿宋_GB2312" w:hAnsi="等线" w:eastAsia="仿宋"/>
                <w:color w:val="auto"/>
                <w:sz w:val="24"/>
                <w:szCs w:val="30"/>
              </w:rPr>
              <w:t>深入推行科技特派员制度，引导科技特派员深入村镇，落实省科技特派员“万人进万村”计划，鼓励科研院校、科技园区与渔业、农业农村对接，组织科技特派员与贫困村开展科技精准帮扶结对，引导科技成果向相对落后村镇转移转化。</w:t>
            </w:r>
          </w:p>
        </w:tc>
      </w:tr>
      <w:bookmarkEnd w:id="199"/>
    </w:tbl>
    <w:p>
      <w:pPr>
        <w:pStyle w:val="15"/>
        <w:rPr>
          <w:color w:val="auto"/>
        </w:rPr>
      </w:pPr>
    </w:p>
    <w:p>
      <w:pPr>
        <w:adjustRightInd w:val="0"/>
        <w:snapToGrid w:val="0"/>
        <w:spacing w:line="600" w:lineRule="exact"/>
        <w:jc w:val="center"/>
        <w:outlineLvl w:val="0"/>
        <w:rPr>
          <w:color w:val="auto"/>
        </w:rPr>
      </w:pPr>
      <w:bookmarkStart w:id="200" w:name="_Toc22228"/>
      <w:r>
        <w:rPr>
          <w:rFonts w:hint="eastAsia" w:ascii="方正小标宋简体" w:eastAsia="方正小标宋简体" w:cs="仿宋" w:hAnsiTheme="minorEastAsia"/>
          <w:color w:val="auto"/>
          <w:spacing w:val="-12"/>
          <w:sz w:val="32"/>
          <w:szCs w:val="32"/>
        </w:rPr>
        <w:t>第十章 优</w:t>
      </w:r>
      <w:r>
        <w:rPr>
          <w:rFonts w:hint="eastAsia" w:ascii="方正小标宋简体" w:eastAsia="方正小标宋简体" w:cs="仿宋" w:hAnsiTheme="minorEastAsia"/>
          <w:color w:val="auto"/>
          <w:spacing w:val="-12"/>
          <w:sz w:val="32"/>
          <w:szCs w:val="32"/>
          <w:lang w:eastAsia="zh-CN"/>
        </w:rPr>
        <w:t>化</w:t>
      </w:r>
      <w:r>
        <w:rPr>
          <w:rFonts w:hint="eastAsia" w:ascii="方正小标宋简体" w:eastAsia="方正小标宋简体" w:cs="仿宋" w:hAnsiTheme="minorEastAsia"/>
          <w:color w:val="auto"/>
          <w:spacing w:val="-12"/>
          <w:sz w:val="32"/>
          <w:szCs w:val="32"/>
        </w:rPr>
        <w:t>城市空间</w:t>
      </w:r>
      <w:bookmarkEnd w:id="93"/>
      <w:r>
        <w:rPr>
          <w:rFonts w:hint="eastAsia" w:ascii="方正小标宋简体" w:eastAsia="方正小标宋简体" w:cs="仿宋" w:hAnsiTheme="minorEastAsia"/>
          <w:color w:val="auto"/>
          <w:spacing w:val="-12"/>
          <w:sz w:val="32"/>
          <w:szCs w:val="32"/>
        </w:rPr>
        <w:t>布局，推进新型城镇化建设</w:t>
      </w:r>
      <w:bookmarkEnd w:id="168"/>
      <w:bookmarkEnd w:id="200"/>
      <w:bookmarkStart w:id="201" w:name="_Toc26853"/>
    </w:p>
    <w:p>
      <w:pPr>
        <w:adjustRightInd w:val="0"/>
        <w:snapToGrid w:val="0"/>
        <w:spacing w:line="600" w:lineRule="exact"/>
        <w:jc w:val="center"/>
        <w:outlineLvl w:val="1"/>
        <w:rPr>
          <w:rFonts w:ascii="黑体" w:hAnsi="黑体" w:eastAsia="黑体" w:cs="仿宋"/>
          <w:color w:val="auto"/>
          <w:sz w:val="32"/>
          <w:szCs w:val="32"/>
        </w:rPr>
      </w:pPr>
      <w:bookmarkStart w:id="202" w:name="_Toc32449"/>
      <w:r>
        <w:rPr>
          <w:rFonts w:hint="eastAsia" w:ascii="黑体" w:hAnsi="黑体" w:eastAsia="黑体" w:cs="仿宋"/>
          <w:color w:val="auto"/>
          <w:sz w:val="32"/>
          <w:szCs w:val="32"/>
        </w:rPr>
        <w:t>第一节 打造“</w:t>
      </w:r>
      <w:bookmarkStart w:id="203" w:name="OLE_LINK18"/>
      <w:r>
        <w:rPr>
          <w:rFonts w:hint="eastAsia" w:ascii="黑体" w:hAnsi="黑体" w:eastAsia="黑体" w:cs="仿宋"/>
          <w:color w:val="auto"/>
          <w:sz w:val="32"/>
          <w:szCs w:val="32"/>
        </w:rPr>
        <w:t>一核一带一轴四点六片</w:t>
      </w:r>
      <w:bookmarkEnd w:id="203"/>
      <w:r>
        <w:rPr>
          <w:rFonts w:hint="eastAsia" w:ascii="黑体" w:hAnsi="黑体" w:eastAsia="黑体" w:cs="仿宋"/>
          <w:color w:val="auto"/>
          <w:sz w:val="32"/>
          <w:szCs w:val="32"/>
        </w:rPr>
        <w:t>”</w:t>
      </w:r>
      <w:bookmarkStart w:id="204" w:name="OLE_LINK43"/>
      <w:r>
        <w:rPr>
          <w:rFonts w:hint="eastAsia" w:ascii="黑体" w:hAnsi="黑体" w:eastAsia="黑体" w:cs="仿宋"/>
          <w:color w:val="auto"/>
          <w:sz w:val="32"/>
          <w:szCs w:val="32"/>
        </w:rPr>
        <w:t>总体空间格局</w:t>
      </w:r>
      <w:bookmarkEnd w:id="201"/>
      <w:bookmarkEnd w:id="202"/>
      <w:bookmarkEnd w:id="204"/>
      <w:bookmarkStart w:id="205" w:name="OLE_LINK37"/>
    </w:p>
    <w:p>
      <w:pPr>
        <w:widowControl/>
        <w:adjustRightInd w:val="0"/>
        <w:snapToGrid w:val="0"/>
        <w:spacing w:line="600" w:lineRule="exact"/>
        <w:ind w:firstLine="640" w:firstLineChars="200"/>
        <w:rPr>
          <w:rFonts w:ascii="仿宋" w:hAnsi="仿宋" w:eastAsia="仿宋" w:cs="仿宋_GB2312"/>
          <w:b/>
          <w:bCs/>
          <w:color w:val="auto"/>
          <w:sz w:val="32"/>
          <w:szCs w:val="32"/>
        </w:rPr>
      </w:pPr>
      <w:r>
        <w:rPr>
          <w:rFonts w:hint="eastAsia" w:ascii="仿宋" w:hAnsi="仿宋" w:eastAsia="仿宋" w:cs="仿宋_GB2312"/>
          <w:color w:val="auto"/>
          <w:kern w:val="0"/>
          <w:sz w:val="32"/>
          <w:szCs w:val="32"/>
          <w:lang w:bidi="ar"/>
        </w:rPr>
        <w:t>立足现有</w:t>
      </w:r>
      <w:r>
        <w:rPr>
          <w:rFonts w:ascii="仿宋" w:hAnsi="仿宋" w:eastAsia="仿宋" w:cs="仿宋_GB2312"/>
          <w:color w:val="auto"/>
          <w:kern w:val="0"/>
          <w:sz w:val="32"/>
          <w:szCs w:val="32"/>
          <w:lang w:bidi="ar"/>
        </w:rPr>
        <w:t>区域</w:t>
      </w:r>
      <w:r>
        <w:rPr>
          <w:rFonts w:hint="eastAsia" w:ascii="仿宋" w:hAnsi="仿宋" w:eastAsia="仿宋" w:cs="仿宋_GB2312"/>
          <w:color w:val="auto"/>
          <w:kern w:val="0"/>
          <w:sz w:val="32"/>
          <w:szCs w:val="32"/>
          <w:lang w:bidi="ar"/>
        </w:rPr>
        <w:t>开发空间格局</w:t>
      </w:r>
      <w:r>
        <w:rPr>
          <w:rFonts w:ascii="仿宋" w:hAnsi="仿宋" w:eastAsia="仿宋" w:cs="仿宋_GB2312"/>
          <w:color w:val="auto"/>
          <w:kern w:val="0"/>
          <w:sz w:val="32"/>
          <w:szCs w:val="32"/>
          <w:lang w:bidi="ar"/>
        </w:rPr>
        <w:t>，以重点片区开发、重点项</w:t>
      </w:r>
      <w:r>
        <w:rPr>
          <w:rFonts w:hint="eastAsia" w:ascii="仿宋" w:hAnsi="仿宋" w:eastAsia="仿宋" w:cs="仿宋_GB2312"/>
          <w:color w:val="auto"/>
          <w:kern w:val="0"/>
          <w:sz w:val="32"/>
          <w:szCs w:val="32"/>
          <w:lang w:bidi="ar"/>
        </w:rPr>
        <w:t>目建设为支撑，构建</w:t>
      </w:r>
      <w:bookmarkEnd w:id="205"/>
      <w:r>
        <w:rPr>
          <w:rFonts w:hint="eastAsia" w:ascii="仿宋" w:hAnsi="仿宋" w:eastAsia="仿宋" w:cs="仿宋_GB2312"/>
          <w:color w:val="auto"/>
          <w:kern w:val="0"/>
          <w:sz w:val="32"/>
          <w:szCs w:val="32"/>
          <w:lang w:bidi="ar"/>
        </w:rPr>
        <w:t>“</w:t>
      </w:r>
      <w:r>
        <w:rPr>
          <w:rFonts w:hint="eastAsia" w:ascii="仿宋" w:hAnsi="仿宋" w:eastAsia="仿宋" w:cs="仿宋_GB2312"/>
          <w:color w:val="auto"/>
          <w:sz w:val="32"/>
          <w:szCs w:val="32"/>
        </w:rPr>
        <w:t>一核一带一轴四点六片</w:t>
      </w:r>
      <w:r>
        <w:rPr>
          <w:rFonts w:hint="eastAsia" w:ascii="仿宋" w:hAnsi="仿宋" w:eastAsia="仿宋" w:cs="仿宋_GB2312"/>
          <w:color w:val="auto"/>
          <w:kern w:val="0"/>
          <w:sz w:val="32"/>
          <w:szCs w:val="32"/>
          <w:lang w:bidi="ar"/>
        </w:rPr>
        <w:t xml:space="preserve">”的总体空间布局。 </w:t>
      </w:r>
    </w:p>
    <w:p>
      <w:pPr>
        <w:widowControl/>
        <w:adjustRightInd w:val="0"/>
        <w:snapToGrid w:val="0"/>
        <w:spacing w:line="600" w:lineRule="exact"/>
        <w:ind w:firstLine="643" w:firstLineChars="200"/>
        <w:rPr>
          <w:rFonts w:ascii="仿宋" w:hAnsi="仿宋" w:eastAsia="仿宋" w:cs="仿宋_GB2312"/>
          <w:color w:val="auto"/>
          <w:kern w:val="0"/>
          <w:sz w:val="32"/>
          <w:szCs w:val="32"/>
          <w:lang w:bidi="ar"/>
        </w:rPr>
      </w:pPr>
      <w:r>
        <w:rPr>
          <w:rFonts w:hint="eastAsia" w:ascii="仿宋" w:hAnsi="仿宋" w:eastAsia="仿宋" w:cs="仿宋_GB2312"/>
          <w:b/>
          <w:bCs/>
          <w:color w:val="auto"/>
          <w:sz w:val="32"/>
          <w:szCs w:val="32"/>
        </w:rPr>
        <w:t>一核引领。</w:t>
      </w:r>
      <w:r>
        <w:rPr>
          <w:rFonts w:hint="eastAsia" w:ascii="仿宋" w:hAnsi="仿宋" w:eastAsia="仿宋" w:cs="仿宋_GB2312"/>
          <w:color w:val="auto"/>
          <w:sz w:val="32"/>
          <w:szCs w:val="32"/>
        </w:rPr>
        <w:t>依托</w:t>
      </w:r>
      <w:r>
        <w:rPr>
          <w:rFonts w:hint="eastAsia" w:ascii="仿宋" w:hAnsi="仿宋" w:eastAsia="仿宋" w:cs="仿宋_GB2312"/>
          <w:color w:val="auto"/>
          <w:kern w:val="0"/>
          <w:sz w:val="32"/>
          <w:szCs w:val="32"/>
          <w:lang w:bidi="ar"/>
        </w:rPr>
        <w:t>海陵区新行政服务中心，以行政、商业、商务、居住等综合服务功能为主，引导行政管理、办公商贸、文化教育、医疗等公共服务设施集中建设，打造及政治、经济和文化等功能于一体的综合服务中心。</w:t>
      </w:r>
    </w:p>
    <w:p>
      <w:pPr>
        <w:pStyle w:val="6"/>
        <w:adjustRightInd w:val="0"/>
        <w:snapToGrid w:val="0"/>
        <w:spacing w:line="600" w:lineRule="exact"/>
        <w:ind w:firstLine="643"/>
        <w:rPr>
          <w:rFonts w:ascii="仿宋" w:hAnsi="仿宋" w:eastAsia="仿宋" w:cs="仿宋_GB2312"/>
          <w:color w:val="auto"/>
          <w:sz w:val="32"/>
          <w:szCs w:val="32"/>
        </w:rPr>
      </w:pPr>
      <w:r>
        <w:rPr>
          <w:rFonts w:hint="eastAsia" w:ascii="仿宋" w:hAnsi="仿宋" w:eastAsia="仿宋" w:cs="仿宋_GB2312"/>
          <w:b/>
          <w:bCs/>
          <w:color w:val="auto"/>
          <w:sz w:val="32"/>
          <w:szCs w:val="32"/>
          <w:lang w:bidi="ar"/>
        </w:rPr>
        <w:t>两轴拓展。</w:t>
      </w:r>
      <w:r>
        <w:rPr>
          <w:rFonts w:hint="eastAsia" w:ascii="仿宋" w:hAnsi="仿宋" w:eastAsia="仿宋" w:cs="仿宋_GB2312"/>
          <w:color w:val="auto"/>
          <w:sz w:val="32"/>
          <w:szCs w:val="32"/>
          <w:lang w:bidi="ar"/>
        </w:rPr>
        <w:t>包括滨海经济开放发展带和海陆统筹发展轴。</w:t>
      </w:r>
      <w:bookmarkStart w:id="206" w:name="OLE_LINK12"/>
      <w:r>
        <w:rPr>
          <w:rFonts w:hint="eastAsia" w:ascii="仿宋" w:hAnsi="仿宋" w:eastAsia="仿宋" w:cs="仿宋_GB2312"/>
          <w:color w:val="auto"/>
          <w:sz w:val="32"/>
          <w:szCs w:val="32"/>
          <w:lang w:bidi="ar"/>
        </w:rPr>
        <w:t>滨海经济开放发展带</w:t>
      </w:r>
      <w:bookmarkEnd w:id="206"/>
      <w:r>
        <w:rPr>
          <w:rFonts w:hint="eastAsia" w:ascii="仿宋" w:hAnsi="仿宋" w:eastAsia="仿宋" w:cs="仿宋_GB2312"/>
          <w:color w:val="auto"/>
          <w:sz w:val="32"/>
          <w:szCs w:val="32"/>
        </w:rPr>
        <w:t>立足陆海生态融合，重点强化对沙滩、湿地等特色资源保护和修复。通过深入激活中心渔港、大角湾、南海一号、海丝博物馆、十里银滩、国家海洋旅游区等项目，打造成为海陵岛乃至整个阳江最有活力的滨海开放型经济发展带。</w:t>
      </w:r>
      <w:bookmarkStart w:id="207" w:name="OLE_LINK24"/>
      <w:r>
        <w:rPr>
          <w:rFonts w:hint="eastAsia" w:ascii="仿宋" w:hAnsi="仿宋" w:eastAsia="仿宋" w:cs="仿宋_GB2312"/>
          <w:color w:val="auto"/>
          <w:sz w:val="32"/>
          <w:szCs w:val="32"/>
        </w:rPr>
        <w:t>海陆统筹发展轴</w:t>
      </w:r>
      <w:bookmarkEnd w:id="207"/>
      <w:r>
        <w:rPr>
          <w:rFonts w:hint="eastAsia" w:ascii="仿宋" w:hAnsi="仿宋" w:eastAsia="仿宋" w:cs="仿宋_GB2312"/>
          <w:color w:val="auto"/>
          <w:sz w:val="32"/>
          <w:szCs w:val="32"/>
        </w:rPr>
        <w:t>以海陵跨海大桥和海陵大堤两大陆岛连接通道为骨架，由北向南串联形成江城区、通用航空机场、轻轨站点、海陵区综合服务中心，形成海陵区的海陆发展轴，向北对接阳江中心城区，向南对接海洋资源，成为阳江海洋经济辐射外溢和海陆统筹轴带。</w:t>
      </w:r>
    </w:p>
    <w:p>
      <w:pPr>
        <w:adjustRightInd w:val="0"/>
        <w:snapToGrid w:val="0"/>
        <w:spacing w:line="600" w:lineRule="exact"/>
        <w:ind w:firstLine="643" w:firstLineChars="200"/>
        <w:rPr>
          <w:rFonts w:ascii="仿宋" w:hAnsi="仿宋" w:eastAsia="仿宋" w:cs="仿宋_GB2312"/>
          <w:color w:val="auto"/>
          <w:sz w:val="32"/>
          <w:szCs w:val="32"/>
        </w:rPr>
      </w:pPr>
      <w:r>
        <w:rPr>
          <w:rFonts w:hint="eastAsia" w:ascii="仿宋" w:hAnsi="仿宋" w:eastAsia="仿宋" w:cs="仿宋_GB2312"/>
          <w:b/>
          <w:bCs/>
          <w:color w:val="auto"/>
          <w:sz w:val="32"/>
          <w:szCs w:val="32"/>
        </w:rPr>
        <w:t>打造六大功能片区。一是</w:t>
      </w:r>
      <w:r>
        <w:rPr>
          <w:rFonts w:hint="eastAsia" w:ascii="仿宋" w:hAnsi="仿宋" w:eastAsia="仿宋" w:cs="仿宋_GB2312"/>
          <w:color w:val="auto"/>
          <w:sz w:val="32"/>
          <w:szCs w:val="32"/>
        </w:rPr>
        <w:t>TOD经济发展片。借助快速轨道交通站点在岛北区块集中分布优势，集中打造TOD经济发展片，配套商务旅游、酒店及会展功能，发展成为旅游+交通类产业的集中布局地。</w:t>
      </w:r>
      <w:r>
        <w:rPr>
          <w:rFonts w:hint="eastAsia" w:ascii="仿宋" w:hAnsi="仿宋" w:eastAsia="仿宋" w:cs="仿宋_GB2312"/>
          <w:b/>
          <w:bCs/>
          <w:color w:val="auto"/>
          <w:sz w:val="32"/>
          <w:szCs w:val="32"/>
        </w:rPr>
        <w:t>二是</w:t>
      </w:r>
      <w:r>
        <w:rPr>
          <w:rFonts w:hint="eastAsia" w:ascii="仿宋" w:hAnsi="仿宋" w:eastAsia="仿宋" w:cs="仿宋_GB2312"/>
          <w:color w:val="auto"/>
          <w:sz w:val="32"/>
          <w:szCs w:val="32"/>
        </w:rPr>
        <w:t>岛东传统文化观光片。重点建设太傅文化公园、金沙滩旅游度假区等。借助较多的宋代文化遗存，探索集中打造具有宋代风韵的传统文化旅游区</w:t>
      </w:r>
      <w:r>
        <w:rPr>
          <w:rFonts w:hint="eastAsia" w:ascii="仿宋" w:hAnsi="仿宋" w:eastAsia="仿宋" w:cs="仿宋_GB2312"/>
          <w:color w:val="auto"/>
          <w:sz w:val="32"/>
          <w:szCs w:val="32"/>
          <w:lang w:eastAsia="zh-CN"/>
        </w:rPr>
        <w:t>。依托</w:t>
      </w:r>
      <w:r>
        <w:rPr>
          <w:rFonts w:hint="eastAsia" w:ascii="仿宋" w:hAnsi="仿宋" w:eastAsia="仿宋" w:cs="仿宋_GB2312"/>
          <w:color w:val="auto"/>
          <w:sz w:val="32"/>
          <w:szCs w:val="32"/>
        </w:rPr>
        <w:t>国家海洋旅游集聚区等功能节点，集中打造具有现代海上风情的历史文化观光区。</w:t>
      </w:r>
      <w:r>
        <w:rPr>
          <w:rFonts w:hint="eastAsia" w:ascii="仿宋" w:hAnsi="仿宋" w:eastAsia="仿宋" w:cs="仿宋_GB2312"/>
          <w:b/>
          <w:bCs/>
          <w:color w:val="auto"/>
          <w:sz w:val="32"/>
          <w:szCs w:val="32"/>
        </w:rPr>
        <w:t>三是</w:t>
      </w:r>
      <w:r>
        <w:rPr>
          <w:rFonts w:hint="eastAsia" w:ascii="仿宋" w:hAnsi="仿宋" w:eastAsia="仿宋" w:cs="仿宋_GB2312"/>
          <w:color w:val="auto"/>
          <w:sz w:val="32"/>
          <w:szCs w:val="32"/>
        </w:rPr>
        <w:t>岛西传统滨海旅游片。依托大角湾国家AAAAA 级旅游区、华夏文化大观园、北洛湾乡村俱乐部、闸坡渔港休闲渔业基地、游艇基地、阳江国际帆船港、疍家文化村、飞鹅岭文化公园等旅游资源，提升发展层次，打造以大众度假、文化休闲、渔业休闲和游乐观光等为特征的高端国际旅游度假区。</w:t>
      </w:r>
      <w:r>
        <w:rPr>
          <w:rFonts w:hint="eastAsia" w:ascii="仿宋" w:hAnsi="仿宋" w:eastAsia="仿宋" w:cs="仿宋_GB2312"/>
          <w:b/>
          <w:bCs/>
          <w:color w:val="auto"/>
          <w:sz w:val="32"/>
          <w:szCs w:val="32"/>
        </w:rPr>
        <w:t>四是</w:t>
      </w:r>
      <w:r>
        <w:rPr>
          <w:rFonts w:hint="eastAsia" w:ascii="仿宋" w:hAnsi="仿宋" w:eastAsia="仿宋" w:cs="仿宋_GB2312"/>
          <w:color w:val="auto"/>
          <w:sz w:val="32"/>
          <w:szCs w:val="32"/>
        </w:rPr>
        <w:t>岛南现代开放型经济发展片。依托十里银滩、银海城、三山岛、石角湾、地拿湾等旅游资源和</w:t>
      </w:r>
      <w:bookmarkStart w:id="208" w:name="OLE_LINK8"/>
      <w:r>
        <w:rPr>
          <w:rFonts w:hint="eastAsia" w:ascii="仿宋" w:hAnsi="仿宋" w:eastAsia="仿宋" w:cs="仿宋_GB2312"/>
          <w:color w:val="auto"/>
          <w:sz w:val="32"/>
          <w:szCs w:val="32"/>
        </w:rPr>
        <w:t>保利、恒大、敏捷、</w:t>
      </w:r>
      <w:bookmarkEnd w:id="208"/>
      <w:r>
        <w:rPr>
          <w:rFonts w:hint="eastAsia" w:ascii="仿宋" w:hAnsi="仿宋" w:eastAsia="仿宋" w:cs="仿宋_GB2312"/>
          <w:b w:val="0"/>
          <w:bCs w:val="0"/>
          <w:strike w:val="0"/>
          <w:dstrike w:val="0"/>
          <w:color w:val="auto"/>
          <w:sz w:val="32"/>
          <w:szCs w:val="32"/>
          <w:lang w:val="en-US" w:eastAsia="zh-CN"/>
        </w:rPr>
        <w:t>顺峰</w:t>
      </w:r>
      <w:r>
        <w:rPr>
          <w:rFonts w:hint="eastAsia" w:ascii="仿宋" w:hAnsi="仿宋" w:eastAsia="仿宋" w:cs="仿宋_GB2312"/>
          <w:color w:val="auto"/>
          <w:sz w:val="32"/>
          <w:szCs w:val="32"/>
        </w:rPr>
        <w:t>等国内知名大型旅游地产项目，重点建设银滩海陵岛国际文化旅游度假区、广东海上丝绸之路博物馆、海洋历史博物馆、海陵岛国家海洋公园、银滩东区东岛历史文化旅游度假区、三山岛国际旅游度假区、黄金海岸滨海旅游度假区等。五是岛西现代海洋经济发展片。</w:t>
      </w:r>
      <w:bookmarkStart w:id="209" w:name="OLE_LINK4"/>
      <w:r>
        <w:rPr>
          <w:rFonts w:hint="eastAsia" w:ascii="仿宋" w:hAnsi="仿宋" w:eastAsia="仿宋" w:cs="仿宋_GB2312"/>
          <w:color w:val="auto"/>
          <w:sz w:val="32"/>
          <w:szCs w:val="32"/>
        </w:rPr>
        <w:t>推动广陵山、山塘山等山体以西滨海的北汀湾地区集中发展为轻型海洋产品加工</w:t>
      </w:r>
      <w:bookmarkEnd w:id="209"/>
      <w:r>
        <w:rPr>
          <w:rFonts w:hint="eastAsia" w:ascii="仿宋" w:hAnsi="仿宋" w:eastAsia="仿宋" w:cs="仿宋_GB2312"/>
          <w:color w:val="auto"/>
          <w:sz w:val="32"/>
          <w:szCs w:val="32"/>
        </w:rPr>
        <w:t>、设立海洋科技计划重点项目，加大对海洋科技研发的支持力度。</w:t>
      </w:r>
      <w:r>
        <w:rPr>
          <w:rFonts w:hint="eastAsia" w:ascii="仿宋" w:hAnsi="仿宋" w:eastAsia="仿宋" w:cs="仿宋_GB2312"/>
          <w:b/>
          <w:bCs/>
          <w:color w:val="auto"/>
          <w:sz w:val="32"/>
          <w:szCs w:val="32"/>
        </w:rPr>
        <w:t>六是</w:t>
      </w:r>
      <w:r>
        <w:rPr>
          <w:rFonts w:hint="eastAsia" w:ascii="仿宋" w:hAnsi="仿宋" w:eastAsia="仿宋" w:cs="仿宋_GB2312"/>
          <w:color w:val="auto"/>
          <w:sz w:val="32"/>
          <w:szCs w:val="32"/>
        </w:rPr>
        <w:t>岛中生态及乡村旅游发展片。重点建设</w:t>
      </w:r>
      <w:bookmarkStart w:id="210" w:name="OLE_LINK9"/>
      <w:r>
        <w:rPr>
          <w:rFonts w:hint="eastAsia" w:ascii="仿宋" w:hAnsi="仿宋" w:eastAsia="仿宋" w:cs="仿宋_GB2312"/>
          <w:color w:val="auto"/>
          <w:sz w:val="32"/>
          <w:szCs w:val="32"/>
        </w:rPr>
        <w:t>草王山生态公园</w:t>
      </w:r>
      <w:bookmarkEnd w:id="210"/>
      <w:r>
        <w:rPr>
          <w:rFonts w:hint="eastAsia" w:ascii="仿宋" w:hAnsi="仿宋" w:eastAsia="仿宋" w:cs="仿宋_GB2312"/>
          <w:color w:val="auto"/>
          <w:sz w:val="32"/>
          <w:szCs w:val="32"/>
        </w:rPr>
        <w:t>、山地自行车赛道、北金湾旅游产业园区等，依托丘陵、台地、村庄、农田、水库等景观要素，建设具有山地生态、农业生态、高端休闲运动、户外运动和登高观光等功能于一体的山地生态休闲区。</w:t>
      </w:r>
    </w:p>
    <w:p>
      <w:pPr>
        <w:adjustRightInd w:val="0"/>
        <w:snapToGrid w:val="0"/>
        <w:spacing w:line="600" w:lineRule="exact"/>
        <w:jc w:val="center"/>
        <w:outlineLvl w:val="1"/>
        <w:rPr>
          <w:rFonts w:ascii="黑体" w:hAnsi="黑体" w:eastAsia="黑体" w:cs="仿宋"/>
          <w:color w:val="auto"/>
          <w:sz w:val="32"/>
          <w:szCs w:val="32"/>
        </w:rPr>
      </w:pPr>
      <w:bookmarkStart w:id="211" w:name="_Toc15640"/>
      <w:r>
        <w:rPr>
          <w:rFonts w:hint="eastAsia" w:ascii="黑体" w:hAnsi="黑体" w:eastAsia="黑体" w:cs="仿宋"/>
          <w:color w:val="auto"/>
          <w:sz w:val="32"/>
          <w:szCs w:val="32"/>
        </w:rPr>
        <w:t xml:space="preserve">第二节 </w:t>
      </w:r>
      <w:bookmarkStart w:id="212" w:name="OLE_LINK3"/>
      <w:r>
        <w:rPr>
          <w:rFonts w:hint="eastAsia" w:ascii="黑体" w:hAnsi="黑体" w:eastAsia="黑体" w:cs="仿宋"/>
          <w:color w:val="auto"/>
          <w:sz w:val="32"/>
          <w:szCs w:val="32"/>
        </w:rPr>
        <w:t>营造生产生活生态“三生”共赢空间格局</w:t>
      </w:r>
      <w:bookmarkEnd w:id="211"/>
      <w:bookmarkEnd w:id="212"/>
    </w:p>
    <w:p>
      <w:pPr>
        <w:widowControl/>
        <w:adjustRightInd w:val="0"/>
        <w:snapToGrid w:val="0"/>
        <w:spacing w:line="600" w:lineRule="exact"/>
        <w:ind w:firstLine="640" w:firstLineChars="200"/>
        <w:rPr>
          <w:rFonts w:ascii="仿宋" w:hAnsi="仿宋" w:eastAsia="仿宋" w:cs="仿宋_GB2312"/>
          <w:color w:val="auto"/>
          <w:kern w:val="0"/>
          <w:sz w:val="32"/>
          <w:szCs w:val="32"/>
          <w:lang w:bidi="ar"/>
        </w:rPr>
      </w:pPr>
      <w:r>
        <w:rPr>
          <w:rFonts w:hint="eastAsia" w:ascii="仿宋" w:hAnsi="仿宋" w:eastAsia="仿宋" w:cs="仿宋_GB2312"/>
          <w:color w:val="auto"/>
          <w:kern w:val="0"/>
          <w:sz w:val="32"/>
          <w:szCs w:val="32"/>
          <w:lang w:bidi="ar"/>
        </w:rPr>
        <w:t>推动经济社会发展和空间规划整体协调，</w:t>
      </w:r>
      <w:bookmarkStart w:id="213" w:name="OLE_LINK38"/>
      <w:r>
        <w:rPr>
          <w:rFonts w:hint="eastAsia" w:ascii="仿宋" w:hAnsi="仿宋" w:eastAsia="仿宋" w:cs="仿宋_GB2312"/>
          <w:color w:val="auto"/>
          <w:kern w:val="0"/>
          <w:sz w:val="32"/>
          <w:szCs w:val="32"/>
          <w:lang w:bidi="ar"/>
        </w:rPr>
        <w:t>统筹安排生产生活生态用地</w:t>
      </w:r>
      <w:bookmarkEnd w:id="213"/>
      <w:r>
        <w:rPr>
          <w:rFonts w:hint="eastAsia" w:ascii="仿宋" w:hAnsi="仿宋" w:eastAsia="仿宋" w:cs="仿宋_GB2312"/>
          <w:color w:val="auto"/>
          <w:kern w:val="0"/>
          <w:sz w:val="32"/>
          <w:szCs w:val="32"/>
          <w:lang w:bidi="ar"/>
        </w:rPr>
        <w:t xml:space="preserve">，加快营造生产生活生态“三生”共赢空间格局。 </w:t>
      </w:r>
    </w:p>
    <w:p>
      <w:pPr>
        <w:adjustRightInd w:val="0"/>
        <w:snapToGrid w:val="0"/>
        <w:spacing w:line="600" w:lineRule="exact"/>
        <w:ind w:firstLine="643" w:firstLineChars="200"/>
        <w:rPr>
          <w:rFonts w:ascii="仿宋" w:hAnsi="仿宋" w:eastAsia="仿宋" w:cs="仿宋_GB2312"/>
          <w:color w:val="auto"/>
          <w:kern w:val="0"/>
          <w:sz w:val="32"/>
          <w:szCs w:val="32"/>
          <w:lang w:val="zh-CN" w:bidi="ar"/>
        </w:rPr>
      </w:pPr>
      <w:bookmarkStart w:id="214" w:name="_Toc27290"/>
      <w:r>
        <w:rPr>
          <w:rFonts w:hint="eastAsia" w:ascii="仿宋" w:hAnsi="仿宋" w:eastAsia="仿宋" w:cs="仿宋_GB2312"/>
          <w:b/>
          <w:bCs/>
          <w:color w:val="auto"/>
          <w:kern w:val="0"/>
          <w:sz w:val="32"/>
          <w:szCs w:val="32"/>
          <w:lang w:val="zh-CN" w:bidi="ar"/>
        </w:rPr>
        <w:t>高效利用生产空间</w:t>
      </w:r>
      <w:bookmarkEnd w:id="214"/>
      <w:r>
        <w:rPr>
          <w:rFonts w:hint="eastAsia" w:ascii="仿宋" w:hAnsi="仿宋" w:eastAsia="仿宋" w:cs="仿宋_GB2312"/>
          <w:b/>
          <w:bCs/>
          <w:color w:val="auto"/>
          <w:kern w:val="0"/>
          <w:sz w:val="32"/>
          <w:szCs w:val="32"/>
          <w:lang w:val="zh-CN" w:bidi="ar"/>
        </w:rPr>
        <w:t>。</w:t>
      </w:r>
      <w:r>
        <w:rPr>
          <w:rFonts w:hint="eastAsia" w:ascii="仿宋" w:hAnsi="仿宋" w:eastAsia="仿宋" w:cs="仿宋_GB2312"/>
          <w:color w:val="auto"/>
          <w:kern w:val="0"/>
          <w:sz w:val="32"/>
          <w:szCs w:val="32"/>
          <w:lang w:val="zh-CN" w:bidi="ar"/>
        </w:rPr>
        <w:t>落实农业功能区制度，合理划定粮食生产功能区、重要农产品生产保护区、特色农产品优势区、渔港经济区，保证粮食和重要、特色农产品生产稳定；合理划定林业保护区和养殖业适养、限养、禁养区域，严格保护农业生产空间；科学划分乡村经济发展片区，统筹推进农业产业园、科技园、新型经营主体创业基地建设，促进农产品生产的集中与规模发展。建设标准化、规模化原料生产基地，布局农产品集散中心、物流配送中心和展销中心，创建农业产业化示范基地和现代农业示范区。</w:t>
      </w:r>
    </w:p>
    <w:p>
      <w:pPr>
        <w:adjustRightInd w:val="0"/>
        <w:snapToGrid w:val="0"/>
        <w:spacing w:line="600" w:lineRule="exact"/>
        <w:ind w:firstLine="643" w:firstLineChars="200"/>
        <w:rPr>
          <w:rFonts w:ascii="仿宋" w:hAnsi="仿宋" w:eastAsia="仿宋" w:cs="仿宋_GB2312"/>
          <w:color w:val="auto"/>
          <w:sz w:val="32"/>
          <w:szCs w:val="32"/>
        </w:rPr>
      </w:pPr>
      <w:r>
        <w:rPr>
          <w:rFonts w:hint="eastAsia" w:ascii="仿宋" w:hAnsi="仿宋" w:eastAsia="仿宋" w:cs="仿宋_GB2312"/>
          <w:b/>
          <w:bCs/>
          <w:color w:val="auto"/>
          <w:kern w:val="0"/>
          <w:sz w:val="32"/>
          <w:szCs w:val="32"/>
          <w:lang w:bidi="ar"/>
        </w:rPr>
        <w:t>科学布局生活空间。</w:t>
      </w:r>
      <w:bookmarkStart w:id="215" w:name="OLE_LINK32"/>
      <w:r>
        <w:rPr>
          <w:rFonts w:hint="eastAsia" w:ascii="仿宋" w:hAnsi="仿宋" w:eastAsia="仿宋" w:cs="仿宋_GB2312"/>
          <w:color w:val="auto"/>
          <w:kern w:val="0"/>
          <w:sz w:val="32"/>
          <w:szCs w:val="32"/>
          <w:lang w:bidi="ar"/>
        </w:rPr>
        <w:t>以旧城改造、城市更新为主要手段，完善商业、公共服务等配套功能，提升村镇空间环境质量。</w:t>
      </w:r>
      <w:r>
        <w:rPr>
          <w:rFonts w:hint="eastAsia" w:ascii="仿宋" w:hAnsi="仿宋" w:eastAsia="仿宋" w:cs="仿宋_GB2312"/>
          <w:color w:val="auto"/>
          <w:sz w:val="32"/>
          <w:szCs w:val="32"/>
        </w:rPr>
        <w:t>加大闸坡等重点乡村中小学、高水平医院、公共住房、体育馆、图书馆、公园、绿地等城市功能配套供给，构建产城融合、城乡一体的公共服务空间。</w:t>
      </w:r>
      <w:r>
        <w:rPr>
          <w:rFonts w:hint="eastAsia" w:ascii="仿宋" w:hAnsi="仿宋" w:eastAsia="仿宋" w:cs="仿宋_GB2312"/>
          <w:color w:val="auto"/>
          <w:kern w:val="0"/>
          <w:sz w:val="32"/>
          <w:szCs w:val="32"/>
          <w:lang w:bidi="ar"/>
        </w:rPr>
        <w:t>以闸坡等区域为先行启动区，探索片区统筹开发模式，对单元内的村民宅基地、发展备用地、公共空间、空地等土地资源进行</w:t>
      </w:r>
      <w:bookmarkStart w:id="216" w:name="OLE_LINK22"/>
      <w:r>
        <w:rPr>
          <w:rFonts w:hint="eastAsia" w:ascii="仿宋" w:hAnsi="仿宋" w:eastAsia="仿宋" w:cs="仿宋_GB2312"/>
          <w:color w:val="auto"/>
          <w:kern w:val="0"/>
          <w:sz w:val="32"/>
          <w:szCs w:val="32"/>
          <w:lang w:bidi="ar"/>
        </w:rPr>
        <w:t>“统一打包、功能重划、优化重建”</w:t>
      </w:r>
      <w:bookmarkEnd w:id="216"/>
      <w:r>
        <w:rPr>
          <w:rFonts w:hint="eastAsia" w:ascii="仿宋" w:hAnsi="仿宋" w:eastAsia="仿宋" w:cs="仿宋_GB2312"/>
          <w:color w:val="auto"/>
          <w:kern w:val="0"/>
          <w:sz w:val="32"/>
          <w:szCs w:val="32"/>
          <w:lang w:bidi="ar"/>
        </w:rPr>
        <w:t>，积极推动城市更新等项目落地，建设集产业、居住、环境、交通、公共配套于一体的现代化新型社区。</w:t>
      </w:r>
    </w:p>
    <w:p>
      <w:pPr>
        <w:adjustRightInd w:val="0"/>
        <w:snapToGrid w:val="0"/>
        <w:spacing w:line="600" w:lineRule="exact"/>
        <w:ind w:firstLine="643" w:firstLineChars="200"/>
        <w:rPr>
          <w:rFonts w:ascii="仿宋" w:hAnsi="仿宋" w:eastAsia="仿宋" w:cs="仿宋_GB2312"/>
          <w:color w:val="auto"/>
          <w:sz w:val="32"/>
          <w:szCs w:val="32"/>
          <w:lang w:val="zh-CN"/>
        </w:rPr>
      </w:pPr>
      <w:r>
        <w:rPr>
          <w:rFonts w:hint="eastAsia" w:ascii="仿宋" w:hAnsi="仿宋" w:eastAsia="仿宋" w:cs="仿宋_GB2312"/>
          <w:b/>
          <w:bCs/>
          <w:color w:val="auto"/>
          <w:sz w:val="32"/>
          <w:szCs w:val="32"/>
          <w:lang w:val="zh-CN"/>
        </w:rPr>
        <w:t>严格保护生态空间。</w:t>
      </w:r>
      <w:r>
        <w:rPr>
          <w:rFonts w:hint="eastAsia" w:ascii="仿宋" w:hAnsi="仿宋" w:eastAsia="仿宋" w:cs="仿宋_GB2312"/>
          <w:color w:val="auto"/>
          <w:sz w:val="32"/>
          <w:szCs w:val="32"/>
          <w:lang w:val="zh-CN"/>
        </w:rPr>
        <w:t>严守</w:t>
      </w:r>
      <w:r>
        <w:rPr>
          <w:rFonts w:hint="eastAsia" w:ascii="仿宋" w:hAnsi="仿宋" w:eastAsia="仿宋" w:cs="仿宋_GB2312"/>
          <w:color w:val="auto"/>
          <w:sz w:val="32"/>
          <w:szCs w:val="32"/>
        </w:rPr>
        <w:t>基本生态控制线和</w:t>
      </w:r>
      <w:r>
        <w:rPr>
          <w:rFonts w:hint="eastAsia" w:ascii="仿宋" w:hAnsi="仿宋" w:eastAsia="仿宋" w:cs="仿宋_GB2312"/>
          <w:color w:val="auto"/>
          <w:sz w:val="32"/>
          <w:szCs w:val="32"/>
          <w:lang w:val="zh-CN"/>
        </w:rPr>
        <w:t>生态保护红线，统筹山水林田湖草系统治理，以提供生态服务、生态产品为基本导向，统筹山、林、田、河、湖、海资源，综合协调生产空间、生活空间与生态空间</w:t>
      </w:r>
      <w:r>
        <w:rPr>
          <w:rFonts w:hint="eastAsia" w:ascii="仿宋" w:hAnsi="仿宋" w:eastAsia="仿宋" w:cs="仿宋_GB2312"/>
          <w:color w:val="auto"/>
          <w:sz w:val="32"/>
          <w:szCs w:val="32"/>
        </w:rPr>
        <w:t>，限制土地增量发展。</w:t>
      </w:r>
      <w:r>
        <w:rPr>
          <w:rFonts w:hint="eastAsia" w:ascii="仿宋" w:hAnsi="仿宋" w:eastAsia="仿宋" w:cs="仿宋_GB2312"/>
          <w:color w:val="auto"/>
          <w:sz w:val="32"/>
          <w:szCs w:val="32"/>
          <w:lang w:val="zh-CN"/>
        </w:rPr>
        <w:t>划定并保护好饮用水源地，重视山体形貌维护、植被修复养护、水系岸线防护。制定禁止和限制发展产业目录，明确产业发展方向和开发强度，强化准入管理和底线约束。以草王山生态公园</w:t>
      </w:r>
      <w:r>
        <w:rPr>
          <w:rFonts w:hint="eastAsia" w:ascii="仿宋" w:hAnsi="仿宋" w:eastAsia="仿宋" w:cs="仿宋_GB2312"/>
          <w:color w:val="auto"/>
          <w:sz w:val="32"/>
          <w:szCs w:val="32"/>
        </w:rPr>
        <w:t>等</w:t>
      </w:r>
      <w:r>
        <w:rPr>
          <w:rFonts w:hint="eastAsia" w:ascii="仿宋" w:hAnsi="仿宋" w:eastAsia="仿宋" w:cs="仿宋_GB2312"/>
          <w:color w:val="auto"/>
          <w:sz w:val="32"/>
          <w:szCs w:val="32"/>
          <w:lang w:val="zh-CN"/>
        </w:rPr>
        <w:t>生态公园为依托，推进城市绿化工程和公路绿化工程，提升居住区、商业区和旅游景区的绿化覆盖面积。</w:t>
      </w:r>
    </w:p>
    <w:p>
      <w:pPr>
        <w:adjustRightInd w:val="0"/>
        <w:snapToGrid w:val="0"/>
        <w:spacing w:line="600" w:lineRule="exact"/>
        <w:jc w:val="center"/>
        <w:outlineLvl w:val="1"/>
        <w:rPr>
          <w:rFonts w:ascii="黑体" w:hAnsi="黑体" w:eastAsia="黑体" w:cs="仿宋"/>
          <w:color w:val="auto"/>
          <w:sz w:val="32"/>
          <w:szCs w:val="32"/>
        </w:rPr>
      </w:pPr>
      <w:bookmarkStart w:id="217" w:name="_Toc31147"/>
      <w:r>
        <w:rPr>
          <w:rFonts w:hint="eastAsia" w:ascii="黑体" w:hAnsi="黑体" w:eastAsia="黑体" w:cs="仿宋"/>
          <w:color w:val="auto"/>
          <w:sz w:val="32"/>
          <w:szCs w:val="32"/>
          <w:lang w:val="zh-CN"/>
        </w:rPr>
        <w:t>第三节</w:t>
      </w:r>
      <w:r>
        <w:rPr>
          <w:rFonts w:hint="eastAsia" w:ascii="黑体" w:hAnsi="黑体" w:eastAsia="黑体" w:cs="仿宋"/>
          <w:color w:val="auto"/>
          <w:sz w:val="32"/>
          <w:szCs w:val="32"/>
        </w:rPr>
        <w:t xml:space="preserve"> 推动</w:t>
      </w:r>
      <w:r>
        <w:rPr>
          <w:rFonts w:hint="eastAsia" w:ascii="黑体" w:hAnsi="黑体" w:eastAsia="黑体" w:cs="仿宋"/>
          <w:color w:val="auto"/>
          <w:sz w:val="32"/>
          <w:szCs w:val="32"/>
          <w:lang w:eastAsia="zh-CN"/>
        </w:rPr>
        <w:t>城乡</w:t>
      </w:r>
      <w:r>
        <w:rPr>
          <w:rFonts w:hint="eastAsia" w:ascii="黑体" w:hAnsi="黑体" w:eastAsia="黑体" w:cs="仿宋"/>
          <w:color w:val="auto"/>
          <w:sz w:val="32"/>
          <w:szCs w:val="32"/>
        </w:rPr>
        <w:t>经济高质量发展</w:t>
      </w:r>
      <w:bookmarkEnd w:id="217"/>
    </w:p>
    <w:p>
      <w:pPr>
        <w:widowControl/>
        <w:adjustRightInd w:val="0"/>
        <w:snapToGrid w:val="0"/>
        <w:spacing w:line="600" w:lineRule="exact"/>
        <w:ind w:firstLine="640" w:firstLineChars="200"/>
        <w:rPr>
          <w:rFonts w:ascii="仿宋" w:hAnsi="仿宋" w:eastAsia="仿宋" w:cs="仿宋_GB2312"/>
          <w:color w:val="auto"/>
          <w:kern w:val="0"/>
          <w:sz w:val="32"/>
          <w:szCs w:val="32"/>
          <w:lang w:bidi="ar"/>
        </w:rPr>
      </w:pPr>
      <w:bookmarkStart w:id="218" w:name="_Toc17504"/>
      <w:r>
        <w:rPr>
          <w:rFonts w:hint="eastAsia" w:ascii="仿宋" w:hAnsi="仿宋" w:eastAsia="仿宋" w:cs="仿宋_GB2312"/>
          <w:color w:val="auto"/>
          <w:kern w:val="0"/>
          <w:sz w:val="32"/>
          <w:szCs w:val="32"/>
          <w:lang w:bidi="ar"/>
        </w:rPr>
        <w:t>处理好中心镇和各乡村的发展关系，推动城乡功能互补和协同发展，增强区域人口集聚和综合承载能力。</w:t>
      </w:r>
    </w:p>
    <w:p>
      <w:pPr>
        <w:widowControl/>
        <w:adjustRightInd w:val="0"/>
        <w:snapToGrid w:val="0"/>
        <w:spacing w:line="600" w:lineRule="exact"/>
        <w:ind w:firstLine="643" w:firstLineChars="200"/>
        <w:rPr>
          <w:color w:val="auto"/>
        </w:rPr>
      </w:pPr>
      <w:r>
        <w:rPr>
          <w:rFonts w:hint="eastAsia" w:ascii="仿宋" w:hAnsi="仿宋" w:eastAsia="仿宋" w:cs="仿宋_GB2312"/>
          <w:b/>
          <w:bCs/>
          <w:color w:val="auto"/>
          <w:kern w:val="0"/>
          <w:sz w:val="32"/>
          <w:szCs w:val="32"/>
          <w:lang w:bidi="ar"/>
        </w:rPr>
        <w:t>补齐中心镇城镇化发展短板。</w:t>
      </w:r>
      <w:r>
        <w:rPr>
          <w:rFonts w:hint="eastAsia" w:ascii="仿宋" w:hAnsi="仿宋" w:eastAsia="仿宋" w:cs="仿宋_GB2312"/>
          <w:color w:val="auto"/>
          <w:kern w:val="0"/>
          <w:sz w:val="32"/>
          <w:szCs w:val="32"/>
          <w:lang w:bidi="ar"/>
        </w:rPr>
        <w:t>加快补齐闸坡等建制镇的基础设施和公共服务短板，引导周边村民到中心镇集中居住，辐射带动片区城乡融合发展。推动中心镇公共服务设施提标扩面，积极优化医疗卫生设施、教育设施、养老托育设施、文体旅游设施。促进环境卫生设施、市政公用设施提档升级。完善多元投入机制，健全金融资本与工商资本联动的市场化投入机制。</w:t>
      </w:r>
      <w:bookmarkEnd w:id="215"/>
      <w:bookmarkEnd w:id="218"/>
      <w:bookmarkStart w:id="219" w:name="_Toc12686"/>
      <w:bookmarkStart w:id="220" w:name="_Toc16240"/>
      <w:bookmarkStart w:id="221" w:name="_Toc10036"/>
      <w:bookmarkStart w:id="222" w:name="_Toc13571"/>
      <w:bookmarkStart w:id="223" w:name="_Toc59624868"/>
      <w:bookmarkStart w:id="224" w:name="_Toc22718"/>
      <w:bookmarkStart w:id="225" w:name="OLE_LINK100"/>
    </w:p>
    <w:bookmarkEnd w:id="219"/>
    <w:bookmarkEnd w:id="220"/>
    <w:bookmarkEnd w:id="221"/>
    <w:bookmarkEnd w:id="222"/>
    <w:bookmarkEnd w:id="223"/>
    <w:bookmarkEnd w:id="224"/>
    <w:bookmarkEnd w:id="225"/>
    <w:p>
      <w:pPr>
        <w:adjustRightInd w:val="0"/>
        <w:snapToGrid w:val="0"/>
        <w:spacing w:line="600" w:lineRule="exact"/>
        <w:jc w:val="center"/>
        <w:outlineLvl w:val="0"/>
        <w:rPr>
          <w:rFonts w:ascii="方正小标宋简体" w:eastAsia="方正小标宋简体" w:cs="仿宋" w:hAnsiTheme="minorEastAsia"/>
          <w:color w:val="auto"/>
          <w:spacing w:val="-12"/>
          <w:sz w:val="32"/>
          <w:szCs w:val="32"/>
        </w:rPr>
      </w:pPr>
      <w:bookmarkStart w:id="226" w:name="_Toc14972"/>
      <w:bookmarkStart w:id="227" w:name="_Toc20317"/>
      <w:r>
        <w:rPr>
          <w:rFonts w:hint="eastAsia" w:ascii="方正小标宋简体" w:eastAsia="方正小标宋简体" w:cs="仿宋" w:hAnsiTheme="minorEastAsia"/>
          <w:color w:val="auto"/>
          <w:spacing w:val="-12"/>
          <w:sz w:val="32"/>
          <w:szCs w:val="32"/>
        </w:rPr>
        <w:t xml:space="preserve">第十一章 </w:t>
      </w:r>
      <w:bookmarkEnd w:id="226"/>
      <w:bookmarkStart w:id="228" w:name="_Toc30121"/>
      <w:r>
        <w:rPr>
          <w:rFonts w:hint="eastAsia" w:ascii="方正小标宋简体" w:eastAsia="方正小标宋简体" w:cs="仿宋" w:hAnsiTheme="minorEastAsia"/>
          <w:color w:val="auto"/>
          <w:spacing w:val="-12"/>
          <w:sz w:val="32"/>
          <w:szCs w:val="32"/>
        </w:rPr>
        <w:t>加强生态文明建设，推动海陵岛绿色发展</w:t>
      </w:r>
      <w:bookmarkEnd w:id="227"/>
      <w:bookmarkEnd w:id="228"/>
    </w:p>
    <w:p>
      <w:pPr>
        <w:pStyle w:val="16"/>
        <w:shd w:val="clear" w:color="auto" w:fill="FFFFFF"/>
        <w:adjustRightInd w:val="0"/>
        <w:snapToGrid w:val="0"/>
        <w:spacing w:before="0" w:beforeAutospacing="0" w:after="0" w:afterAutospacing="0" w:line="600" w:lineRule="exact"/>
        <w:ind w:firstLine="640" w:firstLineChars="200"/>
        <w:jc w:val="both"/>
        <w:rPr>
          <w:rFonts w:ascii="仿宋" w:hAnsi="仿宋" w:eastAsia="仿宋" w:cs="仿宋_GB2312"/>
          <w:color w:val="auto"/>
          <w:sz w:val="32"/>
          <w:szCs w:val="32"/>
        </w:rPr>
      </w:pPr>
      <w:r>
        <w:rPr>
          <w:rFonts w:hint="eastAsia" w:ascii="仿宋" w:hAnsi="仿宋" w:eastAsia="仿宋" w:cs="Arial"/>
          <w:color w:val="auto"/>
          <w:sz w:val="32"/>
          <w:szCs w:val="32"/>
        </w:rPr>
        <w:t>坚持绿水青山就是金山银山理念，坚持尊重自然、顺应自然、保护自然，坚持节约优先、保护优先、自然恢复为主，</w:t>
      </w:r>
      <w:r>
        <w:rPr>
          <w:rFonts w:hint="eastAsia" w:ascii="仿宋" w:hAnsi="仿宋" w:eastAsia="仿宋" w:cs="仿宋_GB2312"/>
          <w:color w:val="auto"/>
          <w:sz w:val="32"/>
          <w:szCs w:val="32"/>
        </w:rPr>
        <w:t>坚守生态环境“生命线”，形成人与自然和谐共生的绿色发展格局。</w:t>
      </w:r>
    </w:p>
    <w:p>
      <w:pPr>
        <w:adjustRightInd w:val="0"/>
        <w:snapToGrid w:val="0"/>
        <w:spacing w:line="600" w:lineRule="exact"/>
        <w:jc w:val="center"/>
        <w:outlineLvl w:val="1"/>
        <w:rPr>
          <w:rFonts w:ascii="黑体" w:hAnsi="黑体" w:eastAsia="黑体" w:cs="仿宋"/>
          <w:color w:val="auto"/>
          <w:sz w:val="32"/>
          <w:szCs w:val="32"/>
          <w:lang w:val="zh-CN"/>
        </w:rPr>
      </w:pPr>
      <w:bookmarkStart w:id="229" w:name="_Toc5493"/>
      <w:r>
        <w:rPr>
          <w:rFonts w:hint="eastAsia" w:ascii="黑体" w:hAnsi="黑体" w:eastAsia="黑体" w:cs="仿宋"/>
          <w:color w:val="auto"/>
          <w:sz w:val="32"/>
          <w:szCs w:val="32"/>
          <w:lang w:val="zh-CN"/>
        </w:rPr>
        <w:t>第一节 加大</w:t>
      </w:r>
      <w:bookmarkStart w:id="230" w:name="OLE_LINK13"/>
      <w:r>
        <w:rPr>
          <w:rFonts w:hint="eastAsia" w:ascii="黑体" w:hAnsi="黑体" w:eastAsia="黑体" w:cs="仿宋"/>
          <w:color w:val="auto"/>
          <w:sz w:val="32"/>
          <w:szCs w:val="32"/>
          <w:lang w:val="zh-CN"/>
        </w:rPr>
        <w:t>生态环境保护</w:t>
      </w:r>
      <w:bookmarkEnd w:id="230"/>
      <w:r>
        <w:rPr>
          <w:rFonts w:hint="eastAsia" w:ascii="黑体" w:hAnsi="黑体" w:eastAsia="黑体" w:cs="仿宋"/>
          <w:color w:val="auto"/>
          <w:sz w:val="32"/>
          <w:szCs w:val="32"/>
          <w:lang w:val="zh-CN"/>
        </w:rPr>
        <w:t>力度</w:t>
      </w:r>
      <w:bookmarkEnd w:id="229"/>
    </w:p>
    <w:p>
      <w:pPr>
        <w:adjustRightInd w:val="0"/>
        <w:snapToGrid w:val="0"/>
        <w:spacing w:line="600" w:lineRule="exact"/>
        <w:ind w:firstLine="643" w:firstLineChars="200"/>
        <w:rPr>
          <w:rFonts w:ascii="仿宋" w:hAnsi="仿宋" w:eastAsia="仿宋"/>
          <w:color w:val="auto"/>
          <w:sz w:val="32"/>
          <w:szCs w:val="32"/>
        </w:rPr>
      </w:pPr>
      <w:r>
        <w:rPr>
          <w:rFonts w:hint="eastAsia" w:ascii="仿宋" w:hAnsi="仿宋" w:eastAsia="仿宋" w:cs="仿宋_GB2312"/>
          <w:b/>
          <w:bCs/>
          <w:color w:val="auto"/>
          <w:sz w:val="32"/>
          <w:szCs w:val="32"/>
        </w:rPr>
        <w:t>加强水环境保护.</w:t>
      </w:r>
      <w:r>
        <w:rPr>
          <w:rFonts w:ascii="仿宋" w:hAnsi="仿宋" w:eastAsia="仿宋" w:cs="仿宋_GB2312"/>
          <w:color w:val="auto"/>
          <w:sz w:val="32"/>
          <w:szCs w:val="32"/>
        </w:rPr>
        <w:t>推进闸坡旧城区排水改造工程、闸坡污水管网改造。</w:t>
      </w:r>
      <w:r>
        <w:rPr>
          <w:rFonts w:hint="eastAsia" w:ascii="仿宋" w:hAnsi="仿宋" w:eastAsia="仿宋" w:cs="仿宋_GB2312"/>
          <w:color w:val="auto"/>
          <w:sz w:val="32"/>
          <w:szCs w:val="32"/>
        </w:rPr>
        <w:t>全面实施河长制湖长制，加强对五围沟、雪流河等河流开展</w:t>
      </w:r>
      <w:r>
        <w:rPr>
          <w:rFonts w:ascii="仿宋" w:hAnsi="仿宋" w:eastAsia="仿宋" w:cs="仿宋_GB2312"/>
          <w:color w:val="auto"/>
          <w:sz w:val="32"/>
          <w:szCs w:val="32"/>
        </w:rPr>
        <w:t>沿河“散乱污”专项整治</w:t>
      </w:r>
      <w:r>
        <w:rPr>
          <w:rFonts w:hint="eastAsia" w:ascii="仿宋" w:hAnsi="仿宋" w:eastAsia="仿宋" w:cs="仿宋_GB2312"/>
          <w:color w:val="auto"/>
          <w:sz w:val="32"/>
          <w:szCs w:val="32"/>
        </w:rPr>
        <w:t>和</w:t>
      </w:r>
      <w:r>
        <w:rPr>
          <w:rFonts w:ascii="仿宋" w:hAnsi="仿宋" w:eastAsia="仿宋" w:cs="仿宋_GB2312"/>
          <w:color w:val="auto"/>
          <w:sz w:val="32"/>
          <w:szCs w:val="32"/>
        </w:rPr>
        <w:t>“五清”行动。</w:t>
      </w:r>
      <w:r>
        <w:rPr>
          <w:rFonts w:hint="eastAsia" w:ascii="仿宋" w:hAnsi="仿宋" w:eastAsia="仿宋" w:cs="仿宋_GB2312"/>
          <w:color w:val="auto"/>
          <w:sz w:val="32"/>
          <w:szCs w:val="32"/>
        </w:rPr>
        <w:t>加强区内11宗水库等集中式饮用水水源地保护与重要备用水源水库保护，提升农村饮水安全水平标准。持续推进</w:t>
      </w:r>
      <w:r>
        <w:rPr>
          <w:rFonts w:ascii="仿宋" w:hAnsi="仿宋" w:eastAsia="仿宋" w:cs="仿宋_GB2312"/>
          <w:color w:val="auto"/>
          <w:sz w:val="32"/>
          <w:szCs w:val="32"/>
        </w:rPr>
        <w:t>雨污分离管网和污水处理设施建设</w:t>
      </w:r>
      <w:r>
        <w:rPr>
          <w:rFonts w:hint="eastAsia" w:ascii="仿宋" w:hAnsi="仿宋" w:eastAsia="仿宋" w:cs="仿宋_GB2312"/>
          <w:color w:val="auto"/>
          <w:sz w:val="32"/>
          <w:szCs w:val="32"/>
        </w:rPr>
        <w:t>工程</w:t>
      </w:r>
      <w:r>
        <w:rPr>
          <w:rFonts w:ascii="仿宋" w:hAnsi="仿宋" w:eastAsia="仿宋" w:cs="仿宋_GB2312"/>
          <w:color w:val="auto"/>
          <w:sz w:val="32"/>
          <w:szCs w:val="32"/>
        </w:rPr>
        <w:t>，</w:t>
      </w:r>
      <w:r>
        <w:rPr>
          <w:rFonts w:hint="eastAsia" w:ascii="仿宋" w:hAnsi="仿宋" w:eastAsia="仿宋" w:cs="仿宋_GB2312"/>
          <w:color w:val="auto"/>
          <w:sz w:val="32"/>
          <w:szCs w:val="32"/>
        </w:rPr>
        <w:t>实行人畜分离、家畜集中圈养、雨污分流，</w:t>
      </w:r>
      <w:r>
        <w:rPr>
          <w:rFonts w:ascii="仿宋" w:hAnsi="仿宋" w:eastAsia="仿宋" w:cs="仿宋_GB2312"/>
          <w:color w:val="auto"/>
          <w:sz w:val="32"/>
          <w:szCs w:val="32"/>
        </w:rPr>
        <w:t>完善雨污分流管网和污水处理设施一村一档专门台账，保证建设工程按时按质完成。</w:t>
      </w:r>
      <w:r>
        <w:rPr>
          <w:rFonts w:hint="eastAsia" w:ascii="仿宋" w:hAnsi="仿宋" w:eastAsia="仿宋" w:cs="仿宋_GB2312"/>
          <w:color w:val="auto"/>
          <w:sz w:val="32"/>
          <w:szCs w:val="32"/>
        </w:rPr>
        <w:t>大力推进重金属、工业废水重点排放企业强制性清洁生产审核。争取与江城区等周边区域及建立多层次常态化水环境联合治理工作机制。</w:t>
      </w:r>
    </w:p>
    <w:p>
      <w:pPr>
        <w:adjustRightInd w:val="0"/>
        <w:snapToGrid w:val="0"/>
        <w:spacing w:line="600" w:lineRule="exact"/>
        <w:ind w:firstLine="643" w:firstLineChars="200"/>
        <w:rPr>
          <w:rFonts w:hint="eastAsia" w:ascii="仿宋" w:hAnsi="仿宋" w:eastAsia="仿宋" w:cs="仿宋_GB2312"/>
          <w:color w:val="auto"/>
          <w:sz w:val="32"/>
          <w:szCs w:val="32"/>
          <w:lang w:eastAsia="zh-CN"/>
        </w:rPr>
      </w:pPr>
      <w:r>
        <w:rPr>
          <w:rFonts w:hint="eastAsia" w:ascii="仿宋" w:hAnsi="仿宋" w:eastAsia="仿宋" w:cs="仿宋_GB2312"/>
          <w:b/>
          <w:bCs/>
          <w:color w:val="auto"/>
          <w:sz w:val="32"/>
          <w:szCs w:val="32"/>
        </w:rPr>
        <w:t>加强大气环境保护。</w:t>
      </w:r>
      <w:r>
        <w:rPr>
          <w:rFonts w:hint="eastAsia" w:ascii="仿宋" w:hAnsi="仿宋" w:eastAsia="仿宋" w:cs="仿宋_GB2312"/>
          <w:color w:val="auto"/>
          <w:sz w:val="32"/>
          <w:szCs w:val="32"/>
        </w:rPr>
        <w:t>健全“散乱污”企业监管长效机制，不定期对区内餐饮开展油烟污染排查。开展VOCs综合整治，深化道路扬尘、施工扬尘污染控制。加强各区域大气污染联防联控，协同防治臭氧和PM2.5污染。建立大气污染物排放重点区域定点监测站</w:t>
      </w:r>
      <w:r>
        <w:rPr>
          <w:rFonts w:hint="eastAsia" w:ascii="仿宋" w:hAnsi="仿宋" w:eastAsia="仿宋" w:cs="仿宋_GB2312"/>
          <w:color w:val="auto"/>
          <w:sz w:val="32"/>
          <w:szCs w:val="32"/>
          <w:lang w:eastAsia="zh-CN"/>
        </w:rPr>
        <w:t>。</w:t>
      </w:r>
    </w:p>
    <w:p>
      <w:pPr>
        <w:adjustRightInd w:val="0"/>
        <w:snapToGrid w:val="0"/>
        <w:spacing w:line="600" w:lineRule="exact"/>
        <w:ind w:firstLine="643" w:firstLineChars="200"/>
        <w:rPr>
          <w:rFonts w:ascii="仿宋" w:hAnsi="仿宋" w:eastAsia="仿宋" w:cs="仿宋_GB2312"/>
          <w:b/>
          <w:bCs/>
          <w:color w:val="auto"/>
          <w:sz w:val="32"/>
          <w:szCs w:val="32"/>
        </w:rPr>
      </w:pPr>
      <w:r>
        <w:rPr>
          <w:rFonts w:hint="eastAsia" w:ascii="仿宋" w:hAnsi="仿宋" w:eastAsia="仿宋" w:cs="仿宋_GB2312"/>
          <w:b/>
          <w:bCs/>
          <w:color w:val="auto"/>
          <w:sz w:val="32"/>
          <w:szCs w:val="32"/>
        </w:rPr>
        <w:t>保障土壤环境安全。</w:t>
      </w:r>
      <w:r>
        <w:rPr>
          <w:rFonts w:hint="eastAsia" w:ascii="仿宋" w:hAnsi="仿宋" w:eastAsia="仿宋" w:cs="仿宋_GB2312"/>
          <w:color w:val="auto"/>
          <w:sz w:val="32"/>
          <w:szCs w:val="32"/>
        </w:rPr>
        <w:t>加强土壤污染源头防治，实施农用地分类管理，开展建设用地土壤污染状况排查。加快推进垃圾分类制度，构建全过程固体废物管理体系，坚决管控生活垃圾、固体废物和危险废物倾倒于各类土地。建立科学先进的突然监测预警体系和系统完备的监察执法体系，提升土壤保护智能化管理服务水平。</w:t>
      </w:r>
    </w:p>
    <w:p>
      <w:pPr>
        <w:adjustRightInd w:val="0"/>
        <w:snapToGrid w:val="0"/>
        <w:spacing w:line="600" w:lineRule="exact"/>
        <w:ind w:firstLine="643" w:firstLineChars="200"/>
      </w:pPr>
      <w:r>
        <w:rPr>
          <w:rFonts w:hint="eastAsia" w:ascii="仿宋" w:hAnsi="仿宋" w:eastAsia="仿宋" w:cs="仿宋_GB2312"/>
          <w:b/>
          <w:bCs/>
          <w:color w:val="auto"/>
          <w:sz w:val="32"/>
          <w:szCs w:val="32"/>
        </w:rPr>
        <w:t>提升海洋生态环境质量。</w:t>
      </w:r>
      <w:r>
        <w:rPr>
          <w:rFonts w:hint="eastAsia" w:ascii="仿宋" w:hAnsi="仿宋" w:eastAsia="仿宋" w:cs="仿宋_GB2312"/>
          <w:color w:val="auto"/>
          <w:sz w:val="32"/>
          <w:szCs w:val="32"/>
        </w:rPr>
        <w:t>严格落实海洋生态红线管理制度，全面实施红线区分类分区管理。持续开展海陵岛近海污染治理行动。严格控制闸坡等重点海域生产生活污染物排海总量。深入推进海洋环境整治，全面执行防治船舶污染新标准，有序淘汰高污染渔船、货船等船舶。组织开展海上垃圾清理，常态化开展海滩、海岸清洁活动。提升近海生态质量，推进近海及海岸湿地保护。</w:t>
      </w:r>
    </w:p>
    <w:p>
      <w:pPr>
        <w:adjustRightInd w:val="0"/>
        <w:snapToGrid w:val="0"/>
        <w:spacing w:line="600" w:lineRule="exact"/>
        <w:jc w:val="center"/>
        <w:outlineLvl w:val="1"/>
        <w:rPr>
          <w:rFonts w:ascii="黑体" w:hAnsi="黑体" w:eastAsia="黑体" w:cs="仿宋"/>
          <w:color w:val="auto"/>
          <w:sz w:val="32"/>
          <w:szCs w:val="32"/>
          <w:lang w:val="zh-CN"/>
        </w:rPr>
      </w:pPr>
      <w:bookmarkStart w:id="231" w:name="_Toc29013"/>
      <w:r>
        <w:rPr>
          <w:rFonts w:hint="eastAsia" w:ascii="黑体" w:hAnsi="黑体" w:eastAsia="黑体" w:cs="仿宋"/>
          <w:color w:val="auto"/>
          <w:sz w:val="32"/>
          <w:szCs w:val="32"/>
          <w:lang w:val="zh-CN"/>
        </w:rPr>
        <w:t>第二节 大力推动绿色循环低碳发展</w:t>
      </w:r>
      <w:bookmarkEnd w:id="231"/>
    </w:p>
    <w:p>
      <w:pPr>
        <w:adjustRightInd w:val="0"/>
        <w:snapToGrid w:val="0"/>
        <w:spacing w:line="600" w:lineRule="exact"/>
        <w:ind w:firstLine="643" w:firstLineChars="200"/>
        <w:rPr>
          <w:rFonts w:ascii="仿宋" w:hAnsi="仿宋" w:eastAsia="仿宋" w:cs="仿宋_GB2312"/>
          <w:color w:val="auto"/>
          <w:sz w:val="32"/>
          <w:szCs w:val="32"/>
        </w:rPr>
      </w:pPr>
      <w:r>
        <w:rPr>
          <w:rFonts w:hint="eastAsia" w:ascii="仿宋" w:hAnsi="仿宋" w:eastAsia="仿宋" w:cs="仿宋_GB2312"/>
          <w:b/>
          <w:bCs/>
          <w:color w:val="auto"/>
          <w:sz w:val="32"/>
          <w:szCs w:val="32"/>
        </w:rPr>
        <w:t>全面推进节水型社会建设。</w:t>
      </w:r>
      <w:r>
        <w:rPr>
          <w:rFonts w:hint="eastAsia" w:ascii="仿宋" w:hAnsi="仿宋" w:eastAsia="仿宋" w:cs="仿宋_GB2312"/>
          <w:color w:val="auto"/>
          <w:sz w:val="32"/>
          <w:szCs w:val="32"/>
        </w:rPr>
        <w:t>坚持开源与节流并重、节流优先、治污为本、科学开源、综合利用的原则，充分挖掘海陵岛节水和供水潜力，合理配置“生产、生活、生态”用水，提高农业灌溉用水利用效率、工业用水重复利用率和城市节水生活用水器具普及率。</w:t>
      </w:r>
      <w:r>
        <w:rPr>
          <w:rFonts w:hint="eastAsia" w:ascii="仿宋" w:hAnsi="仿宋" w:eastAsia="仿宋" w:cs="仿宋_GB2312"/>
          <w:color w:val="auto"/>
          <w:kern w:val="0"/>
          <w:sz w:val="32"/>
          <w:szCs w:val="32"/>
          <w:lang w:bidi="ar"/>
        </w:rPr>
        <w:t>优先发展低耗水、高效能的产业，推动建设项目节水评估，鼓励采用节水技术</w:t>
      </w:r>
      <w:r>
        <w:rPr>
          <w:rFonts w:hint="eastAsia" w:ascii="仿宋" w:hAnsi="仿宋" w:eastAsia="仿宋" w:cs="仿宋_GB2312"/>
          <w:color w:val="auto"/>
          <w:sz w:val="32"/>
          <w:szCs w:val="32"/>
        </w:rPr>
        <w:t>，强化水资源在重大项目建设中的硬约束。加快高耗水行业节水技术改造，大力发展和推广用水重复利用技术，发展水循环系统、串联用水系统和中水回用系统。强化节约用水管理，逐步完善取水许可制度和水资源有偿使用制度，建立并实现水资源总量控制与定额管理机制、计划用水管理机制、节水“三同时”管理机制、节水设施和产品评价论证机制和合理水价形成机制。</w:t>
      </w:r>
    </w:p>
    <w:p>
      <w:pPr>
        <w:widowControl/>
        <w:adjustRightInd w:val="0"/>
        <w:snapToGrid w:val="0"/>
        <w:spacing w:line="600" w:lineRule="exact"/>
        <w:ind w:firstLine="643" w:firstLineChars="200"/>
        <w:rPr>
          <w:rFonts w:ascii="仿宋" w:hAnsi="仿宋" w:eastAsia="仿宋" w:cs="仿宋_GB2312"/>
          <w:color w:val="auto"/>
          <w:kern w:val="0"/>
          <w:sz w:val="32"/>
          <w:szCs w:val="32"/>
          <w:lang w:bidi="ar"/>
        </w:rPr>
      </w:pPr>
      <w:r>
        <w:rPr>
          <w:rFonts w:ascii="仿宋" w:hAnsi="仿宋" w:eastAsia="仿宋" w:cs="仿宋_GB2312"/>
          <w:b/>
          <w:color w:val="auto"/>
          <w:kern w:val="0"/>
          <w:sz w:val="32"/>
          <w:szCs w:val="32"/>
          <w:lang w:bidi="ar"/>
        </w:rPr>
        <w:t>促进资源循环利用。</w:t>
      </w:r>
      <w:r>
        <w:rPr>
          <w:rFonts w:hint="eastAsia" w:ascii="仿宋" w:hAnsi="仿宋" w:eastAsia="仿宋" w:cs="仿宋_GB2312"/>
          <w:color w:val="auto"/>
          <w:kern w:val="0"/>
          <w:sz w:val="32"/>
          <w:szCs w:val="32"/>
          <w:lang w:bidi="ar"/>
        </w:rPr>
        <w:t>积极推进资源再生利用，推广热电联产和集中供电、供能，鼓励发展余热发电。逐步完善垃圾分类处理和回收设施建设，推进垃圾资源再利用。建立健全村收集、区转运、市处置的生活垃圾收运处理体系，至2022年生活垃圾无害化处理率≥80%。合理放置垃圾收集点、建筑垃圾堆放点、垃圾箱、垃圾运输工具等，保持干净整洁。规范垃圾处理设施运营管理，确保每个自然村不少于1个以上垃圾收集点、每500人配1个保洁员标准配备；鼓励开展农村垃圾源头分类处理，配套建设垃圾分类投放收集设施。推进建筑废弃物综合利用。</w:t>
      </w:r>
    </w:p>
    <w:p>
      <w:pPr>
        <w:adjustRightInd w:val="0"/>
        <w:snapToGrid w:val="0"/>
        <w:spacing w:line="600" w:lineRule="exact"/>
        <w:jc w:val="center"/>
        <w:outlineLvl w:val="1"/>
        <w:rPr>
          <w:rFonts w:ascii="黑体" w:hAnsi="黑体" w:eastAsia="黑体" w:cs="仿宋"/>
          <w:color w:val="auto"/>
          <w:sz w:val="32"/>
          <w:szCs w:val="32"/>
          <w:lang w:val="zh-CN"/>
        </w:rPr>
      </w:pPr>
      <w:bookmarkStart w:id="232" w:name="_Toc2091"/>
      <w:r>
        <w:rPr>
          <w:rFonts w:hint="eastAsia" w:ascii="黑体" w:hAnsi="黑体" w:eastAsia="黑体" w:cs="仿宋"/>
          <w:color w:val="auto"/>
          <w:sz w:val="32"/>
          <w:szCs w:val="32"/>
          <w:lang w:val="zh-CN"/>
        </w:rPr>
        <w:t>第三节 全面推进生态建设</w:t>
      </w:r>
      <w:bookmarkEnd w:id="232"/>
    </w:p>
    <w:p>
      <w:pPr>
        <w:widowControl/>
        <w:adjustRightInd w:val="0"/>
        <w:snapToGrid w:val="0"/>
        <w:spacing w:line="600" w:lineRule="exact"/>
        <w:ind w:firstLine="640" w:firstLineChars="200"/>
        <w:rPr>
          <w:rFonts w:ascii="仿宋" w:hAnsi="仿宋" w:eastAsia="仿宋"/>
          <w:color w:val="auto"/>
          <w:sz w:val="32"/>
          <w:szCs w:val="32"/>
        </w:rPr>
      </w:pPr>
      <w:r>
        <w:rPr>
          <w:rFonts w:hint="eastAsia" w:ascii="仿宋" w:hAnsi="仿宋" w:eastAsia="仿宋" w:cs="仿宋_GB2312"/>
          <w:color w:val="auto"/>
          <w:kern w:val="0"/>
          <w:sz w:val="32"/>
          <w:szCs w:val="32"/>
          <w:lang w:bidi="ar"/>
        </w:rPr>
        <w:t>加强生态控制管理，构建以山体为背景、河流为骨架、海洋为依托的生态网络。</w:t>
      </w:r>
    </w:p>
    <w:p>
      <w:pPr>
        <w:widowControl/>
        <w:adjustRightInd w:val="0"/>
        <w:snapToGrid w:val="0"/>
        <w:spacing w:line="600" w:lineRule="exact"/>
        <w:ind w:firstLine="643" w:firstLineChars="200"/>
        <w:rPr>
          <w:rFonts w:ascii="仿宋" w:hAnsi="仿宋" w:eastAsia="仿宋" w:cs="仿宋_GB2312"/>
          <w:color w:val="auto"/>
          <w:kern w:val="0"/>
          <w:sz w:val="32"/>
          <w:szCs w:val="32"/>
          <w:lang w:bidi="ar"/>
        </w:rPr>
      </w:pPr>
      <w:r>
        <w:rPr>
          <w:rFonts w:hint="eastAsia" w:ascii="仿宋" w:hAnsi="仿宋" w:eastAsia="仿宋" w:cs="仿宋_GB2312"/>
          <w:b/>
          <w:color w:val="auto"/>
          <w:kern w:val="0"/>
          <w:sz w:val="32"/>
          <w:szCs w:val="32"/>
          <w:lang w:bidi="ar"/>
        </w:rPr>
        <w:t>保障生态安全。</w:t>
      </w:r>
      <w:r>
        <w:rPr>
          <w:rFonts w:hint="eastAsia" w:ascii="仿宋" w:hAnsi="仿宋" w:eastAsia="仿宋" w:cs="仿宋_GB2312"/>
          <w:color w:val="auto"/>
          <w:kern w:val="0"/>
          <w:sz w:val="32"/>
          <w:szCs w:val="32"/>
          <w:lang w:bidi="ar"/>
        </w:rPr>
        <w:t xml:space="preserve">加强河流水系及水库沿岸防护林、水源涵养林、水土保持林的建设，推进实施人工林树种更换计划。充分发挥各类耕地和基本农田的生态功能，将其纳入生态保育系统。严格保护近海湿地的自然特性和生态功能，规划建设滨海绿道。 </w:t>
      </w:r>
    </w:p>
    <w:p>
      <w:pPr>
        <w:widowControl/>
        <w:adjustRightInd w:val="0"/>
        <w:snapToGrid w:val="0"/>
        <w:spacing w:line="600" w:lineRule="exact"/>
        <w:ind w:firstLine="643" w:firstLineChars="200"/>
        <w:rPr>
          <w:rFonts w:ascii="仿宋" w:hAnsi="仿宋" w:eastAsia="仿宋" w:cs="仿宋_GB2312"/>
          <w:color w:val="auto"/>
          <w:sz w:val="32"/>
          <w:szCs w:val="32"/>
        </w:rPr>
      </w:pPr>
      <w:r>
        <w:rPr>
          <w:rFonts w:hint="eastAsia" w:ascii="仿宋" w:hAnsi="仿宋" w:eastAsia="仿宋" w:cs="仿宋_GB2312"/>
          <w:b/>
          <w:color w:val="auto"/>
          <w:kern w:val="0"/>
          <w:sz w:val="32"/>
          <w:szCs w:val="32"/>
          <w:lang w:bidi="ar"/>
        </w:rPr>
        <w:t>推进绿地建设。</w:t>
      </w:r>
      <w:r>
        <w:rPr>
          <w:rFonts w:hint="eastAsia" w:ascii="仿宋" w:hAnsi="仿宋" w:eastAsia="仿宋" w:cs="仿宋_GB2312"/>
          <w:color w:val="auto"/>
          <w:sz w:val="32"/>
          <w:szCs w:val="32"/>
        </w:rPr>
        <w:t>规划建设红树林国家森林公园、海陵岛十里银滩山顶森林公园保护示范区。完善镇村各类公园绿地建设，加大水土保持整治力度，推广立体化、多层次的绿化布局。推进村庄绿化美化，广泛开展全区义务植树，重点推进农田林网和村旁、路旁、水旁、宅旁“一网四旁”绿化体系建设，努力实现庭院、村屯、沟渠、通道全面增绿。</w:t>
      </w:r>
    </w:p>
    <w:p>
      <w:pPr>
        <w:widowControl/>
        <w:adjustRightInd w:val="0"/>
        <w:snapToGrid w:val="0"/>
        <w:spacing w:line="600" w:lineRule="exact"/>
        <w:ind w:firstLine="643" w:firstLineChars="200"/>
        <w:rPr>
          <w:color w:val="auto"/>
        </w:rPr>
      </w:pPr>
      <w:r>
        <w:rPr>
          <w:rFonts w:hint="eastAsia" w:ascii="仿宋" w:hAnsi="仿宋" w:eastAsia="仿宋" w:cs="仿宋"/>
          <w:b/>
          <w:bCs/>
          <w:color w:val="auto"/>
          <w:sz w:val="32"/>
          <w:szCs w:val="32"/>
        </w:rPr>
        <w:t>高</w:t>
      </w:r>
      <w:r>
        <w:rPr>
          <w:rFonts w:hint="eastAsia" w:ascii="仿宋" w:hAnsi="仿宋" w:eastAsia="仿宋" w:cs="仿宋_GB2312"/>
          <w:b/>
          <w:bCs/>
          <w:color w:val="auto"/>
          <w:sz w:val="32"/>
          <w:szCs w:val="32"/>
        </w:rPr>
        <w:t>质量建设万里碧道。</w:t>
      </w:r>
      <w:bookmarkStart w:id="233" w:name="OLE_LINK61"/>
      <w:r>
        <w:rPr>
          <w:rFonts w:hint="eastAsia" w:ascii="仿宋" w:hAnsi="仿宋" w:eastAsia="仿宋" w:cs="仿宋_GB2312"/>
          <w:color w:val="auto"/>
          <w:sz w:val="32"/>
          <w:szCs w:val="32"/>
        </w:rPr>
        <w:t>规划建设大角湾段、五围沟综合治理段</w:t>
      </w:r>
      <w:bookmarkStart w:id="234" w:name="OLE_LINK11"/>
      <w:r>
        <w:rPr>
          <w:rFonts w:hint="eastAsia" w:ascii="仿宋" w:hAnsi="仿宋" w:eastAsia="仿宋" w:cs="仿宋_GB2312"/>
          <w:color w:val="auto"/>
          <w:sz w:val="32"/>
          <w:szCs w:val="32"/>
        </w:rPr>
        <w:t>、新盐联围盐灶段、兰章联围主段等碧道建设工程</w:t>
      </w:r>
      <w:bookmarkEnd w:id="233"/>
      <w:r>
        <w:rPr>
          <w:rFonts w:hint="eastAsia" w:ascii="仿宋" w:hAnsi="仿宋" w:eastAsia="仿宋" w:cs="仿宋_GB2312"/>
          <w:color w:val="auto"/>
          <w:sz w:val="32"/>
          <w:szCs w:val="32"/>
        </w:rPr>
        <w:t>，</w:t>
      </w:r>
      <w:bookmarkEnd w:id="234"/>
      <w:r>
        <w:rPr>
          <w:rFonts w:hint="eastAsia" w:ascii="仿宋" w:hAnsi="仿宋" w:eastAsia="仿宋" w:cs="仿宋_GB2312"/>
          <w:color w:val="auto"/>
          <w:sz w:val="32"/>
          <w:szCs w:val="32"/>
        </w:rPr>
        <w:t>优化廊道的生态、生活、生产空间格局，</w:t>
      </w:r>
      <w:r>
        <w:rPr>
          <w:rFonts w:hint="eastAsia" w:ascii="仿宋" w:hAnsi="仿宋" w:eastAsia="仿宋" w:cs="仿宋_GB2312"/>
          <w:color w:val="auto"/>
          <w:kern w:val="0"/>
          <w:sz w:val="32"/>
          <w:szCs w:val="32"/>
          <w:lang w:bidi="ar"/>
        </w:rPr>
        <w:t>打造“一河两岸”景观，</w:t>
      </w:r>
      <w:r>
        <w:rPr>
          <w:rFonts w:hint="eastAsia" w:ascii="仿宋" w:hAnsi="仿宋" w:eastAsia="仿宋" w:cs="仿宋_GB2312"/>
          <w:color w:val="auto"/>
          <w:sz w:val="32"/>
          <w:szCs w:val="32"/>
        </w:rPr>
        <w:t>统筹建设具有生态、抗洪、文化、景观和休闲功能复合型廊道。</w:t>
      </w:r>
      <w:bookmarkStart w:id="235" w:name="_Toc28909"/>
    </w:p>
    <w:p>
      <w:pPr>
        <w:adjustRightInd w:val="0"/>
        <w:snapToGrid w:val="0"/>
        <w:spacing w:line="600" w:lineRule="exact"/>
        <w:jc w:val="center"/>
        <w:outlineLvl w:val="0"/>
        <w:rPr>
          <w:rFonts w:ascii="方正小标宋简体" w:eastAsia="方正小标宋简体" w:cs="仿宋" w:hAnsiTheme="minorEastAsia"/>
          <w:color w:val="auto"/>
          <w:spacing w:val="-12"/>
          <w:sz w:val="32"/>
          <w:szCs w:val="32"/>
        </w:rPr>
      </w:pPr>
      <w:bookmarkStart w:id="236" w:name="_Toc25974"/>
      <w:r>
        <w:rPr>
          <w:rFonts w:hint="eastAsia" w:ascii="方正小标宋简体" w:eastAsia="方正小标宋简体" w:cs="仿宋" w:hAnsiTheme="minorEastAsia"/>
          <w:color w:val="auto"/>
          <w:spacing w:val="-12"/>
          <w:sz w:val="32"/>
          <w:szCs w:val="32"/>
        </w:rPr>
        <w:t>第十二章  着力增进民生福祉，</w:t>
      </w:r>
      <w:bookmarkEnd w:id="235"/>
      <w:r>
        <w:rPr>
          <w:rFonts w:hint="eastAsia" w:ascii="方正小标宋简体" w:eastAsia="方正小标宋简体" w:cs="仿宋" w:hAnsiTheme="minorEastAsia"/>
          <w:color w:val="auto"/>
          <w:spacing w:val="-12"/>
          <w:sz w:val="32"/>
          <w:szCs w:val="32"/>
        </w:rPr>
        <w:t>建设幸福海陵</w:t>
      </w:r>
      <w:bookmarkEnd w:id="236"/>
    </w:p>
    <w:p>
      <w:pPr>
        <w:adjustRightInd w:val="0"/>
        <w:snapToGrid w:val="0"/>
        <w:spacing w:line="6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坚持以人民为中心，以人民最关心最直接最现实的利益问题为抓手，推进基本公共服务均等化，破解公共服务设施建设滞后的问题，在教育供给、医疗服务等方面补齐短板，切实增进人民福祉，满足人民对美好生活的向往，建设幸福海陵岛。</w:t>
      </w:r>
    </w:p>
    <w:p>
      <w:pPr>
        <w:adjustRightInd w:val="0"/>
        <w:snapToGrid w:val="0"/>
        <w:spacing w:line="600" w:lineRule="exact"/>
        <w:jc w:val="center"/>
        <w:outlineLvl w:val="1"/>
        <w:rPr>
          <w:rFonts w:ascii="黑体" w:hAnsi="黑体" w:eastAsia="黑体" w:cs="仿宋"/>
          <w:color w:val="auto"/>
          <w:sz w:val="32"/>
          <w:szCs w:val="32"/>
          <w:lang w:val="zh-CN"/>
        </w:rPr>
      </w:pPr>
      <w:bookmarkStart w:id="237" w:name="_Toc17569"/>
      <w:r>
        <w:rPr>
          <w:rFonts w:hint="eastAsia" w:ascii="黑体" w:hAnsi="黑体" w:eastAsia="黑体" w:cs="仿宋"/>
          <w:color w:val="auto"/>
          <w:sz w:val="32"/>
          <w:szCs w:val="32"/>
          <w:lang w:val="zh-CN"/>
        </w:rPr>
        <w:t>第一节 完善社会保障体系</w:t>
      </w:r>
      <w:bookmarkEnd w:id="237"/>
    </w:p>
    <w:p>
      <w:pPr>
        <w:adjustRightInd w:val="0"/>
        <w:snapToGrid w:val="0"/>
        <w:spacing w:line="600" w:lineRule="exact"/>
        <w:ind w:firstLine="643" w:firstLineChars="200"/>
        <w:rPr>
          <w:rFonts w:ascii="仿宋" w:hAnsi="仿宋" w:eastAsia="仿宋" w:cs="仿宋_GB2312"/>
          <w:color w:val="auto"/>
          <w:sz w:val="32"/>
          <w:szCs w:val="32"/>
        </w:rPr>
      </w:pPr>
      <w:r>
        <w:rPr>
          <w:rFonts w:hint="eastAsia" w:ascii="仿宋" w:hAnsi="仿宋" w:eastAsia="仿宋" w:cs="仿宋_GB2312"/>
          <w:b/>
          <w:bCs/>
          <w:color w:val="auto"/>
          <w:sz w:val="32"/>
          <w:szCs w:val="32"/>
        </w:rPr>
        <w:t>贯彻落实“稳就业”政策。</w:t>
      </w:r>
      <w:r>
        <w:rPr>
          <w:rFonts w:hint="eastAsia" w:ascii="仿宋" w:hAnsi="仿宋" w:eastAsia="仿宋" w:cs="仿宋_GB2312"/>
          <w:color w:val="auto"/>
          <w:sz w:val="32"/>
          <w:szCs w:val="32"/>
        </w:rPr>
        <w:t>积极提升海陵岛本地人才质量，通过建立完善劳动者职业培训体系提升本地劳务人员素质能力，实现就业致富。大力推进“粤菜师傅”、“南粤家政”“广东技工”三大工程，充分发挥民生工程吸纳就业的强劲作用，并对吸纳就业较大的企业实施税收返还等政策举措，促进劳动工资合理增长，切实提高城乡居民收入水平。加大力度推进创业资助、租金补贴、人才住房保障等人才扶持政策保障落地，吸引岛内外高层次人才在海陵岛创新创业。支持岛内医院、学校等企事业单位扩大人才招聘规模，对稳就业成效显著的单位提供补贴。</w:t>
      </w:r>
    </w:p>
    <w:p>
      <w:pPr>
        <w:pStyle w:val="16"/>
        <w:adjustRightInd w:val="0"/>
        <w:snapToGrid w:val="0"/>
        <w:spacing w:before="0" w:beforeAutospacing="0" w:after="0" w:afterAutospacing="0" w:line="600" w:lineRule="exact"/>
        <w:ind w:firstLine="643" w:firstLineChars="200"/>
        <w:jc w:val="both"/>
        <w:rPr>
          <w:rFonts w:ascii="仿宋" w:hAnsi="仿宋" w:eastAsia="仿宋"/>
          <w:color w:val="auto"/>
          <w:kern w:val="2"/>
          <w:sz w:val="32"/>
          <w:szCs w:val="32"/>
        </w:rPr>
      </w:pPr>
      <w:r>
        <w:rPr>
          <w:rFonts w:hint="eastAsia" w:ascii="仿宋" w:hAnsi="仿宋" w:eastAsia="仿宋" w:cs="仿宋_GB2312"/>
          <w:b/>
          <w:bCs/>
          <w:color w:val="auto"/>
          <w:sz w:val="32"/>
          <w:szCs w:val="32"/>
        </w:rPr>
        <w:t>完善社会保障制度。</w:t>
      </w:r>
      <w:r>
        <w:rPr>
          <w:rFonts w:hint="eastAsia" w:ascii="仿宋" w:hAnsi="仿宋" w:eastAsia="仿宋"/>
          <w:color w:val="auto"/>
          <w:kern w:val="2"/>
          <w:sz w:val="32"/>
          <w:szCs w:val="32"/>
        </w:rPr>
        <w:t>按照兜底线、织密网、建机制的要求，全面建成覆盖全民、城乡统筹、权责清晰、保障适度、可持续的多层次社会保障体系。全面实施全民参保计划，促进和引导各类单位和符合条件的人员长期持续参保，实现法定人员全覆盖。完善城乡居民养老保险制度，做好城镇职工养老保险与城乡居民养老保险的相互衔接，实现养老保险城乡统筹发展。继续深化机关事业单位养老保险制度改革，积极推行企业年金制度，构建多层次养老保障体系。完善失业保险基金防范失业风险制度改革，积极稳妥实行稳岗补贴政策。形成较完善的工伤预防、补偿、康复三位一体工伤保险制度。鼓励发展商业养老保险，促进商业保险与社会保险、补充保险相衔接，形成多层次保障体系。逐步建立覆盖全体参保人员的基本养老保险待遇合理调整机制，适当提高退休人员基本养老金和居民基础养老金标准。</w:t>
      </w:r>
    </w:p>
    <w:p>
      <w:pPr>
        <w:pStyle w:val="16"/>
        <w:adjustRightInd w:val="0"/>
        <w:snapToGrid w:val="0"/>
        <w:spacing w:before="0" w:beforeAutospacing="0" w:after="0" w:afterAutospacing="0" w:line="600" w:lineRule="exact"/>
        <w:ind w:firstLine="643" w:firstLineChars="200"/>
        <w:jc w:val="both"/>
        <w:rPr>
          <w:rFonts w:ascii="仿宋" w:hAnsi="仿宋" w:eastAsia="仿宋" w:cs="仿宋_GB2312"/>
          <w:color w:val="auto"/>
          <w:sz w:val="32"/>
          <w:szCs w:val="32"/>
        </w:rPr>
      </w:pPr>
      <w:r>
        <w:rPr>
          <w:rFonts w:hint="eastAsia" w:ascii="仿宋" w:hAnsi="仿宋" w:eastAsia="仿宋"/>
          <w:b/>
          <w:bCs/>
          <w:color w:val="auto"/>
          <w:kern w:val="2"/>
          <w:sz w:val="32"/>
          <w:szCs w:val="32"/>
        </w:rPr>
        <w:t>优化提升基本公共保障体系。</w:t>
      </w:r>
      <w:r>
        <w:rPr>
          <w:rFonts w:hint="eastAsia" w:ascii="仿宋" w:hAnsi="仿宋" w:eastAsia="仿宋" w:cs="仿宋_GB2312"/>
          <w:color w:val="auto"/>
          <w:sz w:val="32"/>
          <w:szCs w:val="32"/>
        </w:rPr>
        <w:t>提升基本公共服务能力和水平。加快推进公共租赁住房项目建设，增加保障性住房供给。建立健全多层次、功能完善、覆盖城乡的养老服务体系，实施特困人员供养服务机构（敬老院）改造提升工程，推动城乡居家养老服务基本覆盖。构建高水平养老和家政服务体系。完善以城乡低保救助为基础的社会救助体系，提高低保、特困供养、残疾人“两项补贴”和孤儿基本生活保障标准，提高社会救助水平，推动慈善事业健康发展。</w:t>
      </w:r>
    </w:p>
    <w:p>
      <w:pPr>
        <w:adjustRightInd w:val="0"/>
        <w:snapToGrid w:val="0"/>
        <w:spacing w:line="600" w:lineRule="exact"/>
        <w:jc w:val="center"/>
        <w:outlineLvl w:val="1"/>
        <w:rPr>
          <w:rFonts w:ascii="黑体" w:hAnsi="黑体" w:eastAsia="黑体" w:cs="仿宋"/>
          <w:color w:val="auto"/>
          <w:sz w:val="32"/>
          <w:szCs w:val="32"/>
          <w:lang w:val="zh-CN"/>
        </w:rPr>
      </w:pPr>
      <w:bookmarkStart w:id="238" w:name="_Toc27822"/>
      <w:r>
        <w:rPr>
          <w:rFonts w:hint="eastAsia" w:ascii="黑体" w:hAnsi="黑体" w:eastAsia="黑体" w:cs="仿宋"/>
          <w:color w:val="auto"/>
          <w:sz w:val="32"/>
          <w:szCs w:val="32"/>
          <w:lang w:val="zh-CN"/>
        </w:rPr>
        <w:t>第二节 提升基础教育综合发展水平</w:t>
      </w:r>
      <w:bookmarkEnd w:id="238"/>
    </w:p>
    <w:p>
      <w:pPr>
        <w:adjustRightInd w:val="0"/>
        <w:snapToGrid w:val="0"/>
        <w:spacing w:line="6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积极推进广东省义务教育强镇建设和义务教育现代化建设，深化教育体制改革，加强教师队伍建设，改善办学条件，提高教育教学质量，争取2025年财政性教育经费占GDP的比例达4％。</w:t>
      </w:r>
    </w:p>
    <w:p>
      <w:pPr>
        <w:widowControl/>
        <w:shd w:val="clear" w:color="auto" w:fill="FFFFFF"/>
        <w:adjustRightInd w:val="0"/>
        <w:snapToGrid w:val="0"/>
        <w:spacing w:line="600" w:lineRule="exact"/>
        <w:ind w:firstLine="643"/>
      </w:pPr>
      <w:r>
        <w:rPr>
          <w:rFonts w:hint="eastAsia" w:ascii="仿宋" w:hAnsi="仿宋" w:eastAsia="仿宋" w:cs="宋体"/>
          <w:b/>
          <w:bCs/>
          <w:color w:val="auto"/>
          <w:kern w:val="0"/>
          <w:sz w:val="32"/>
          <w:szCs w:val="32"/>
        </w:rPr>
        <w:t>大力推动基础教育优质发展。</w:t>
      </w:r>
      <w:r>
        <w:rPr>
          <w:rFonts w:hint="eastAsia" w:ascii="仿宋" w:hAnsi="仿宋" w:eastAsia="仿宋" w:cs="宋体"/>
          <w:color w:val="auto"/>
          <w:kern w:val="0"/>
          <w:sz w:val="32"/>
          <w:szCs w:val="32"/>
        </w:rPr>
        <w:t>加快基础教育高质量发展，努力破解基础教育不平衡不充分问题，满足海陵岛居民对优质教育的期盼。加强学前教育规划建设</w:t>
      </w: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rPr>
        <w:t>持续增加公办幼儿园学位</w:t>
      </w: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rPr>
        <w:t>积极推进学前教育优质普惠发展，基本建立布局合理、以公办园和普惠性民办园为主体的学前教育服务网络。大力促进义务教育优质均衡发展，增加义务教育学位供给，加快引进优质基础教育资源,加快引进国内外优质中小学基础教育资源。探索构建“核心校+弱校”等联合办学模式，加强区域内教育资源共享。打造高素质专业化师资队伍</w:t>
      </w:r>
      <w:r>
        <w:rPr>
          <w:rFonts w:hint="eastAsia" w:ascii="仿宋" w:hAnsi="仿宋" w:eastAsia="仿宋" w:cs="宋体"/>
          <w:color w:val="auto"/>
          <w:kern w:val="0"/>
          <w:sz w:val="32"/>
          <w:szCs w:val="32"/>
          <w:lang w:eastAsia="zh-CN"/>
        </w:rPr>
        <w:t>，加强教师能力建设，组织海陵岛中小学教师到省内师范院校培训，切实提高教师教学能力和水平。</w:t>
      </w:r>
      <w:r>
        <w:rPr>
          <w:rFonts w:hint="eastAsia" w:ascii="仿宋" w:hAnsi="仿宋" w:eastAsia="仿宋" w:cs="宋体"/>
          <w:color w:val="auto"/>
          <w:kern w:val="0"/>
          <w:sz w:val="32"/>
          <w:szCs w:val="32"/>
        </w:rPr>
        <w:t>争取规划建设教师发展中心。加大宣传力度，在全社会营造重视教育、促进学生全面发展、学知识爱科学的浓厚氛围。</w:t>
      </w:r>
    </w:p>
    <w:p>
      <w:pPr>
        <w:widowControl/>
        <w:shd w:val="clear" w:color="auto" w:fill="FFFFFF"/>
        <w:adjustRightInd w:val="0"/>
        <w:snapToGrid w:val="0"/>
        <w:spacing w:line="600" w:lineRule="exact"/>
        <w:ind w:firstLine="643"/>
        <w:rPr>
          <w:rFonts w:ascii="仿宋" w:hAnsi="仿宋" w:eastAsia="仿宋" w:cs="宋体"/>
          <w:color w:val="auto"/>
          <w:kern w:val="0"/>
          <w:sz w:val="32"/>
          <w:szCs w:val="32"/>
        </w:rPr>
      </w:pPr>
      <w:r>
        <w:rPr>
          <w:rFonts w:hint="eastAsia" w:ascii="仿宋" w:hAnsi="仿宋" w:eastAsia="仿宋" w:cs="宋体"/>
          <w:b/>
          <w:bCs/>
          <w:color w:val="auto"/>
          <w:kern w:val="0"/>
          <w:sz w:val="32"/>
          <w:szCs w:val="32"/>
        </w:rPr>
        <w:t>持续改善办学条件。</w:t>
      </w:r>
      <w:bookmarkStart w:id="239" w:name="OLE_LINK101"/>
      <w:r>
        <w:rPr>
          <w:rFonts w:hint="eastAsia" w:ascii="仿宋" w:hAnsi="仿宋" w:eastAsia="仿宋" w:cs="宋体"/>
          <w:color w:val="auto"/>
          <w:kern w:val="0"/>
          <w:sz w:val="32"/>
          <w:szCs w:val="32"/>
        </w:rPr>
        <w:t>加快推进海陵中心小学的高标准迁建工程，复办原莳元小学作为闸坡中心小学的分教点</w:t>
      </w:r>
      <w:bookmarkEnd w:id="239"/>
      <w:r>
        <w:rPr>
          <w:rFonts w:hint="eastAsia" w:ascii="仿宋" w:hAnsi="仿宋" w:eastAsia="仿宋" w:cs="宋体"/>
          <w:color w:val="auto"/>
          <w:kern w:val="0"/>
          <w:sz w:val="32"/>
          <w:szCs w:val="32"/>
        </w:rPr>
        <w:t>，满足我区镇中心区域学位需求，有效化解镇中心学校的大班额问题，科学优化和整合义务教育资源。继续加大学前教育公办资源的建设，</w:t>
      </w:r>
      <w:r>
        <w:rPr>
          <w:rFonts w:hint="eastAsia" w:ascii="仿宋" w:hAnsi="仿宋" w:eastAsia="仿宋" w:cs="仿宋_GB2312"/>
          <w:color w:val="auto"/>
          <w:sz w:val="32"/>
          <w:szCs w:val="32"/>
        </w:rPr>
        <w:t>统筹推进房地产项目配套建设幼儿园，增加托育服务有效供给，</w:t>
      </w:r>
      <w:r>
        <w:rPr>
          <w:rFonts w:hint="eastAsia" w:ascii="仿宋" w:hAnsi="仿宋" w:eastAsia="仿宋" w:cs="宋体"/>
          <w:color w:val="auto"/>
          <w:kern w:val="0"/>
          <w:sz w:val="32"/>
          <w:szCs w:val="32"/>
        </w:rPr>
        <w:t>促进我区新时期学前教育规范化发展。争取筹建一所高水平民办九年义务教育学校</w:t>
      </w:r>
      <w:r>
        <w:rPr>
          <w:rFonts w:hint="eastAsia" w:ascii="仿宋" w:hAnsi="仿宋" w:eastAsia="仿宋" w:cs="宋体"/>
          <w:color w:val="auto"/>
          <w:kern w:val="0"/>
          <w:sz w:val="32"/>
          <w:szCs w:val="32"/>
          <w:lang w:eastAsia="zh-CN"/>
        </w:rPr>
        <w:t>和一所有一定规模镇现代化中心幼儿园</w:t>
      </w:r>
      <w:r>
        <w:rPr>
          <w:rFonts w:hint="eastAsia" w:ascii="仿宋" w:hAnsi="仿宋" w:eastAsia="仿宋" w:cs="宋体"/>
          <w:color w:val="auto"/>
          <w:kern w:val="0"/>
          <w:sz w:val="32"/>
          <w:szCs w:val="32"/>
        </w:rPr>
        <w:t>。</w:t>
      </w:r>
    </w:p>
    <w:p>
      <w:pPr>
        <w:widowControl/>
        <w:shd w:val="clear" w:color="auto" w:fill="FFFFFF"/>
        <w:adjustRightInd w:val="0"/>
        <w:snapToGrid w:val="0"/>
        <w:spacing w:line="600" w:lineRule="exact"/>
        <w:ind w:firstLine="643"/>
        <w:rPr>
          <w:rFonts w:ascii="仿宋" w:hAnsi="仿宋" w:eastAsia="仿宋" w:cs="仿宋_GB2312"/>
          <w:color w:val="auto"/>
          <w:sz w:val="32"/>
          <w:szCs w:val="32"/>
        </w:rPr>
      </w:pPr>
      <w:r>
        <w:rPr>
          <w:rFonts w:hint="eastAsia" w:ascii="仿宋" w:hAnsi="仿宋" w:eastAsia="仿宋" w:cs="宋体"/>
          <w:b/>
          <w:bCs/>
          <w:color w:val="auto"/>
          <w:kern w:val="0"/>
          <w:sz w:val="32"/>
          <w:szCs w:val="32"/>
        </w:rPr>
        <w:t>加强教育信息化建设。</w:t>
      </w:r>
      <w:r>
        <w:rPr>
          <w:rFonts w:hint="eastAsia" w:ascii="仿宋" w:hAnsi="仿宋" w:eastAsia="仿宋" w:cs="宋体"/>
          <w:color w:val="auto"/>
          <w:kern w:val="0"/>
          <w:sz w:val="32"/>
          <w:szCs w:val="32"/>
        </w:rPr>
        <w:t>加大硬件投入，不断优化校园光纤网络，使学校计算机终端达到千兆；建成特色鲜明的“海陵岛试验区现代教育城域网”，实现中学和中心小学“智能化”校园建设，不断完善、丰富教育教学资源库；优化和提升中小学校信息技术必修课教学，提高学生信息综合素养。</w:t>
      </w:r>
    </w:p>
    <w:p>
      <w:pPr>
        <w:adjustRightInd w:val="0"/>
        <w:snapToGrid w:val="0"/>
        <w:spacing w:line="600" w:lineRule="exact"/>
        <w:jc w:val="center"/>
        <w:outlineLvl w:val="1"/>
        <w:rPr>
          <w:rFonts w:ascii="黑体" w:hAnsi="黑体" w:eastAsia="黑体" w:cs="仿宋"/>
          <w:color w:val="auto"/>
          <w:sz w:val="32"/>
          <w:szCs w:val="32"/>
          <w:lang w:val="zh-CN"/>
        </w:rPr>
      </w:pPr>
      <w:bookmarkStart w:id="240" w:name="_Toc25544"/>
      <w:r>
        <w:rPr>
          <w:rFonts w:hint="eastAsia" w:ascii="黑体" w:hAnsi="黑体" w:eastAsia="黑体" w:cs="仿宋"/>
          <w:color w:val="auto"/>
          <w:sz w:val="32"/>
          <w:szCs w:val="32"/>
          <w:lang w:val="zh-CN"/>
        </w:rPr>
        <w:t>第三节 完善医疗服务体系</w:t>
      </w:r>
      <w:bookmarkEnd w:id="240"/>
    </w:p>
    <w:p>
      <w:pPr>
        <w:adjustRightInd w:val="0"/>
        <w:snapToGrid w:val="0"/>
        <w:spacing w:line="600" w:lineRule="exact"/>
        <w:ind w:firstLine="640" w:firstLineChars="200"/>
        <w:rPr>
          <w:color w:val="auto"/>
        </w:rPr>
      </w:pPr>
      <w:r>
        <w:rPr>
          <w:rFonts w:hint="eastAsia" w:ascii="仿宋" w:hAnsi="仿宋" w:eastAsia="仿宋" w:cs="仿宋_GB2312"/>
          <w:color w:val="auto"/>
          <w:sz w:val="32"/>
          <w:szCs w:val="32"/>
        </w:rPr>
        <w:t>加强医疗健康能力建设，加快</w:t>
      </w:r>
      <w:r>
        <w:rPr>
          <w:rFonts w:hint="eastAsia" w:ascii="仿宋" w:hAnsi="仿宋" w:eastAsia="仿宋" w:cs="仿宋_GB2312"/>
          <w:b w:val="0"/>
          <w:bCs w:val="0"/>
          <w:color w:val="auto"/>
          <w:sz w:val="32"/>
          <w:szCs w:val="32"/>
          <w:lang w:eastAsia="zh-CN"/>
        </w:rPr>
        <w:t>海陵养护医院</w:t>
      </w:r>
      <w:r>
        <w:rPr>
          <w:rFonts w:hint="eastAsia" w:ascii="仿宋" w:hAnsi="仿宋" w:eastAsia="仿宋" w:cs="仿宋_GB2312"/>
          <w:color w:val="auto"/>
          <w:sz w:val="32"/>
          <w:szCs w:val="32"/>
        </w:rPr>
        <w:t>规划建设，逐步健全建立以区级人民医院为龙头、闸坡和海陵乡镇卫生院为保障、村卫生站为基础的农村医疗卫生服务网络。支持海陵岛各类医疗机构与珠海医院形成结对合作机制，学习珠海高效的医疗卫生资源配置，健全公共卫生体制机制，完善疾控体系建设，提高疾病预防控制和突发公共卫生事件应急处置能力。全力巩固和深化基层医疗卫生机构综合改革，进一步优化分级诊疗制度和体系，建立健全家庭医生签约式服务，推动各级妇幼保健机构规范化建设。以区人民医院为主体加快智慧医院建设。加强乡村医生和基层医生队伍建设，全面落实老年乡村医生生活补助政策，及时将符合条件的老年乡村医生纳入补助人员范围，提高基层卫生人员的积极性。全面规范推进家庭医生签约服务，明确家庭医生签约服务包的收费价格，推行家庭医生签约、门诊统筹签约和基本公共卫生服务签约“三约合一”，实行实名制签约。</w:t>
      </w:r>
      <w:bookmarkStart w:id="241" w:name="_Toc7937"/>
      <w:bookmarkStart w:id="242" w:name="_Toc59624883"/>
    </w:p>
    <w:p>
      <w:pPr>
        <w:widowControl/>
        <w:jc w:val="center"/>
        <w:rPr>
          <w:color w:val="auto"/>
        </w:rPr>
      </w:pPr>
      <w:r>
        <w:rPr>
          <w:rFonts w:hint="eastAsia" w:eastAsia="方正小标宋简体"/>
          <w:b/>
          <w:bCs/>
          <w:color w:val="auto"/>
          <w:kern w:val="0"/>
          <w:sz w:val="28"/>
          <w:szCs w:val="28"/>
        </w:rPr>
        <w:t xml:space="preserve">专栏 </w:t>
      </w:r>
      <w:r>
        <w:rPr>
          <w:rFonts w:eastAsia="方正小标宋简体"/>
          <w:b/>
          <w:bCs/>
          <w:color w:val="auto"/>
          <w:kern w:val="0"/>
          <w:sz w:val="28"/>
          <w:szCs w:val="28"/>
        </w:rPr>
        <w:t xml:space="preserve"> </w:t>
      </w:r>
      <w:r>
        <w:rPr>
          <w:rFonts w:hint="eastAsia" w:eastAsia="方正小标宋简体"/>
          <w:b/>
          <w:bCs/>
          <w:color w:val="auto"/>
          <w:kern w:val="0"/>
          <w:sz w:val="28"/>
          <w:szCs w:val="28"/>
        </w:rPr>
        <w:t>海陵岛医疗服务体系建设重点项目</w:t>
      </w:r>
    </w:p>
    <w:p>
      <w:pPr>
        <w:pBdr>
          <w:top w:val="single" w:color="auto" w:sz="4" w:space="1"/>
          <w:left w:val="single" w:color="auto" w:sz="4" w:space="4"/>
          <w:bottom w:val="single" w:color="auto" w:sz="4" w:space="1"/>
          <w:right w:val="single" w:color="auto" w:sz="4" w:space="4"/>
        </w:pBdr>
        <w:spacing w:line="360" w:lineRule="auto"/>
        <w:rPr>
          <w:color w:val="auto"/>
        </w:rPr>
      </w:pPr>
      <w:r>
        <w:rPr>
          <w:rFonts w:hint="eastAsia" w:ascii="仿宋_GB2312" w:hAnsi="等线" w:eastAsia="仿宋"/>
          <w:b/>
          <w:bCs/>
          <w:color w:val="auto"/>
          <w:sz w:val="24"/>
          <w:szCs w:val="30"/>
        </w:rPr>
        <w:t>1.</w:t>
      </w:r>
      <w:r>
        <w:rPr>
          <w:rFonts w:hint="eastAsia" w:ascii="等线" w:hAnsi="等线"/>
          <w:color w:val="auto"/>
          <w:sz w:val="24"/>
          <w:szCs w:val="22"/>
        </w:rPr>
        <w:t xml:space="preserve"> </w:t>
      </w:r>
      <w:r>
        <w:rPr>
          <w:rFonts w:hint="eastAsia" w:ascii="仿宋_GB2312" w:hAnsi="等线" w:eastAsia="仿宋"/>
          <w:b/>
          <w:bCs/>
          <w:color w:val="auto"/>
          <w:sz w:val="24"/>
          <w:szCs w:val="30"/>
        </w:rPr>
        <w:t>海陵区人民医院（闸坡镇卫生院）附属配套设施工程：</w:t>
      </w:r>
      <w:r>
        <w:rPr>
          <w:rFonts w:hint="eastAsia" w:ascii="仿宋_GB2312" w:hAnsi="等线" w:eastAsia="仿宋"/>
          <w:color w:val="auto"/>
          <w:sz w:val="24"/>
          <w:szCs w:val="30"/>
        </w:rPr>
        <w:t>新建一幢三层、建筑面积约1900平方米的卫生院新门诊楼和一幢高4层、建筑面积约1400平方米的卫生院门诊服务站等</w:t>
      </w:r>
      <w:r>
        <w:rPr>
          <w:rFonts w:ascii="仿宋_GB2312" w:hAnsi="等线" w:eastAsia="仿宋"/>
          <w:color w:val="auto"/>
          <w:sz w:val="24"/>
          <w:szCs w:val="30"/>
        </w:rPr>
        <w:t>。</w:t>
      </w:r>
    </w:p>
    <w:p>
      <w:pPr>
        <w:adjustRightInd w:val="0"/>
        <w:snapToGrid w:val="0"/>
        <w:spacing w:line="600" w:lineRule="exact"/>
        <w:jc w:val="center"/>
        <w:outlineLvl w:val="0"/>
        <w:rPr>
          <w:rFonts w:ascii="方正小标宋简体" w:eastAsia="方正小标宋简体" w:cs="仿宋" w:hAnsiTheme="minorEastAsia"/>
          <w:color w:val="auto"/>
          <w:spacing w:val="-12"/>
          <w:sz w:val="32"/>
          <w:szCs w:val="32"/>
        </w:rPr>
      </w:pPr>
      <w:bookmarkStart w:id="243" w:name="_Toc12516"/>
      <w:r>
        <w:rPr>
          <w:rFonts w:hint="eastAsia" w:ascii="方正小标宋简体" w:eastAsia="方正小标宋简体" w:cs="仿宋" w:hAnsiTheme="minorEastAsia"/>
          <w:color w:val="auto"/>
          <w:spacing w:val="-12"/>
          <w:sz w:val="32"/>
          <w:szCs w:val="32"/>
        </w:rPr>
        <w:t xml:space="preserve">第十三章 </w:t>
      </w:r>
      <w:bookmarkEnd w:id="241"/>
      <w:r>
        <w:rPr>
          <w:rFonts w:hint="eastAsia" w:ascii="方正小标宋简体" w:eastAsia="方正小标宋简体" w:cs="仿宋" w:hAnsiTheme="minorEastAsia"/>
          <w:color w:val="auto"/>
          <w:spacing w:val="-12"/>
          <w:sz w:val="32"/>
          <w:szCs w:val="32"/>
        </w:rPr>
        <w:t>推动文化繁荣发展，</w:t>
      </w:r>
      <w:bookmarkEnd w:id="242"/>
      <w:r>
        <w:rPr>
          <w:rFonts w:hint="eastAsia" w:ascii="方正小标宋简体" w:eastAsia="方正小标宋简体" w:cs="仿宋" w:hAnsiTheme="minorEastAsia"/>
          <w:color w:val="auto"/>
          <w:spacing w:val="-12"/>
          <w:sz w:val="32"/>
          <w:szCs w:val="32"/>
        </w:rPr>
        <w:t>彰显海陵岛特色文化</w:t>
      </w:r>
      <w:bookmarkEnd w:id="243"/>
    </w:p>
    <w:p>
      <w:pPr>
        <w:adjustRightInd w:val="0"/>
        <w:snapToGrid w:val="0"/>
        <w:spacing w:line="600" w:lineRule="exact"/>
        <w:ind w:firstLine="640" w:firstLineChars="200"/>
        <w:rPr>
          <w:rFonts w:ascii="仿宋" w:hAnsi="仿宋" w:eastAsia="仿宋"/>
          <w:color w:val="auto"/>
          <w:sz w:val="32"/>
          <w:szCs w:val="32"/>
        </w:rPr>
      </w:pPr>
      <w:bookmarkStart w:id="244" w:name="_Toc38578980"/>
      <w:r>
        <w:rPr>
          <w:rFonts w:hint="eastAsia" w:ascii="仿宋" w:hAnsi="仿宋" w:eastAsia="仿宋"/>
          <w:color w:val="auto"/>
          <w:sz w:val="32"/>
          <w:szCs w:val="32"/>
        </w:rPr>
        <w:t>坚定文化自信，以社会主义核心价值观引领文化建设，完善社会公共文化服务体系，促进满足人民文化需求和增强人民精神力量相统一，推动社会主义文体事业繁荣发展。坚定文化自信，弘扬“海丝”特色，以社会主义核心价值观引领文化建设，以满足人民群众精神文化需求为导向，激发文化创新创造活力，完善公共文化服务体系，加快发展现代文化产业，推动文化事业与文化产业齐头并进，实现物质文明和精神文明均衡发展、相互促进。</w:t>
      </w:r>
    </w:p>
    <w:p>
      <w:pPr>
        <w:adjustRightInd w:val="0"/>
        <w:snapToGrid w:val="0"/>
        <w:spacing w:line="600" w:lineRule="exact"/>
        <w:jc w:val="center"/>
        <w:outlineLvl w:val="1"/>
        <w:rPr>
          <w:rFonts w:ascii="黑体" w:hAnsi="黑体" w:eastAsia="黑体" w:cs="仿宋"/>
          <w:color w:val="auto"/>
          <w:sz w:val="32"/>
          <w:szCs w:val="32"/>
          <w:lang w:val="zh-CN"/>
        </w:rPr>
      </w:pPr>
      <w:bookmarkStart w:id="245" w:name="_Toc59624884"/>
      <w:bookmarkStart w:id="246" w:name="_Toc29126"/>
      <w:r>
        <w:rPr>
          <w:rFonts w:hint="eastAsia" w:ascii="黑体" w:hAnsi="黑体" w:eastAsia="黑体" w:cs="仿宋"/>
          <w:color w:val="auto"/>
          <w:sz w:val="32"/>
          <w:szCs w:val="32"/>
          <w:lang w:val="zh-CN"/>
        </w:rPr>
        <w:t>第一节 提升社会文明程度</w:t>
      </w:r>
      <w:bookmarkEnd w:id="245"/>
      <w:bookmarkEnd w:id="246"/>
    </w:p>
    <w:p>
      <w:pPr>
        <w:adjustRightInd w:val="0"/>
        <w:snapToGrid w:val="0"/>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推动精神文明建设，深入学习宣传贯彻习近平新时代中国特色社会主义思想，推进社会主义核心价值体系建设。深入开展习近平新时代中国特色社会主义思想学习教育，注重以文化人、以文育人，把社会主义核心价值观融合经济社会发展各领域。加强对青年一代的思想政治工作，持续深入开展爱国主义教育和国防教育。加强理想信念教育，推动理想信念教育常态化制度化。推动爱国主义教育基地建设，加强社会主义核心价值观在旅游景点、乡村等区域宣传力度，通过教育引导、舆论宣传、制度保障、激励机制等，促使广大人民群众将社会主义核心价值观内化为精神追求，外化为自觉行动。推动基层文明实践活动提质升级，持续开展关爱他人、关爱社会、关爱自然等“关爱行动”和形式多样的城市公益活动。</w:t>
      </w:r>
    </w:p>
    <w:p>
      <w:pPr>
        <w:adjustRightInd w:val="0"/>
        <w:snapToGrid w:val="0"/>
        <w:spacing w:line="600" w:lineRule="exact"/>
        <w:jc w:val="center"/>
        <w:outlineLvl w:val="1"/>
        <w:rPr>
          <w:rFonts w:ascii="黑体" w:hAnsi="黑体" w:eastAsia="黑体" w:cs="仿宋"/>
          <w:color w:val="auto"/>
          <w:sz w:val="32"/>
          <w:szCs w:val="32"/>
          <w:lang w:val="zh-CN"/>
        </w:rPr>
      </w:pPr>
      <w:bookmarkStart w:id="247" w:name="_Toc59624885"/>
      <w:bookmarkStart w:id="248" w:name="_Toc14384"/>
      <w:r>
        <w:rPr>
          <w:rFonts w:hint="eastAsia" w:ascii="黑体" w:hAnsi="黑体" w:eastAsia="黑体" w:cs="仿宋"/>
          <w:color w:val="auto"/>
          <w:sz w:val="32"/>
          <w:szCs w:val="32"/>
          <w:lang w:val="zh-CN"/>
        </w:rPr>
        <w:t>第二节 传承弘扬海陵岛特色文化</w:t>
      </w:r>
      <w:bookmarkEnd w:id="247"/>
      <w:bookmarkEnd w:id="248"/>
    </w:p>
    <w:p>
      <w:pPr>
        <w:adjustRightInd w:val="0"/>
        <w:snapToGrid w:val="0"/>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传承弘扬“海丝”特色文化。加强对“南海I号”等海上丝绸之路等文化遗产历史文化内涵的开发，积极参与海上丝绸之路世界文化遗产申报，加快推进广东省水下文化遗产保护中心、广东海上丝绸之路文化产业创意园建设，打造多维度海上丝绸之路文化宣传平台，提升海陵岛海丝文化名片的影响力。发挥海洋文化教育对海丝文化传承发展的牵引作用，在海陵岛中学等中小学开展以认知海上丝绸之路文化主题教育活动，推动海洋文化进课堂，开设海洋社会实践课程。研究举办海洋文化论坛、“海洋大讲坛”等活动，传承弘扬海陵岛“海丝”特色文化。深入挖掘疍家文化、海陵南安舞狮等民俗文化，全力推进岭南疍家文化为核心产业的特色民俗馆、疍家特色村落、疍家旅游特色街建设。深入挖掘海陵岛本土宋遗存文化的历史底蕴，抓好宋陈宜中宰相村、宋太傅墓祠及灵谷村文化等历史文化景点景区建设。加强对海陵岛历史遗址风貌区的修复保护和活化利用。建立健全非物质文化遗产开发与保护激励机制，推进非物质文化传习中心建设，加强传承人队伍建设。提取海陵岛特色文化元素，融入城镇化和美丽乡村建设。创新地方传统节庆活动形式，擦响海陵岛开渔节等特色文化品牌。</w:t>
      </w:r>
    </w:p>
    <w:p>
      <w:pPr>
        <w:adjustRightInd w:val="0"/>
        <w:snapToGrid w:val="0"/>
        <w:spacing w:line="600" w:lineRule="exact"/>
        <w:jc w:val="center"/>
        <w:outlineLvl w:val="1"/>
        <w:rPr>
          <w:rFonts w:ascii="黑体" w:hAnsi="黑体" w:eastAsia="黑体" w:cs="仿宋"/>
          <w:color w:val="auto"/>
          <w:sz w:val="32"/>
          <w:szCs w:val="32"/>
          <w:lang w:val="zh-CN"/>
        </w:rPr>
      </w:pPr>
      <w:bookmarkStart w:id="249" w:name="_Toc59624886"/>
      <w:bookmarkStart w:id="250" w:name="_Toc1197"/>
      <w:r>
        <w:rPr>
          <w:rFonts w:hint="eastAsia" w:ascii="黑体" w:hAnsi="黑体" w:eastAsia="黑体" w:cs="仿宋"/>
          <w:color w:val="auto"/>
          <w:sz w:val="32"/>
          <w:szCs w:val="32"/>
          <w:lang w:val="zh-CN"/>
        </w:rPr>
        <w:t>第三节 提升公共文化服务能力</w:t>
      </w:r>
      <w:bookmarkEnd w:id="249"/>
      <w:bookmarkEnd w:id="250"/>
    </w:p>
    <w:p>
      <w:pPr>
        <w:adjustRightInd w:val="0"/>
        <w:snapToGrid w:val="0"/>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高水平推进文体设施建设，加快推进广东省水下文化遗产保护中心建设，加强与广东海上丝绸之路博物馆及周边片区的统筹规划。推进城乡公共文化服务体系一体化建设，重点提升区、街镇图书馆、文化馆和农家书屋服务质量</w:t>
      </w:r>
      <w:r>
        <w:rPr>
          <w:rFonts w:hint="eastAsia" w:ascii="仿宋" w:hAnsi="仿宋" w:eastAsia="仿宋"/>
          <w:color w:val="auto"/>
          <w:sz w:val="32"/>
          <w:szCs w:val="32"/>
          <w:lang w:val="zh-CN"/>
        </w:rPr>
        <w:t>，</w:t>
      </w:r>
      <w:r>
        <w:rPr>
          <w:rFonts w:hint="eastAsia" w:ascii="仿宋" w:hAnsi="仿宋" w:eastAsia="仿宋"/>
          <w:color w:val="auto"/>
          <w:sz w:val="32"/>
          <w:szCs w:val="32"/>
        </w:rPr>
        <w:t>推动实现“三馆”建设全覆盖和全达标。加快推进文化大数据服务体系建设和数字乡村建设，畅通文化下乡渠道。进一步完善四级公共文化设施网络，推动实现“三馆”建设全覆盖和全达标。广泛开展群众性文化活动，按照“一镇一品牌”、“一村（居）一特色”的思路，办好广场文化活动。创新实施文化惠民工程，多渠道开展“文化下基层”活动，丰富人民群众文化生活，提升公共文化服务均等化水平。积极举办海陵岛沙滩音乐节、南海（阳江）开渔节等重大文化节庆活动。推动乡村文化振兴，加强历史文化名村、民族村寨、文物古迹、革命遗址等修复保护和活化利用。推动乡村文化振兴与生态旅游相结合，整合革命遗址、传统村落、滨海渔村的革命历史、地域特色、渔家风情等文化资源，推动文化旅游产业融合发展。依托滨海、河流、山地等资源禀赋，大力发展水上运动、沙滩运动、山地运动等体育健身项目。广泛开展全民健身活动，完善全民健身公共服务体系，促进儿童、青少年等重点人群体育发展。鼓励社会力量兴办体育训练机构，持续办好阳江海陵岛环岛国际马拉松赛、全国青年帆板冠军赛、全国青年OP帆船冠军赛等赛事活动。</w:t>
      </w:r>
    </w:p>
    <w:p>
      <w:pPr>
        <w:adjustRightInd w:val="0"/>
        <w:snapToGrid w:val="0"/>
        <w:spacing w:line="600" w:lineRule="exact"/>
        <w:jc w:val="center"/>
        <w:outlineLvl w:val="1"/>
        <w:rPr>
          <w:rFonts w:ascii="黑体" w:hAnsi="黑体" w:eastAsia="黑体" w:cs="仿宋"/>
          <w:color w:val="auto"/>
          <w:sz w:val="32"/>
          <w:szCs w:val="32"/>
          <w:lang w:val="zh-CN"/>
        </w:rPr>
      </w:pPr>
      <w:bookmarkStart w:id="251" w:name="_Toc59624887"/>
      <w:bookmarkStart w:id="252" w:name="_Toc20280"/>
      <w:r>
        <w:rPr>
          <w:rFonts w:hint="eastAsia" w:ascii="黑体" w:hAnsi="黑体" w:eastAsia="黑体" w:cs="仿宋"/>
          <w:color w:val="auto"/>
          <w:sz w:val="32"/>
          <w:szCs w:val="32"/>
          <w:lang w:val="zh-CN"/>
        </w:rPr>
        <w:t>第四节 加快发展文化产业</w:t>
      </w:r>
      <w:bookmarkEnd w:id="251"/>
      <w:bookmarkEnd w:id="252"/>
    </w:p>
    <w:p>
      <w:pPr>
        <w:adjustRightInd w:val="0"/>
        <w:snapToGrid w:val="0"/>
        <w:spacing w:line="6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坚持把社会效益放在首位、社会效益和经济效益相统一，完善文化产业规划和政策，大力发展海陵岛特色文化产业，扩大优质文化产品供给。加强知名文化品牌建设，大力推动“南海一号”参加联合申报世界文化遗产，打造为参与“一带一路”建设和向世界展示海上丝绸之路文化的窗口，提升海陵岛文化旅游品牌的国际影响力。以中国南海（阳江）开渔节为依托，打造海陵岛特色节庆博览品牌活动。规划打造一批具有海陵岛特色的文化创意园、文旅综合体、特色文化街区，鼓励文创产品开发与经营。大力引育一批具有重大示范作用、产业拉动作用的文化产业项目，拓展上下游产业链条。积极搭建文化产业服务平台，以政府支持、市场运作、个性服务的运行模式，为招商引资、项目建设、产业发展提供全方位服务。推动“文化+旅游”“融合发展，充分利用海洋、沙滩、岸线、海岛等优势资源，深入挖掘海陵岛的文化底蕴和内涵，打造具有鲜明海岛文化特色和元素的文旅产品。大力推进文旅管理体制改革，引导社会资本参与文旅产业发展。坚持开放合作，以建设世界海丝文化旅游目的地为契机，加大与粤港澳大湾区和海外市场在文旅产业发展领域的合作。</w:t>
      </w:r>
      <w:bookmarkStart w:id="253" w:name="_Toc59624888"/>
    </w:p>
    <w:p>
      <w:pPr>
        <w:pStyle w:val="2"/>
      </w:pPr>
    </w:p>
    <w:p>
      <w:pPr>
        <w:adjustRightInd w:val="0"/>
        <w:snapToGrid w:val="0"/>
        <w:spacing w:line="600" w:lineRule="exact"/>
        <w:jc w:val="center"/>
        <w:outlineLvl w:val="0"/>
        <w:rPr>
          <w:rFonts w:ascii="方正小标宋简体" w:eastAsia="方正小标宋简体" w:cs="仿宋" w:hAnsiTheme="minorEastAsia"/>
          <w:color w:val="auto"/>
          <w:spacing w:val="-12"/>
          <w:sz w:val="32"/>
          <w:szCs w:val="32"/>
        </w:rPr>
      </w:pPr>
      <w:bookmarkStart w:id="254" w:name="_Toc29186"/>
      <w:r>
        <w:rPr>
          <w:rFonts w:hint="eastAsia" w:ascii="方正小标宋简体" w:eastAsia="方正小标宋简体" w:cs="仿宋" w:hAnsiTheme="minorEastAsia"/>
          <w:color w:val="auto"/>
          <w:spacing w:val="-12"/>
          <w:sz w:val="32"/>
          <w:szCs w:val="32"/>
        </w:rPr>
        <w:t>第十四章 全面加强治理能力，构建现代化治理体系</w:t>
      </w:r>
      <w:bookmarkEnd w:id="253"/>
      <w:bookmarkEnd w:id="254"/>
    </w:p>
    <w:p>
      <w:pPr>
        <w:pStyle w:val="28"/>
        <w:adjustRightInd w:val="0"/>
        <w:snapToGrid w:val="0"/>
        <w:spacing w:line="600" w:lineRule="exact"/>
        <w:ind w:firstLine="640"/>
        <w:rPr>
          <w:rFonts w:ascii="仿宋" w:hAnsi="仿宋" w:eastAsia="仿宋"/>
          <w:color w:val="auto"/>
          <w:szCs w:val="32"/>
        </w:rPr>
      </w:pPr>
      <w:r>
        <w:rPr>
          <w:rFonts w:hint="eastAsia" w:ascii="仿宋" w:hAnsi="仿宋" w:eastAsia="仿宋"/>
          <w:color w:val="auto"/>
          <w:kern w:val="2"/>
          <w:szCs w:val="32"/>
        </w:rPr>
        <w:t>坚持中国特色社会主义法治道路，以法治建设为重点，建设中国特色社会主义法治体系，完善共建共治共享的社会治理制度，建设人人有责、人人尽责、人人享有的社会治理共同体。</w:t>
      </w:r>
    </w:p>
    <w:p>
      <w:pPr>
        <w:adjustRightInd w:val="0"/>
        <w:snapToGrid w:val="0"/>
        <w:spacing w:line="600" w:lineRule="exact"/>
        <w:jc w:val="center"/>
        <w:outlineLvl w:val="1"/>
        <w:rPr>
          <w:rFonts w:ascii="黑体" w:hAnsi="黑体" w:eastAsia="黑体" w:cs="仿宋"/>
          <w:color w:val="auto"/>
          <w:sz w:val="32"/>
          <w:szCs w:val="32"/>
          <w:lang w:val="zh-CN"/>
        </w:rPr>
      </w:pPr>
      <w:bookmarkStart w:id="255" w:name="_Toc59624889"/>
      <w:bookmarkStart w:id="256" w:name="_Toc2837"/>
      <w:r>
        <w:rPr>
          <w:rFonts w:hint="eastAsia" w:ascii="黑体" w:hAnsi="黑体" w:eastAsia="黑体" w:cs="仿宋"/>
          <w:color w:val="auto"/>
          <w:sz w:val="32"/>
          <w:szCs w:val="32"/>
          <w:lang w:val="zh-CN"/>
        </w:rPr>
        <w:t>第一节 加快推进法治政府建设</w:t>
      </w:r>
      <w:bookmarkEnd w:id="255"/>
      <w:bookmarkEnd w:id="256"/>
    </w:p>
    <w:p>
      <w:pPr>
        <w:pStyle w:val="28"/>
        <w:adjustRightInd w:val="0"/>
        <w:snapToGrid w:val="0"/>
        <w:spacing w:line="600" w:lineRule="exact"/>
        <w:ind w:firstLine="640"/>
        <w:rPr>
          <w:rFonts w:ascii="仿宋" w:hAnsi="仿宋" w:eastAsia="仿宋"/>
          <w:color w:val="auto"/>
          <w:kern w:val="2"/>
          <w:szCs w:val="32"/>
        </w:rPr>
      </w:pPr>
      <w:r>
        <w:rPr>
          <w:rFonts w:hint="eastAsia" w:ascii="仿宋" w:hAnsi="仿宋" w:eastAsia="仿宋"/>
          <w:color w:val="auto"/>
          <w:kern w:val="2"/>
          <w:szCs w:val="32"/>
        </w:rPr>
        <w:t>深入推进依法行政，创新与完善政府治理，构建职责明确、依法行政的现代政府治理体系，不断提升法治政府建设水平。</w:t>
      </w:r>
    </w:p>
    <w:p>
      <w:pPr>
        <w:pStyle w:val="28"/>
        <w:adjustRightInd w:val="0"/>
        <w:snapToGrid w:val="0"/>
        <w:spacing w:line="600" w:lineRule="exact"/>
        <w:ind w:firstLine="643"/>
        <w:rPr>
          <w:rFonts w:ascii="仿宋" w:hAnsi="仿宋" w:eastAsia="仿宋"/>
          <w:color w:val="auto"/>
          <w:szCs w:val="32"/>
        </w:rPr>
      </w:pPr>
      <w:r>
        <w:rPr>
          <w:rFonts w:hint="eastAsia" w:ascii="仿宋" w:hAnsi="仿宋" w:eastAsia="仿宋"/>
          <w:b/>
          <w:color w:val="auto"/>
          <w:kern w:val="2"/>
          <w:szCs w:val="32"/>
        </w:rPr>
        <w:t>完善依法行政制度体系。</w:t>
      </w:r>
      <w:r>
        <w:rPr>
          <w:rFonts w:hint="eastAsia" w:ascii="仿宋" w:hAnsi="仿宋" w:eastAsia="仿宋"/>
          <w:color w:val="auto"/>
          <w:kern w:val="2"/>
          <w:szCs w:val="32"/>
        </w:rPr>
        <w:t>坚持依法治区、依法执政、依法行政共同推进，全面依法履行政府职能，完善规章制度，推进政府机构、职能、权限、程序、责任法制化。严格依照法定权限和程序制定规范性文件，加强规范性文件审查把关。</w:t>
      </w:r>
      <w:r>
        <w:rPr>
          <w:rFonts w:ascii="仿宋" w:hAnsi="仿宋" w:eastAsia="仿宋"/>
          <w:color w:val="auto"/>
          <w:kern w:val="2"/>
          <w:szCs w:val="32"/>
        </w:rPr>
        <w:t>积极推进科学民主立法</w:t>
      </w:r>
      <w:r>
        <w:rPr>
          <w:rFonts w:hint="eastAsia" w:ascii="仿宋" w:hAnsi="仿宋" w:eastAsia="仿宋"/>
          <w:color w:val="auto"/>
          <w:kern w:val="2"/>
          <w:szCs w:val="32"/>
        </w:rPr>
        <w:t>，</w:t>
      </w:r>
      <w:r>
        <w:rPr>
          <w:rFonts w:ascii="仿宋" w:hAnsi="仿宋" w:eastAsia="仿宋"/>
          <w:color w:val="auto"/>
          <w:kern w:val="2"/>
          <w:szCs w:val="32"/>
        </w:rPr>
        <w:t>严格按照立法程序，加强立法审查工作</w:t>
      </w:r>
      <w:r>
        <w:rPr>
          <w:rFonts w:hint="eastAsia" w:ascii="仿宋" w:hAnsi="仿宋" w:eastAsia="仿宋"/>
          <w:color w:val="auto"/>
          <w:kern w:val="2"/>
          <w:szCs w:val="32"/>
        </w:rPr>
        <w:t>，加强</w:t>
      </w:r>
      <w:r>
        <w:rPr>
          <w:rFonts w:ascii="仿宋" w:hAnsi="仿宋" w:eastAsia="仿宋"/>
          <w:color w:val="auto"/>
          <w:kern w:val="2"/>
          <w:szCs w:val="32"/>
        </w:rPr>
        <w:t>规范性文件审查备案工作。</w:t>
      </w:r>
      <w:r>
        <w:rPr>
          <w:rFonts w:hint="eastAsia" w:ascii="仿宋" w:hAnsi="仿宋" w:eastAsia="仿宋"/>
          <w:color w:val="auto"/>
          <w:kern w:val="2"/>
          <w:szCs w:val="32"/>
        </w:rPr>
        <w:t>坚持全面推进科学立法、严格执法、公正司法、全民守法，完善依法行政制度体系。</w:t>
      </w:r>
    </w:p>
    <w:p>
      <w:pPr>
        <w:pStyle w:val="28"/>
        <w:adjustRightInd w:val="0"/>
        <w:snapToGrid w:val="0"/>
        <w:spacing w:line="600" w:lineRule="exact"/>
        <w:ind w:firstLine="643"/>
        <w:rPr>
          <w:rFonts w:ascii="仿宋" w:hAnsi="仿宋" w:eastAsia="仿宋"/>
          <w:color w:val="auto"/>
          <w:szCs w:val="32"/>
        </w:rPr>
      </w:pPr>
      <w:r>
        <w:rPr>
          <w:rFonts w:hint="eastAsia" w:ascii="仿宋" w:hAnsi="仿宋" w:eastAsia="仿宋"/>
          <w:b/>
          <w:color w:val="auto"/>
          <w:kern w:val="2"/>
          <w:szCs w:val="32"/>
        </w:rPr>
        <w:t>建立健全依法、科学、民主的决策机制。</w:t>
      </w:r>
      <w:r>
        <w:rPr>
          <w:rFonts w:hint="eastAsia" w:ascii="仿宋" w:hAnsi="仿宋" w:eastAsia="仿宋"/>
          <w:color w:val="auto"/>
          <w:kern w:val="2"/>
          <w:szCs w:val="32"/>
        </w:rPr>
        <w:t>贯彻落实《重大行政决策程序暂行条例》</w:t>
      </w:r>
      <w:r>
        <w:rPr>
          <w:rFonts w:ascii="仿宋" w:hAnsi="仿宋" w:eastAsia="仿宋"/>
          <w:color w:val="auto"/>
          <w:kern w:val="2"/>
          <w:szCs w:val="32"/>
        </w:rPr>
        <w:t>，</w:t>
      </w:r>
      <w:r>
        <w:rPr>
          <w:rFonts w:hint="eastAsia" w:ascii="仿宋" w:hAnsi="仿宋" w:eastAsia="仿宋"/>
          <w:color w:val="auto"/>
          <w:kern w:val="2"/>
          <w:szCs w:val="32"/>
        </w:rPr>
        <w:t>强化行政机构依法决策主体责任，规范行政程序，</w:t>
      </w:r>
      <w:r>
        <w:rPr>
          <w:rFonts w:ascii="仿宋" w:hAnsi="仿宋" w:eastAsia="仿宋"/>
          <w:color w:val="auto"/>
          <w:kern w:val="2"/>
          <w:szCs w:val="32"/>
        </w:rPr>
        <w:t>落实公众参与、专家论证、风险评估、合法性审查、集体讨论决定等法定程序，</w:t>
      </w:r>
      <w:r>
        <w:rPr>
          <w:rFonts w:hint="eastAsia" w:ascii="仿宋" w:hAnsi="仿宋" w:eastAsia="仿宋"/>
          <w:color w:val="auto"/>
          <w:kern w:val="2"/>
          <w:szCs w:val="32"/>
        </w:rPr>
        <w:t>提升</w:t>
      </w:r>
      <w:r>
        <w:rPr>
          <w:rFonts w:ascii="仿宋" w:hAnsi="仿宋" w:eastAsia="仿宋"/>
          <w:color w:val="auto"/>
          <w:kern w:val="2"/>
          <w:szCs w:val="32"/>
        </w:rPr>
        <w:t>重大行政决策的法治化和规范化水平。</w:t>
      </w:r>
      <w:r>
        <w:rPr>
          <w:rFonts w:hint="eastAsia" w:ascii="仿宋" w:hAnsi="仿宋" w:eastAsia="仿宋"/>
          <w:color w:val="auto"/>
          <w:kern w:val="2"/>
          <w:szCs w:val="32"/>
        </w:rPr>
        <w:t>建立健全法制机构，继续坚持法制机构负责人列席区委、区管委扩大会议机制的落实和坚持重大行政决策进行合法性审查。完善政府法律顾问制度，发挥好区法律顾问参与各项重大决策的参谋助手角色。健全合法性审查机制，夯实决策部门法律论证主体责任。</w:t>
      </w:r>
    </w:p>
    <w:p>
      <w:pPr>
        <w:pStyle w:val="28"/>
        <w:adjustRightInd w:val="0"/>
        <w:snapToGrid w:val="0"/>
        <w:spacing w:line="600" w:lineRule="exact"/>
        <w:ind w:firstLine="643"/>
        <w:rPr>
          <w:rFonts w:ascii="仿宋" w:hAnsi="仿宋" w:eastAsia="仿宋"/>
          <w:color w:val="auto"/>
          <w:szCs w:val="32"/>
        </w:rPr>
      </w:pPr>
      <w:r>
        <w:rPr>
          <w:rFonts w:hint="eastAsia" w:ascii="仿宋" w:hAnsi="仿宋" w:eastAsia="仿宋"/>
          <w:b/>
          <w:color w:val="auto"/>
          <w:kern w:val="2"/>
          <w:szCs w:val="32"/>
        </w:rPr>
        <w:t>推进严格规范公正文明执法。</w:t>
      </w:r>
      <w:r>
        <w:rPr>
          <w:rFonts w:hint="eastAsia" w:ascii="仿宋" w:hAnsi="仿宋" w:eastAsia="仿宋"/>
          <w:color w:val="auto"/>
          <w:kern w:val="2"/>
          <w:szCs w:val="32"/>
        </w:rPr>
        <w:t>持续</w:t>
      </w:r>
      <w:r>
        <w:rPr>
          <w:rFonts w:ascii="仿宋" w:hAnsi="仿宋" w:eastAsia="仿宋"/>
          <w:color w:val="auto"/>
          <w:kern w:val="2"/>
          <w:szCs w:val="32"/>
        </w:rPr>
        <w:t>完善行政执法体制</w:t>
      </w:r>
      <w:r>
        <w:rPr>
          <w:rFonts w:hint="eastAsia" w:ascii="仿宋" w:hAnsi="仿宋" w:eastAsia="仿宋"/>
          <w:color w:val="auto"/>
          <w:kern w:val="2"/>
          <w:szCs w:val="32"/>
        </w:rPr>
        <w:t>，深化行政执法体制改革，全面</w:t>
      </w:r>
      <w:r>
        <w:rPr>
          <w:rFonts w:ascii="仿宋" w:hAnsi="仿宋" w:eastAsia="仿宋"/>
          <w:color w:val="auto"/>
          <w:kern w:val="2"/>
          <w:szCs w:val="32"/>
        </w:rPr>
        <w:t>推行行政执法</w:t>
      </w:r>
      <w:r>
        <w:rPr>
          <w:rFonts w:hint="eastAsia" w:ascii="仿宋" w:hAnsi="仿宋" w:eastAsia="仿宋"/>
          <w:color w:val="auto"/>
          <w:kern w:val="2"/>
          <w:szCs w:val="32"/>
        </w:rPr>
        <w:t>“</w:t>
      </w:r>
      <w:r>
        <w:rPr>
          <w:rFonts w:ascii="仿宋" w:hAnsi="仿宋" w:eastAsia="仿宋"/>
          <w:color w:val="auto"/>
          <w:kern w:val="2"/>
          <w:szCs w:val="32"/>
        </w:rPr>
        <w:t>三项制度</w:t>
      </w:r>
      <w:r>
        <w:rPr>
          <w:rFonts w:hint="eastAsia" w:ascii="仿宋" w:hAnsi="仿宋" w:eastAsia="仿宋"/>
          <w:color w:val="auto"/>
          <w:kern w:val="2"/>
          <w:szCs w:val="32"/>
        </w:rPr>
        <w:t>”，</w:t>
      </w:r>
      <w:r>
        <w:rPr>
          <w:rFonts w:ascii="仿宋" w:hAnsi="仿宋" w:eastAsia="仿宋"/>
          <w:color w:val="auto"/>
          <w:kern w:val="2"/>
          <w:szCs w:val="32"/>
        </w:rPr>
        <w:t>完善执法程序，严格执法责任，不断提高执法水平。</w:t>
      </w:r>
      <w:r>
        <w:rPr>
          <w:rFonts w:hint="eastAsia" w:ascii="仿宋" w:hAnsi="仿宋" w:eastAsia="仿宋"/>
          <w:color w:val="auto"/>
          <w:kern w:val="2"/>
          <w:szCs w:val="32"/>
        </w:rPr>
        <w:t>规范行政执法，推进合理行政，依法规范行政自由裁量权，严肃查办违法设定行政审批、行政处罚、行政乱收费行为和滥用行政职权等现象。整合执法资源，继续推进行政综合执法。</w:t>
      </w:r>
      <w:r>
        <w:rPr>
          <w:rFonts w:ascii="仿宋" w:hAnsi="仿宋" w:eastAsia="仿宋"/>
          <w:color w:val="auto"/>
          <w:kern w:val="2"/>
          <w:szCs w:val="32"/>
        </w:rPr>
        <w:t>落实完善信息通报、案件线索移送、案件协作会商，</w:t>
      </w:r>
      <w:r>
        <w:rPr>
          <w:rFonts w:hint="eastAsia" w:ascii="仿宋" w:hAnsi="仿宋" w:eastAsia="仿宋"/>
          <w:color w:val="auto"/>
          <w:kern w:val="2"/>
          <w:szCs w:val="32"/>
        </w:rPr>
        <w:t>加强“两法衔接”案件信息共享平台运用，推动行政执法和刑事司法有机衔接。深化司法责任制综合配套改革，加强司法制约监督，确保司法公正高效权威。</w:t>
      </w:r>
    </w:p>
    <w:p>
      <w:pPr>
        <w:pStyle w:val="28"/>
        <w:adjustRightInd w:val="0"/>
        <w:snapToGrid w:val="0"/>
        <w:spacing w:line="600" w:lineRule="exact"/>
        <w:ind w:firstLine="643"/>
        <w:rPr>
          <w:rFonts w:ascii="仿宋" w:hAnsi="仿宋" w:eastAsia="仿宋"/>
          <w:color w:val="auto"/>
          <w:szCs w:val="32"/>
        </w:rPr>
      </w:pPr>
      <w:r>
        <w:rPr>
          <w:rFonts w:hint="eastAsia" w:ascii="仿宋" w:hAnsi="仿宋" w:eastAsia="仿宋"/>
          <w:b/>
          <w:color w:val="auto"/>
          <w:kern w:val="2"/>
          <w:szCs w:val="32"/>
        </w:rPr>
        <w:t>完善法治建设保障机制。</w:t>
      </w:r>
      <w:r>
        <w:rPr>
          <w:rFonts w:hint="eastAsia" w:ascii="仿宋" w:hAnsi="仿宋" w:eastAsia="仿宋"/>
          <w:color w:val="auto"/>
          <w:kern w:val="2"/>
          <w:szCs w:val="32"/>
        </w:rPr>
        <w:t>严格落实党政主要负责人法治建设第一责任人责任，加强法治政府建设统筹部署。继续发挥区依法行政领导小组、依法治区领导小组的作用，加强区政务服务管理中心的管理与行政效能监督。发挥区纪委、区监察专员办、区法制局等机构作为推动依法行政和行政效能监督的主力军作用。加强对行政权力的制约和监督，搭建行政执法监督平台。坚持建设德才兼备的高素质法治工作队伍，规范完善综合执法队伍人员编制管理，提升队伍行政执法能力。继续推进学法制度，不断培养领导干部和执法人员的法治意识。</w:t>
      </w:r>
    </w:p>
    <w:p>
      <w:pPr>
        <w:adjustRightInd w:val="0"/>
        <w:snapToGrid w:val="0"/>
        <w:spacing w:line="600" w:lineRule="exact"/>
        <w:jc w:val="center"/>
        <w:outlineLvl w:val="1"/>
        <w:rPr>
          <w:rFonts w:ascii="黑体" w:hAnsi="黑体" w:eastAsia="黑体" w:cs="仿宋"/>
          <w:color w:val="auto"/>
          <w:sz w:val="32"/>
          <w:szCs w:val="32"/>
          <w:lang w:val="zh-CN"/>
        </w:rPr>
      </w:pPr>
      <w:bookmarkStart w:id="257" w:name="_Toc59624890"/>
      <w:bookmarkStart w:id="258" w:name="_Toc24953"/>
      <w:r>
        <w:rPr>
          <w:rFonts w:hint="eastAsia" w:ascii="黑体" w:hAnsi="黑体" w:eastAsia="黑体" w:cs="仿宋"/>
          <w:color w:val="auto"/>
          <w:sz w:val="32"/>
          <w:szCs w:val="32"/>
          <w:lang w:val="zh-CN"/>
        </w:rPr>
        <w:t>第二节 全面推进法治社会建设</w:t>
      </w:r>
      <w:bookmarkEnd w:id="257"/>
      <w:bookmarkEnd w:id="258"/>
    </w:p>
    <w:p>
      <w:pPr>
        <w:pStyle w:val="17"/>
        <w:adjustRightInd w:val="0"/>
        <w:snapToGrid w:val="0"/>
        <w:spacing w:line="600" w:lineRule="exact"/>
        <w:ind w:left="0" w:leftChars="0" w:firstLine="640" w:firstLineChars="200"/>
        <w:rPr>
          <w:rFonts w:ascii="仿宋" w:hAnsi="仿宋" w:eastAsia="仿宋"/>
          <w:color w:val="auto"/>
          <w:sz w:val="32"/>
          <w:szCs w:val="32"/>
        </w:rPr>
      </w:pPr>
      <w:r>
        <w:rPr>
          <w:rFonts w:hint="eastAsia" w:ascii="仿宋" w:hAnsi="仿宋" w:eastAsia="仿宋"/>
          <w:color w:val="auto"/>
          <w:sz w:val="32"/>
          <w:szCs w:val="32"/>
        </w:rPr>
        <w:t>坚持以人民为中心，大力弘扬社会主义法治精神，增强全民法治观念，全面推进法治社会建设。开展法治宣传教育，突出宪法、民法典等新时代普法内容，扎实推进“八五”普法工作，广泛开展分众化、针对性、高质量的群众性普法宣传活动，使法治精神深入人心。主动探索有海陵岛特色的普法品牌，打造可推广落地、有社会影响力的普法工作示范项目。构建源头防控、排查梳理、纠纷化解、应急处置的社会矛盾综合治理机制，健全社会心理服务体系和危机干预机制。加快推进覆盖城乡居民的公共法律服务体系建设，持续深化村居法律顾问工作</w:t>
      </w:r>
      <w:r>
        <w:rPr>
          <w:rFonts w:ascii="仿宋" w:hAnsi="仿宋" w:eastAsia="仿宋"/>
          <w:color w:val="auto"/>
          <w:sz w:val="32"/>
          <w:szCs w:val="32"/>
        </w:rPr>
        <w:t>，</w:t>
      </w:r>
      <w:r>
        <w:rPr>
          <w:rFonts w:hint="eastAsia" w:ascii="仿宋" w:hAnsi="仿宋" w:eastAsia="仿宋"/>
          <w:color w:val="auto"/>
          <w:sz w:val="32"/>
          <w:szCs w:val="32"/>
        </w:rPr>
        <w:t>引导法律服务资源向基层倾斜，完善法律援助制度和司法救助机制。</w:t>
      </w:r>
    </w:p>
    <w:p>
      <w:pPr>
        <w:adjustRightInd w:val="0"/>
        <w:snapToGrid w:val="0"/>
        <w:spacing w:line="600" w:lineRule="exact"/>
        <w:jc w:val="center"/>
        <w:outlineLvl w:val="1"/>
        <w:rPr>
          <w:rFonts w:ascii="黑体" w:hAnsi="黑体" w:eastAsia="黑体" w:cs="仿宋"/>
          <w:color w:val="auto"/>
          <w:sz w:val="32"/>
          <w:szCs w:val="32"/>
          <w:lang w:val="zh-CN"/>
        </w:rPr>
      </w:pPr>
      <w:bookmarkStart w:id="259" w:name="_Toc59624891"/>
      <w:bookmarkStart w:id="260" w:name="_Toc18340"/>
      <w:r>
        <w:rPr>
          <w:rFonts w:hint="eastAsia" w:ascii="黑体" w:hAnsi="黑体" w:eastAsia="黑体" w:cs="仿宋"/>
          <w:color w:val="auto"/>
          <w:sz w:val="32"/>
          <w:szCs w:val="32"/>
          <w:lang w:val="zh-CN"/>
        </w:rPr>
        <w:t>第三节 加强和创新社会治理</w:t>
      </w:r>
      <w:bookmarkEnd w:id="259"/>
      <w:bookmarkEnd w:id="260"/>
    </w:p>
    <w:p>
      <w:pPr>
        <w:adjustRightInd w:val="0"/>
        <w:snapToGrid w:val="0"/>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推进社会治理精细化,加强社会治理制度建设，完善城乡社区治理体系，推动社会组织高质量发展，提高社会治理水平，建设人人有责、人人尽责、人人享有的社会治理共同体。</w:t>
      </w:r>
    </w:p>
    <w:p>
      <w:pPr>
        <w:adjustRightInd w:val="0"/>
        <w:snapToGrid w:val="0"/>
        <w:spacing w:line="600" w:lineRule="exact"/>
        <w:ind w:firstLine="643" w:firstLineChars="200"/>
        <w:rPr>
          <w:rFonts w:ascii="仿宋" w:hAnsi="仿宋" w:eastAsia="仿宋"/>
          <w:color w:val="auto"/>
          <w:sz w:val="32"/>
          <w:szCs w:val="32"/>
        </w:rPr>
      </w:pPr>
      <w:r>
        <w:rPr>
          <w:rFonts w:hint="eastAsia" w:ascii="仿宋" w:hAnsi="仿宋" w:eastAsia="仿宋"/>
          <w:b/>
          <w:color w:val="auto"/>
          <w:sz w:val="32"/>
          <w:szCs w:val="32"/>
        </w:rPr>
        <w:t>加强社会治理制度建设。</w:t>
      </w:r>
      <w:r>
        <w:rPr>
          <w:rFonts w:hint="eastAsia" w:ascii="仿宋" w:hAnsi="仿宋" w:eastAsia="仿宋"/>
          <w:color w:val="auto"/>
          <w:sz w:val="32"/>
          <w:szCs w:val="32"/>
        </w:rPr>
        <w:t>完善公众参与机制，完善公众参与治理的制度化渠道，引导支持社会组织、青年等社会力量参与社会治理和社会事务。对关系群众切身利益的重大决策，以居民会议议事协商民主听证等形式广泛征求意见建议。加强预防和化解社会矛盾，健全完善矛盾纠纷多元化解机制，依法妥善处理群体性事件。</w:t>
      </w:r>
    </w:p>
    <w:p>
      <w:pPr>
        <w:adjustRightInd w:val="0"/>
        <w:snapToGrid w:val="0"/>
        <w:spacing w:line="600" w:lineRule="exact"/>
        <w:ind w:firstLine="643" w:firstLineChars="200"/>
        <w:rPr>
          <w:rFonts w:ascii="仿宋" w:hAnsi="仿宋" w:eastAsia="仿宋"/>
          <w:color w:val="auto"/>
          <w:sz w:val="32"/>
          <w:szCs w:val="32"/>
        </w:rPr>
      </w:pPr>
      <w:r>
        <w:rPr>
          <w:rFonts w:hint="eastAsia" w:ascii="仿宋" w:hAnsi="仿宋" w:eastAsia="仿宋"/>
          <w:b/>
          <w:color w:val="auto"/>
          <w:sz w:val="32"/>
          <w:szCs w:val="32"/>
        </w:rPr>
        <w:t>完善城乡社区治理体系。</w:t>
      </w:r>
      <w:r>
        <w:rPr>
          <w:rFonts w:hint="eastAsia" w:ascii="仿宋" w:hAnsi="仿宋" w:eastAsia="仿宋"/>
          <w:color w:val="auto"/>
          <w:sz w:val="32"/>
          <w:szCs w:val="32"/>
        </w:rPr>
        <w:t>强化基层治理，探索创新社区管理机制，建立健全现代乡村治理体系，稳步推进乡村法治、德治和自治。创新基层社会治理体系机制，推动社会治理重心向基层下移。深化基层群众自治，依法有序开展民主选举和民主管理，健全村规民约、居民公约，推进群众依法自我管理、自我教育、自我服务、自我监督，让党组织领导的基层群众自治更加充满活力。</w:t>
      </w:r>
    </w:p>
    <w:p>
      <w:pPr>
        <w:adjustRightInd w:val="0"/>
        <w:snapToGrid w:val="0"/>
        <w:spacing w:line="600" w:lineRule="exact"/>
        <w:ind w:firstLine="643" w:firstLineChars="200"/>
        <w:rPr>
          <w:color w:val="auto"/>
        </w:rPr>
      </w:pPr>
      <w:r>
        <w:rPr>
          <w:rFonts w:hint="eastAsia" w:ascii="仿宋" w:hAnsi="仿宋" w:eastAsia="仿宋"/>
          <w:b/>
          <w:color w:val="auto"/>
          <w:sz w:val="32"/>
          <w:szCs w:val="32"/>
        </w:rPr>
        <w:t>推动社会组织高质量发展。</w:t>
      </w:r>
      <w:r>
        <w:rPr>
          <w:rFonts w:hint="eastAsia" w:ascii="仿宋" w:hAnsi="仿宋" w:eastAsia="仿宋"/>
          <w:color w:val="auto"/>
          <w:sz w:val="32"/>
          <w:szCs w:val="32"/>
        </w:rPr>
        <w:t>规范管理社会组织，完善社会组织治理结构，重点培育发展行业协会商会类、公益慈善类、社工类和城乡社区类社会组织。加强社会组织能力建设，健全建立社会组织法人治理结构、运行机制和监管机制，推动社会组织诚信自律建设，支持社会组织自我约束、自我管理。健全党领导下的以共青团为主导的青年组织体系和工作机制，加强青年人才培养，支持青年就业和创新创业，促进青年融入社会。完善志愿服务制度体系，支持和发展志愿服务组织，推动志愿服务事业持续健康发展。</w:t>
      </w:r>
      <w:bookmarkEnd w:id="244"/>
      <w:bookmarkStart w:id="261" w:name="_Toc59331274"/>
      <w:bookmarkStart w:id="262" w:name="_Toc58320438"/>
    </w:p>
    <w:p>
      <w:pPr>
        <w:adjustRightInd w:val="0"/>
        <w:snapToGrid w:val="0"/>
        <w:spacing w:line="600" w:lineRule="exact"/>
        <w:jc w:val="center"/>
        <w:outlineLvl w:val="0"/>
        <w:rPr>
          <w:rFonts w:ascii="方正小标宋简体" w:eastAsia="方正小标宋简体" w:cs="仿宋" w:hAnsiTheme="minorEastAsia"/>
          <w:color w:val="auto"/>
          <w:spacing w:val="-12"/>
          <w:sz w:val="32"/>
          <w:szCs w:val="32"/>
        </w:rPr>
      </w:pPr>
      <w:bookmarkStart w:id="263" w:name="_Toc11919"/>
      <w:r>
        <w:rPr>
          <w:rFonts w:hint="eastAsia" w:ascii="方正小标宋简体" w:eastAsia="方正小标宋简体" w:cs="仿宋" w:hAnsiTheme="minorEastAsia"/>
          <w:color w:val="auto"/>
          <w:spacing w:val="-12"/>
          <w:sz w:val="32"/>
          <w:szCs w:val="32"/>
        </w:rPr>
        <w:t>第十五章 统筹发展和安全，建设更高水平的平安</w:t>
      </w:r>
      <w:bookmarkEnd w:id="261"/>
      <w:bookmarkEnd w:id="262"/>
      <w:r>
        <w:rPr>
          <w:rFonts w:hint="eastAsia" w:ascii="方正小标宋简体" w:eastAsia="方正小标宋简体" w:cs="仿宋" w:hAnsiTheme="minorEastAsia"/>
          <w:color w:val="auto"/>
          <w:spacing w:val="-12"/>
          <w:sz w:val="32"/>
          <w:szCs w:val="32"/>
        </w:rPr>
        <w:t>海陵</w:t>
      </w:r>
      <w:bookmarkEnd w:id="263"/>
    </w:p>
    <w:p>
      <w:pPr>
        <w:adjustRightInd w:val="0"/>
        <w:snapToGrid w:val="0"/>
        <w:spacing w:line="600" w:lineRule="exact"/>
        <w:ind w:firstLine="640"/>
        <w:rPr>
          <w:rFonts w:ascii="仿宋" w:hAnsi="仿宋" w:eastAsia="仿宋" w:cs="仿宋"/>
          <w:color w:val="auto"/>
          <w:sz w:val="32"/>
          <w:szCs w:val="32"/>
        </w:rPr>
      </w:pPr>
      <w:bookmarkStart w:id="264" w:name="_Hlk58064172"/>
      <w:r>
        <w:rPr>
          <w:rFonts w:hint="eastAsia" w:ascii="仿宋" w:hAnsi="仿宋" w:eastAsia="仿宋" w:cs="仿宋"/>
          <w:color w:val="auto"/>
          <w:sz w:val="32"/>
          <w:szCs w:val="32"/>
        </w:rPr>
        <w:t>全面落实总体国家安全观，统筹发展和安全，坚持人民安全、政治安全、国家利益至上有机统一，把安全发展贯穿海陵岛发展各领域和全过程，防范和化解影响现代化进程的各种风险，建设平安海陵，不断提升人民群众安全感。</w:t>
      </w:r>
    </w:p>
    <w:bookmarkEnd w:id="264"/>
    <w:p>
      <w:pPr>
        <w:adjustRightInd w:val="0"/>
        <w:snapToGrid w:val="0"/>
        <w:spacing w:line="600" w:lineRule="exact"/>
        <w:jc w:val="center"/>
        <w:outlineLvl w:val="1"/>
        <w:rPr>
          <w:rFonts w:ascii="黑体" w:hAnsi="黑体" w:eastAsia="黑体" w:cs="仿宋"/>
          <w:color w:val="auto"/>
          <w:sz w:val="32"/>
          <w:szCs w:val="32"/>
          <w:lang w:val="zh-CN"/>
        </w:rPr>
      </w:pPr>
      <w:bookmarkStart w:id="265" w:name="_Toc22489"/>
      <w:bookmarkStart w:id="266" w:name="_Toc59624893"/>
      <w:bookmarkStart w:id="267" w:name="_Toc27962"/>
      <w:r>
        <w:rPr>
          <w:rFonts w:hint="eastAsia" w:ascii="黑体" w:hAnsi="黑体" w:eastAsia="黑体" w:cs="仿宋"/>
          <w:color w:val="auto"/>
          <w:sz w:val="32"/>
          <w:szCs w:val="32"/>
          <w:lang w:val="zh-CN"/>
        </w:rPr>
        <w:t>第一节 加强国家安全体系和能力建设</w:t>
      </w:r>
      <w:bookmarkEnd w:id="265"/>
      <w:bookmarkEnd w:id="266"/>
      <w:bookmarkEnd w:id="267"/>
    </w:p>
    <w:p>
      <w:pPr>
        <w:pStyle w:val="28"/>
        <w:adjustRightInd w:val="0"/>
        <w:snapToGrid w:val="0"/>
        <w:spacing w:line="600" w:lineRule="exact"/>
        <w:ind w:firstLine="640"/>
        <w:rPr>
          <w:rFonts w:ascii="仿宋" w:hAnsi="仿宋" w:eastAsia="仿宋"/>
          <w:color w:val="auto"/>
          <w:szCs w:val="32"/>
        </w:rPr>
      </w:pPr>
      <w:r>
        <w:rPr>
          <w:rFonts w:hint="eastAsia" w:ascii="仿宋" w:hAnsi="仿宋" w:eastAsia="仿宋"/>
          <w:color w:val="auto"/>
          <w:kern w:val="2"/>
          <w:szCs w:val="32"/>
        </w:rPr>
        <w:t>落实国家安全战略部署，建立健全我区国家安全法治体系、战略体系、政策体系、人才体系和运行机制，完善国家安全危机管控体系，筑牢国家安全底线。坚定维护国家政权安全、制度安全、意识形态安全，严密防范和严厉打击敌对势力渗透、破坏、颠覆、分裂活动。</w:t>
      </w:r>
      <w:r>
        <w:rPr>
          <w:rFonts w:hint="eastAsia" w:ascii="仿宋" w:hAnsi="仿宋" w:eastAsia="仿宋"/>
          <w:color w:val="auto"/>
          <w:szCs w:val="32"/>
        </w:rPr>
        <w:t>加强互联网安全管理，</w:t>
      </w:r>
      <w:r>
        <w:rPr>
          <w:rFonts w:hint="eastAsia" w:ascii="仿宋" w:hAnsi="仿宋" w:eastAsia="仿宋"/>
          <w:color w:val="auto"/>
          <w:kern w:val="2"/>
          <w:szCs w:val="32"/>
        </w:rPr>
        <w:t>完善网络安全保障体系，加强信息基础设施网络安全防护，针对重点行业和领域开展网络安全检查，加强个人信息保护和数据安全管理。加强国防动员能力建设，深入开展国家安全宣传教育，推进总体国家安全观宣传教育常态化制度化，增强全民国家安全意识，巩固国家安全人民防线。</w:t>
      </w:r>
    </w:p>
    <w:p>
      <w:pPr>
        <w:adjustRightInd w:val="0"/>
        <w:snapToGrid w:val="0"/>
        <w:spacing w:line="600" w:lineRule="exact"/>
        <w:jc w:val="center"/>
        <w:outlineLvl w:val="1"/>
        <w:rPr>
          <w:rFonts w:ascii="黑体" w:hAnsi="黑体" w:eastAsia="黑体" w:cs="仿宋"/>
          <w:color w:val="auto"/>
          <w:sz w:val="32"/>
          <w:szCs w:val="32"/>
          <w:lang w:val="zh-CN"/>
        </w:rPr>
      </w:pPr>
      <w:bookmarkStart w:id="268" w:name="_Toc59624894"/>
      <w:bookmarkStart w:id="269" w:name="_Toc22501"/>
      <w:r>
        <w:rPr>
          <w:rFonts w:hint="eastAsia" w:ascii="黑体" w:hAnsi="黑体" w:eastAsia="黑体" w:cs="仿宋"/>
          <w:color w:val="auto"/>
          <w:sz w:val="32"/>
          <w:szCs w:val="32"/>
          <w:lang w:val="zh-CN"/>
        </w:rPr>
        <w:t>第二节 保障经济安全</w:t>
      </w:r>
      <w:bookmarkEnd w:id="268"/>
      <w:bookmarkEnd w:id="269"/>
    </w:p>
    <w:p>
      <w:pPr>
        <w:adjustRightInd w:val="0"/>
        <w:snapToGrid w:val="0"/>
        <w:spacing w:line="600" w:lineRule="exact"/>
        <w:ind w:firstLine="640" w:firstLineChars="200"/>
        <w:rPr>
          <w:rFonts w:ascii="仿宋" w:hAnsi="仿宋" w:eastAsia="仿宋"/>
          <w:color w:val="auto"/>
          <w:sz w:val="32"/>
          <w:szCs w:val="32"/>
        </w:rPr>
      </w:pPr>
      <w:r>
        <w:rPr>
          <w:rFonts w:hint="eastAsia" w:ascii="仿宋" w:hAnsi="仿宋" w:eastAsia="仿宋" w:cs="方正仿宋简体"/>
          <w:color w:val="auto"/>
          <w:sz w:val="32"/>
          <w:szCs w:val="32"/>
        </w:rPr>
        <w:t>坚持底线思维，增强忧患意识，加强对经济领域风险的梳理排查，建立动态监测预警机制，将各类风险消失在萌芽状态，防止经济领域风险向社会、民生等领域传导。保障粮食安全，加强粮食储备安全管理，落实地方粮食储备规模，优化储备布局和品种结构，完善粮食仓储物流体系，构建储备功能完善、品种结构优化、储存方式灵活、承储主体多元、粮食储备安全的储备体系。推进“放心粮油”工程建设，维护粮食市场秩序。保障金融安全，深化金融监管体制改革，完善金融风险监测、预警和处置机制，防范涉众金融、非法集资、中小法人银行等风险，确保不发生区域性系统性金融风险。加强政府债务风险评估预警，用足用好新增政府债券资金，处理好到期政府债务，防范化解隐性债务。有效控制国有企业债务风险。着力促进房地产市场平稳健康发展。</w:t>
      </w:r>
    </w:p>
    <w:p>
      <w:pPr>
        <w:adjustRightInd w:val="0"/>
        <w:snapToGrid w:val="0"/>
        <w:spacing w:line="600" w:lineRule="exact"/>
        <w:jc w:val="center"/>
        <w:outlineLvl w:val="1"/>
        <w:rPr>
          <w:rFonts w:ascii="黑体" w:hAnsi="黑体" w:eastAsia="黑体" w:cs="仿宋"/>
          <w:color w:val="auto"/>
          <w:sz w:val="32"/>
          <w:szCs w:val="32"/>
          <w:lang w:val="zh-CN"/>
        </w:rPr>
      </w:pPr>
      <w:bookmarkStart w:id="270" w:name="_Toc59624895"/>
      <w:bookmarkStart w:id="271" w:name="_Toc24846"/>
      <w:r>
        <w:rPr>
          <w:rFonts w:hint="eastAsia" w:ascii="黑体" w:hAnsi="黑体" w:eastAsia="黑体" w:cs="仿宋"/>
          <w:color w:val="auto"/>
          <w:sz w:val="32"/>
          <w:szCs w:val="32"/>
          <w:lang w:val="zh-CN"/>
        </w:rPr>
        <w:t>第三节 保障城市公共安全</w:t>
      </w:r>
      <w:bookmarkEnd w:id="270"/>
      <w:bookmarkEnd w:id="271"/>
    </w:p>
    <w:p>
      <w:pPr>
        <w:adjustRightInd w:val="0"/>
        <w:snapToGrid w:val="0"/>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坚持人民至上、生命至上，健全公共安全体系，加强安全生产监管，保障公众食品安全，建立健全应急管理体制，不断增强维护社会稳定和公共安全能力。</w:t>
      </w:r>
    </w:p>
    <w:p>
      <w:pPr>
        <w:adjustRightInd w:val="0"/>
        <w:snapToGrid w:val="0"/>
        <w:spacing w:line="600" w:lineRule="exact"/>
        <w:ind w:firstLine="643" w:firstLineChars="200"/>
        <w:rPr>
          <w:rFonts w:ascii="仿宋" w:hAnsi="仿宋" w:eastAsia="仿宋" w:cs="仿宋"/>
          <w:color w:val="auto"/>
          <w:sz w:val="32"/>
          <w:szCs w:val="32"/>
        </w:rPr>
      </w:pPr>
      <w:r>
        <w:rPr>
          <w:rFonts w:hint="eastAsia" w:ascii="仿宋" w:hAnsi="仿宋" w:eastAsia="仿宋" w:cs="仿宋"/>
          <w:b/>
          <w:bCs/>
          <w:color w:val="auto"/>
          <w:sz w:val="32"/>
          <w:szCs w:val="32"/>
        </w:rPr>
        <w:t>加强安全生产监管。</w:t>
      </w:r>
      <w:r>
        <w:rPr>
          <w:rFonts w:hint="eastAsia" w:ascii="仿宋" w:hAnsi="仿宋" w:eastAsia="仿宋" w:cs="仿宋"/>
          <w:color w:val="auto"/>
          <w:sz w:val="32"/>
          <w:szCs w:val="32"/>
        </w:rPr>
        <w:t>扎实推进安全生产，完善安全生产责任体系，强化安全生产责任制考核，推动安全生产责任全员全岗位全覆盖。推进安全生产监管体制机制改革创新，强化“党政同责、一岗双责、失职追责”的安全生产责任体系。加强安全生产监管执法，实施安全生产专项治理工程，严厉打击安全生产违法违规行为，全力遏制防范道路交通、建筑施工、渔业船舶、消防安全等重特大安全事故。加强职业健康监管，强化职业病危害源头管控，持续开展职业卫生执法监察联合行动，大力防控重点行业职业病危害。加强安全生产应急管理，完善安全生产应急预案，建立安全生产应急协调机制，健全生产安全事故快速响应机制，提升安全生产应急处置能力。建设海陵岛安全生产综合信息平台，构建全区统一的事故隐患排查治理信息管理平台。深入开展城市风险点危险源排查整治专项行动，强化城市安全风险识别管控和隐患排查整改，加强城市安全管理，保障城市公共安全。</w:t>
      </w:r>
    </w:p>
    <w:p>
      <w:pPr>
        <w:widowControl/>
        <w:jc w:val="center"/>
        <w:rPr>
          <w:rFonts w:eastAsia="方正小标宋简体"/>
          <w:color w:val="auto"/>
        </w:rPr>
      </w:pPr>
      <w:bookmarkStart w:id="272" w:name="_Hlk58147540"/>
      <w:r>
        <w:rPr>
          <w:rFonts w:hint="eastAsia" w:eastAsia="方正小标宋简体"/>
          <w:b/>
          <w:bCs/>
          <w:color w:val="auto"/>
          <w:kern w:val="0"/>
          <w:sz w:val="28"/>
          <w:szCs w:val="28"/>
        </w:rPr>
        <w:t xml:space="preserve">专栏 </w:t>
      </w:r>
      <w:r>
        <w:rPr>
          <w:rFonts w:eastAsia="方正小标宋简体"/>
          <w:b/>
          <w:bCs/>
          <w:color w:val="auto"/>
          <w:kern w:val="0"/>
          <w:sz w:val="28"/>
          <w:szCs w:val="28"/>
        </w:rPr>
        <w:t xml:space="preserve"> </w:t>
      </w:r>
      <w:r>
        <w:rPr>
          <w:rFonts w:hint="eastAsia" w:eastAsia="方正小标宋简体"/>
          <w:b/>
          <w:bCs/>
          <w:color w:val="auto"/>
          <w:kern w:val="0"/>
          <w:sz w:val="28"/>
          <w:szCs w:val="28"/>
        </w:rPr>
        <w:t>海陵岛安全生产重点工程</w:t>
      </w:r>
    </w:p>
    <w:p>
      <w:pPr>
        <w:pBdr>
          <w:top w:val="single" w:color="auto" w:sz="4" w:space="1"/>
          <w:left w:val="single" w:color="auto" w:sz="4" w:space="4"/>
          <w:bottom w:val="single" w:color="auto" w:sz="4" w:space="1"/>
          <w:right w:val="single" w:color="auto" w:sz="4" w:space="4"/>
        </w:pBdr>
        <w:spacing w:line="360" w:lineRule="auto"/>
        <w:rPr>
          <w:rFonts w:ascii="仿宋_GB2312" w:hAnsi="等线" w:eastAsia="仿宋"/>
          <w:b/>
          <w:bCs/>
          <w:color w:val="auto"/>
          <w:sz w:val="24"/>
          <w:szCs w:val="30"/>
        </w:rPr>
      </w:pPr>
      <w:r>
        <w:rPr>
          <w:rFonts w:hint="eastAsia" w:ascii="仿宋_GB2312" w:hAnsi="等线" w:eastAsia="仿宋"/>
          <w:b/>
          <w:bCs/>
          <w:color w:val="auto"/>
          <w:sz w:val="24"/>
          <w:szCs w:val="30"/>
        </w:rPr>
        <w:t>1</w:t>
      </w:r>
      <w:r>
        <w:rPr>
          <w:rFonts w:ascii="仿宋_GB2312" w:hAnsi="等线" w:eastAsia="仿宋"/>
          <w:b/>
          <w:bCs/>
          <w:color w:val="auto"/>
          <w:sz w:val="24"/>
          <w:szCs w:val="30"/>
        </w:rPr>
        <w:t>.</w:t>
      </w:r>
      <w:r>
        <w:rPr>
          <w:rFonts w:hint="eastAsia" w:ascii="仿宋_GB2312" w:hAnsi="等线" w:eastAsia="仿宋"/>
          <w:b/>
          <w:bCs/>
          <w:color w:val="auto"/>
          <w:sz w:val="24"/>
          <w:szCs w:val="30"/>
        </w:rPr>
        <w:t xml:space="preserve"> 集中开展安全生产学习教育。</w:t>
      </w:r>
      <w:r>
        <w:rPr>
          <w:rFonts w:hint="eastAsia" w:ascii="仿宋_GB2312" w:hAnsi="等线" w:eastAsia="仿宋"/>
          <w:color w:val="auto"/>
          <w:sz w:val="24"/>
          <w:szCs w:val="30"/>
        </w:rPr>
        <w:t>将习近平总书记关于安全生产重要论述作为党委(党组)理论学习中心组专题学习和党校教学的重要内容。分级分批组织安全监管干部和企业负责人、安全管理人员开展轮训。</w:t>
      </w:r>
    </w:p>
    <w:p>
      <w:pPr>
        <w:pBdr>
          <w:top w:val="single" w:color="auto" w:sz="4" w:space="1"/>
          <w:left w:val="single" w:color="auto" w:sz="4" w:space="4"/>
          <w:bottom w:val="single" w:color="auto" w:sz="4" w:space="1"/>
          <w:right w:val="single" w:color="auto" w:sz="4" w:space="4"/>
        </w:pBdr>
        <w:spacing w:line="360" w:lineRule="auto"/>
        <w:rPr>
          <w:rFonts w:ascii="仿宋_GB2312" w:hAnsi="等线" w:eastAsia="仿宋"/>
          <w:color w:val="auto"/>
          <w:sz w:val="24"/>
          <w:szCs w:val="30"/>
        </w:rPr>
      </w:pPr>
      <w:r>
        <w:rPr>
          <w:rFonts w:hint="eastAsia" w:ascii="仿宋_GB2312" w:hAnsi="等线" w:eastAsia="仿宋"/>
          <w:b/>
          <w:bCs/>
          <w:color w:val="auto"/>
          <w:sz w:val="24"/>
          <w:szCs w:val="30"/>
        </w:rPr>
        <w:t>2.强化安全生产、消防工作的科技支撑保障能力建设。</w:t>
      </w:r>
      <w:r>
        <w:rPr>
          <w:rFonts w:hint="eastAsia" w:ascii="仿宋_GB2312" w:hAnsi="等线" w:eastAsia="仿宋"/>
          <w:color w:val="auto"/>
          <w:sz w:val="24"/>
          <w:szCs w:val="30"/>
        </w:rPr>
        <w:t>淘汰落后及不安全的设备、工艺、产能，用科技的力量坚守安全红线底线。</w:t>
      </w:r>
    </w:p>
    <w:p>
      <w:pPr>
        <w:pBdr>
          <w:top w:val="single" w:color="auto" w:sz="4" w:space="1"/>
          <w:left w:val="single" w:color="auto" w:sz="4" w:space="4"/>
          <w:bottom w:val="single" w:color="auto" w:sz="4" w:space="1"/>
          <w:right w:val="single" w:color="auto" w:sz="4" w:space="4"/>
        </w:pBdr>
        <w:spacing w:line="360" w:lineRule="auto"/>
        <w:rPr>
          <w:rFonts w:ascii="仿宋_GB2312" w:hAnsi="等线" w:eastAsia="仿宋"/>
          <w:color w:val="auto"/>
          <w:sz w:val="24"/>
          <w:szCs w:val="30"/>
        </w:rPr>
      </w:pPr>
      <w:r>
        <w:rPr>
          <w:rFonts w:hint="eastAsia" w:ascii="仿宋_GB2312" w:hAnsi="等线" w:eastAsia="仿宋"/>
          <w:b/>
          <w:bCs/>
          <w:color w:val="auto"/>
          <w:sz w:val="24"/>
          <w:szCs w:val="30"/>
        </w:rPr>
        <w:t>3.加强重点行业领域安全监管职能部门和力量建设。</w:t>
      </w:r>
      <w:r>
        <w:rPr>
          <w:rFonts w:hint="eastAsia" w:ascii="仿宋_GB2312" w:hAnsi="等线" w:eastAsia="仿宋"/>
          <w:color w:val="auto"/>
          <w:sz w:val="24"/>
          <w:szCs w:val="30"/>
        </w:rPr>
        <w:t>推进区、镇安全监管机构力量建设，提升专业监管能力。</w:t>
      </w:r>
    </w:p>
    <w:p>
      <w:pPr>
        <w:pBdr>
          <w:top w:val="single" w:color="auto" w:sz="4" w:space="1"/>
          <w:left w:val="single" w:color="auto" w:sz="4" w:space="4"/>
          <w:bottom w:val="single" w:color="auto" w:sz="4" w:space="1"/>
          <w:right w:val="single" w:color="auto" w:sz="4" w:space="4"/>
        </w:pBdr>
        <w:spacing w:line="360" w:lineRule="auto"/>
        <w:rPr>
          <w:rFonts w:ascii="仿宋_GB2312" w:hAnsi="等线" w:eastAsia="仿宋"/>
          <w:b/>
          <w:bCs/>
          <w:color w:val="auto"/>
          <w:sz w:val="24"/>
          <w:szCs w:val="30"/>
        </w:rPr>
      </w:pPr>
      <w:r>
        <w:rPr>
          <w:rFonts w:hint="eastAsia" w:ascii="仿宋_GB2312" w:hAnsi="等线" w:eastAsia="仿宋"/>
          <w:b/>
          <w:bCs/>
          <w:color w:val="auto"/>
          <w:sz w:val="24"/>
          <w:szCs w:val="30"/>
        </w:rPr>
        <w:t>4.深入推进安全生产专项整治三年行动计划。</w:t>
      </w:r>
      <w:r>
        <w:rPr>
          <w:rFonts w:hint="eastAsia" w:ascii="仿宋_GB2312" w:hAnsi="等线" w:eastAsia="仿宋"/>
          <w:color w:val="auto"/>
          <w:sz w:val="24"/>
          <w:szCs w:val="30"/>
        </w:rPr>
        <w:t>全面排查整治各类风险隐患，有效预防和减少各类安全事故的发生，防范和制重特大事故的发生。</w:t>
      </w:r>
    </w:p>
    <w:p>
      <w:pPr>
        <w:pBdr>
          <w:top w:val="single" w:color="auto" w:sz="4" w:space="1"/>
          <w:left w:val="single" w:color="auto" w:sz="4" w:space="4"/>
          <w:bottom w:val="single" w:color="auto" w:sz="4" w:space="1"/>
          <w:right w:val="single" w:color="auto" w:sz="4" w:space="4"/>
        </w:pBdr>
        <w:spacing w:line="360" w:lineRule="auto"/>
        <w:rPr>
          <w:rFonts w:ascii="仿宋" w:hAnsi="仿宋" w:eastAsia="仿宋" w:cs="仿宋_GB2312"/>
          <w:b/>
          <w:bCs/>
          <w:color w:val="auto"/>
          <w:sz w:val="32"/>
          <w:szCs w:val="32"/>
        </w:rPr>
      </w:pPr>
      <w:r>
        <w:rPr>
          <w:rFonts w:hint="eastAsia" w:ascii="仿宋_GB2312" w:hAnsi="等线" w:eastAsia="仿宋"/>
          <w:b/>
          <w:bCs/>
          <w:color w:val="auto"/>
          <w:sz w:val="24"/>
          <w:szCs w:val="30"/>
        </w:rPr>
        <w:t>5.强化安全生产宣传教育培训，</w:t>
      </w:r>
      <w:r>
        <w:rPr>
          <w:rFonts w:hint="eastAsia" w:ascii="仿宋_GB2312" w:hAnsi="等线" w:eastAsia="仿宋"/>
          <w:color w:val="auto"/>
          <w:sz w:val="24"/>
          <w:szCs w:val="30"/>
        </w:rPr>
        <w:t>深入开展安全生产、消防、森林防火进企业、进学校、进社区、进农村、进家庭、进公共场所“七进”活动。</w:t>
      </w:r>
    </w:p>
    <w:p>
      <w:pPr>
        <w:adjustRightInd w:val="0"/>
        <w:snapToGrid w:val="0"/>
        <w:spacing w:line="600" w:lineRule="exact"/>
        <w:ind w:firstLine="643" w:firstLineChars="200"/>
        <w:rPr>
          <w:rFonts w:ascii="仿宋" w:hAnsi="仿宋" w:eastAsia="仿宋" w:cs="仿宋"/>
          <w:color w:val="auto"/>
          <w:sz w:val="32"/>
          <w:szCs w:val="32"/>
        </w:rPr>
      </w:pPr>
      <w:r>
        <w:rPr>
          <w:rFonts w:hint="eastAsia" w:ascii="仿宋" w:hAnsi="仿宋" w:eastAsia="仿宋" w:cs="仿宋"/>
          <w:b/>
          <w:bCs/>
          <w:color w:val="auto"/>
          <w:sz w:val="32"/>
          <w:szCs w:val="32"/>
        </w:rPr>
        <w:t>加强食品安全监管。</w:t>
      </w:r>
      <w:bookmarkEnd w:id="272"/>
      <w:r>
        <w:rPr>
          <w:rFonts w:hint="eastAsia" w:ascii="仿宋" w:hAnsi="仿宋" w:eastAsia="仿宋" w:cs="仿宋"/>
          <w:color w:val="auto"/>
          <w:sz w:val="32"/>
          <w:szCs w:val="32"/>
        </w:rPr>
        <w:t>深入实施食品安全战略，严格落实党政同责和属地管理责任、生产经营者主体责任，形成严密高效、社会共治的食品安全治理体系。加强食品安全监管, 建立完善最严格的覆盖全过程的监管制度、食品原产地可追溯制度和质量标识制度。针对问题多发、易发的重点环节和重点品种，开展专项整治。推动涵盖食品药品等监管领域的市场监管信息化监管平台建设，提高市场监管智能化、信息化水平。建立健全食品安全风险监测体系，完善风险评估会商机制，强化风险分类控制，巩固食品安全守护防线。完善规范执法机制，加强应急能力建设，提升食品安全风险识别和突发事件预警能力，筑牢食品安全保障体系，有效防范区域性、系统性重大食品药品安全风险。加强食品药品安全宣传教育工作。</w:t>
      </w:r>
    </w:p>
    <w:p>
      <w:pPr>
        <w:widowControl/>
        <w:adjustRightInd w:val="0"/>
        <w:snapToGrid w:val="0"/>
        <w:spacing w:line="600" w:lineRule="exact"/>
        <w:ind w:firstLine="643"/>
        <w:rPr>
          <w:rFonts w:ascii="仿宋" w:hAnsi="仿宋" w:eastAsia="仿宋" w:cs="仿宋"/>
          <w:color w:val="auto"/>
          <w:sz w:val="32"/>
          <w:szCs w:val="32"/>
        </w:rPr>
      </w:pPr>
      <w:r>
        <w:rPr>
          <w:rFonts w:hint="eastAsia" w:ascii="仿宋" w:hAnsi="仿宋" w:eastAsia="仿宋" w:cs="仿宋"/>
          <w:b/>
          <w:bCs/>
          <w:color w:val="auto"/>
          <w:sz w:val="32"/>
          <w:szCs w:val="32"/>
        </w:rPr>
        <w:t>提高应急管理能力。</w:t>
      </w:r>
      <w:r>
        <w:rPr>
          <w:rFonts w:hint="eastAsia" w:ascii="仿宋" w:hAnsi="仿宋" w:eastAsia="仿宋" w:cs="仿宋"/>
          <w:color w:val="auto"/>
          <w:sz w:val="32"/>
          <w:szCs w:val="32"/>
        </w:rPr>
        <w:t>加强应急管理体系和能力建设，深化应急管理综合行政执法改革，强化应急救援能力和技术支撑能力建设。完善防灾减灾救灾体系，不断完善灾害防治体制机制，全面加强自然灾害防治能力建设，全面推进防灾减灾救灾能力“十个有”建设。全力构建应急能力体系和应急管理体制，整合优化应急力量和资源，推动形成统一指挥、专常兼备、反应灵敏、上下联动、平战结合的应急救援体系。完善应急管理机制，建立健全我区应急组织体系，完善应急预案，制定应急处置规程，全面提升应急管理工作规范化、制度化水平。完善应急预警能力，强化信息监测，通过大数据分析，提升风险识别和突发事件预警能力。完善应急保障措施，健全应急管理经费投入保障机制，统筹安排各类突发事件的应急演练和专业技能培训，提高应急响应和处置能力。强化应急物资储备和仓库建设，配备必要应急装备，开展物资维护保养，提高应急物资保障水平。推进应急避难场所建设管理。推动森林火灾防治工作，侧重加强森林消防应急救援队伍和装备建设。强化队伍业务能力建设，加强应急管理、处置队伍、专家队伍能力培训。完善环境风险防控体系，加强环境应急救援体系建设，探索实施环境应急响应“一岗一责”卡片式管理、“一河一策一图”等应急处置模式。</w:t>
      </w:r>
    </w:p>
    <w:p>
      <w:pPr>
        <w:widowControl/>
        <w:jc w:val="center"/>
        <w:rPr>
          <w:rFonts w:eastAsia="方正小标宋简体"/>
          <w:b/>
          <w:bCs/>
          <w:color w:val="auto"/>
          <w:kern w:val="0"/>
          <w:sz w:val="28"/>
          <w:szCs w:val="28"/>
        </w:rPr>
      </w:pPr>
      <w:r>
        <w:rPr>
          <w:rFonts w:hint="eastAsia" w:eastAsia="方正小标宋简体"/>
          <w:b/>
          <w:bCs/>
          <w:color w:val="auto"/>
          <w:kern w:val="0"/>
          <w:sz w:val="28"/>
          <w:szCs w:val="28"/>
        </w:rPr>
        <w:t xml:space="preserve">专栏 </w:t>
      </w:r>
      <w:r>
        <w:rPr>
          <w:rFonts w:eastAsia="方正小标宋简体"/>
          <w:b/>
          <w:bCs/>
          <w:color w:val="auto"/>
          <w:kern w:val="0"/>
          <w:sz w:val="28"/>
          <w:szCs w:val="28"/>
        </w:rPr>
        <w:t xml:space="preserve"> </w:t>
      </w:r>
      <w:r>
        <w:rPr>
          <w:rFonts w:hint="eastAsia" w:eastAsia="方正小标宋简体"/>
          <w:b/>
          <w:bCs/>
          <w:color w:val="auto"/>
          <w:kern w:val="0"/>
          <w:sz w:val="28"/>
          <w:szCs w:val="28"/>
        </w:rPr>
        <w:t>海陵岛应急管理重点建设项目</w:t>
      </w:r>
    </w:p>
    <w:p>
      <w:pPr>
        <w:pBdr>
          <w:top w:val="single" w:color="auto" w:sz="4" w:space="1"/>
          <w:left w:val="single" w:color="auto" w:sz="4" w:space="4"/>
          <w:bottom w:val="single" w:color="auto" w:sz="4" w:space="1"/>
          <w:right w:val="single" w:color="auto" w:sz="4" w:space="4"/>
        </w:pBdr>
        <w:spacing w:line="360" w:lineRule="auto"/>
        <w:rPr>
          <w:rFonts w:ascii="仿宋_GB2312" w:hAnsi="等线" w:eastAsia="仿宋"/>
          <w:b/>
          <w:bCs/>
          <w:color w:val="auto"/>
          <w:sz w:val="24"/>
          <w:szCs w:val="30"/>
        </w:rPr>
      </w:pPr>
      <w:r>
        <w:rPr>
          <w:rFonts w:hint="eastAsia" w:ascii="仿宋_GB2312" w:hAnsi="等线" w:eastAsia="仿宋"/>
          <w:b/>
          <w:bCs/>
          <w:color w:val="auto"/>
          <w:sz w:val="24"/>
          <w:szCs w:val="30"/>
        </w:rPr>
        <w:t>1. 海陵岛防灾减灾实验基地项目：</w:t>
      </w:r>
      <w:r>
        <w:rPr>
          <w:rFonts w:hint="eastAsia" w:ascii="仿宋_GB2312" w:hAnsi="等线" w:eastAsia="仿宋"/>
          <w:color w:val="auto"/>
          <w:sz w:val="24"/>
          <w:szCs w:val="30"/>
        </w:rPr>
        <w:t>该项目占地18058㎡，建筑面积4340㎡，建设有气象科普台风体验馆 ,停车场、广场、室外科普展示场地等。项目建成后可以作为广东省灾害应急培训中心，与学校、企事业单位开展合作，利用独特的资源环境及完善的教学设备，定期组织开展各类灾害救护培训，</w:t>
      </w:r>
    </w:p>
    <w:p>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b/>
          <w:bCs/>
          <w:color w:val="auto"/>
          <w:sz w:val="32"/>
          <w:szCs w:val="32"/>
          <w:lang w:eastAsia="zh-CN"/>
        </w:rPr>
      </w:pPr>
      <w:r>
        <w:rPr>
          <w:rFonts w:ascii="仿宋_GB2312" w:hAnsi="等线" w:eastAsia="仿宋"/>
          <w:b/>
          <w:bCs/>
          <w:color w:val="auto"/>
          <w:sz w:val="24"/>
          <w:szCs w:val="30"/>
        </w:rPr>
        <w:t>2</w:t>
      </w:r>
      <w:r>
        <w:rPr>
          <w:rFonts w:hint="eastAsia" w:ascii="仿宋_GB2312" w:hAnsi="等线" w:eastAsia="仿宋"/>
          <w:b/>
          <w:bCs/>
          <w:color w:val="auto"/>
          <w:sz w:val="24"/>
          <w:szCs w:val="30"/>
        </w:rPr>
        <w:t>. 海陵区海上渔民救援志愿队项目：</w:t>
      </w:r>
      <w:r>
        <w:rPr>
          <w:rFonts w:hint="eastAsia" w:ascii="仿宋_GB2312" w:hAnsi="等线" w:eastAsia="仿宋"/>
          <w:color w:val="auto"/>
          <w:sz w:val="24"/>
          <w:szCs w:val="30"/>
        </w:rPr>
        <w:t>志愿队主要为周边渔巷提供海上巡视、应急救援、船舶疏导、教育宣传等志愿服务。</w:t>
      </w:r>
      <w:bookmarkStart w:id="273" w:name="_Toc59624896"/>
    </w:p>
    <w:p>
      <w:pPr>
        <w:widowControl/>
        <w:adjustRightInd w:val="0"/>
        <w:snapToGrid w:val="0"/>
        <w:spacing w:line="600" w:lineRule="exact"/>
        <w:ind w:firstLine="643"/>
        <w:jc w:val="left"/>
        <w:rPr>
          <w:rFonts w:hint="eastAsia" w:ascii="仿宋" w:hAnsi="仿宋" w:eastAsia="仿宋" w:cs="仿宋"/>
          <w:color w:val="auto"/>
          <w:sz w:val="32"/>
          <w:szCs w:val="32"/>
        </w:rPr>
      </w:pPr>
      <w:r>
        <w:rPr>
          <w:rFonts w:hint="eastAsia" w:ascii="仿宋" w:hAnsi="仿宋" w:eastAsia="仿宋" w:cs="仿宋"/>
          <w:b/>
          <w:bCs/>
          <w:color w:val="auto"/>
          <w:sz w:val="32"/>
          <w:szCs w:val="32"/>
        </w:rPr>
        <w:t>提升消防综合救援能力。</w:t>
      </w:r>
      <w:r>
        <w:rPr>
          <w:rFonts w:hint="eastAsia" w:ascii="仿宋" w:hAnsi="仿宋" w:eastAsia="仿宋" w:cs="仿宋"/>
          <w:color w:val="auto"/>
          <w:sz w:val="32"/>
          <w:szCs w:val="32"/>
        </w:rPr>
        <w:t>全面落实预防为主、防消结合的方针，深化政府统一领导、部门依法监管、单位全面负责、公民积极参与的消防工作格局，全面加强城乡公共消防基础设施建设，健全完善综合应急救援机制，深化社会消防管理创新，切实打牢全社会火灾防控基础，有效预防和减少火灾事故发生，为加快实现“奋力打造沿海经济带的重要战略支点、宜居宜业宜游的现代化海滨城市”奋斗目标创造良好的消防安全环境。对标“国家队”“主力军”职能定位和“全灾种、大应急”任务需要，从根本上提高预防和抗御火灾的整体能力，形成完善的消防安全网络，做到消防站建成落地、消防人员配备齐全、消防装备更新完善，消防科技信息化水平更高。完善配套消防救援队伍保障体系和优待政策，加大各类消防专业人才培养力度，全区消防综合救援能力水平稳步提升。综合运用各类媒介、微信工作群转发火灾宣传片和火灾案例，全面提示火灾风险，广泛告知消防安全事项，有效提升消防安全宣传的广度和深度。确保人民群众的消防安全意识得到有效提升。</w:t>
      </w:r>
    </w:p>
    <w:p>
      <w:pPr>
        <w:widowControl/>
        <w:jc w:val="center"/>
        <w:rPr>
          <w:rFonts w:hint="eastAsia" w:eastAsia="方正小标宋简体"/>
          <w:b/>
          <w:bCs/>
          <w:color w:val="auto"/>
          <w:kern w:val="0"/>
          <w:sz w:val="28"/>
          <w:szCs w:val="28"/>
          <w:lang w:eastAsia="zh-CN"/>
        </w:rPr>
      </w:pPr>
      <w:r>
        <w:rPr>
          <w:rFonts w:hint="eastAsia" w:eastAsia="方正小标宋简体"/>
          <w:b/>
          <w:bCs/>
          <w:color w:val="auto"/>
          <w:kern w:val="0"/>
          <w:sz w:val="28"/>
          <w:szCs w:val="28"/>
        </w:rPr>
        <w:t xml:space="preserve">专栏 </w:t>
      </w:r>
      <w:r>
        <w:rPr>
          <w:rFonts w:eastAsia="方正小标宋简体"/>
          <w:b/>
          <w:bCs/>
          <w:color w:val="auto"/>
          <w:kern w:val="0"/>
          <w:sz w:val="28"/>
          <w:szCs w:val="28"/>
        </w:rPr>
        <w:t xml:space="preserve"> </w:t>
      </w:r>
      <w:r>
        <w:rPr>
          <w:rFonts w:hint="eastAsia" w:eastAsia="方正小标宋简体"/>
          <w:b/>
          <w:bCs/>
          <w:color w:val="auto"/>
          <w:kern w:val="0"/>
          <w:sz w:val="28"/>
          <w:szCs w:val="28"/>
        </w:rPr>
        <w:t>海陵岛</w:t>
      </w:r>
      <w:r>
        <w:rPr>
          <w:rFonts w:hint="eastAsia" w:eastAsia="方正小标宋简体"/>
          <w:b/>
          <w:bCs/>
          <w:color w:val="auto"/>
          <w:kern w:val="0"/>
          <w:sz w:val="28"/>
          <w:szCs w:val="28"/>
          <w:lang w:eastAsia="zh-CN"/>
        </w:rPr>
        <w:t>消防安全</w:t>
      </w:r>
      <w:r>
        <w:rPr>
          <w:rFonts w:hint="eastAsia" w:eastAsia="方正小标宋简体"/>
          <w:b/>
          <w:bCs/>
          <w:color w:val="auto"/>
          <w:kern w:val="0"/>
          <w:sz w:val="28"/>
          <w:szCs w:val="28"/>
        </w:rPr>
        <w:t>重点</w:t>
      </w:r>
      <w:r>
        <w:rPr>
          <w:rFonts w:hint="eastAsia" w:eastAsia="方正小标宋简体"/>
          <w:b/>
          <w:bCs/>
          <w:color w:val="auto"/>
          <w:kern w:val="0"/>
          <w:sz w:val="28"/>
          <w:szCs w:val="28"/>
          <w:lang w:eastAsia="zh-CN"/>
        </w:rPr>
        <w:t>工程</w:t>
      </w:r>
    </w:p>
    <w:p>
      <w:pPr>
        <w:pBdr>
          <w:top w:val="single" w:color="auto" w:sz="4" w:space="1"/>
          <w:left w:val="single" w:color="auto" w:sz="4" w:space="4"/>
          <w:bottom w:val="single" w:color="auto" w:sz="4" w:space="1"/>
          <w:right w:val="single" w:color="auto" w:sz="4" w:space="4"/>
        </w:pBdr>
        <w:spacing w:line="360" w:lineRule="auto"/>
        <w:rPr>
          <w:rFonts w:ascii="仿宋_GB2312" w:hAnsi="等线" w:eastAsia="仿宋"/>
          <w:b/>
          <w:bCs/>
          <w:color w:val="auto"/>
          <w:sz w:val="24"/>
          <w:szCs w:val="30"/>
        </w:rPr>
      </w:pPr>
      <w:r>
        <w:rPr>
          <w:rFonts w:hint="eastAsia" w:ascii="仿宋_GB2312" w:hAnsi="等线" w:eastAsia="仿宋"/>
          <w:b/>
          <w:bCs/>
          <w:color w:val="auto"/>
          <w:sz w:val="24"/>
          <w:szCs w:val="30"/>
        </w:rPr>
        <w:t>1. 消防站</w:t>
      </w:r>
      <w:r>
        <w:rPr>
          <w:rFonts w:hint="eastAsia" w:ascii="仿宋_GB2312" w:hAnsi="等线" w:eastAsia="仿宋"/>
          <w:b/>
          <w:bCs/>
          <w:color w:val="auto"/>
          <w:sz w:val="24"/>
          <w:szCs w:val="30"/>
          <w:lang w:eastAsia="zh-CN"/>
        </w:rPr>
        <w:t>的</w:t>
      </w:r>
      <w:r>
        <w:rPr>
          <w:rFonts w:hint="eastAsia" w:ascii="仿宋_GB2312" w:hAnsi="等线" w:eastAsia="仿宋"/>
          <w:b/>
          <w:bCs/>
          <w:color w:val="auto"/>
          <w:sz w:val="24"/>
          <w:szCs w:val="30"/>
        </w:rPr>
        <w:t>建设</w:t>
      </w:r>
      <w:r>
        <w:rPr>
          <w:rFonts w:hint="eastAsia" w:ascii="仿宋_GB2312" w:hAnsi="等线" w:eastAsia="仿宋"/>
          <w:b/>
          <w:bCs/>
          <w:color w:val="auto"/>
          <w:sz w:val="24"/>
          <w:szCs w:val="30"/>
          <w:lang w:eastAsia="zh-CN"/>
        </w:rPr>
        <w:t>：</w:t>
      </w:r>
      <w:r>
        <w:rPr>
          <w:rFonts w:hint="eastAsia" w:ascii="仿宋_GB2312" w:hAnsi="等线" w:eastAsia="仿宋"/>
          <w:color w:val="auto"/>
          <w:sz w:val="24"/>
          <w:szCs w:val="30"/>
        </w:rPr>
        <w:t>按照《海陵岛消防专项规划(2017-2035)》要求建设7个消防站。2021-2023年按照一级消防站标准完成闸坡消防站建设，2023-2025年按照</w:t>
      </w:r>
      <w:r>
        <w:rPr>
          <w:rFonts w:hint="eastAsia" w:ascii="仿宋_GB2312" w:hAnsi="等线" w:eastAsia="仿宋"/>
          <w:color w:val="auto"/>
          <w:sz w:val="24"/>
          <w:szCs w:val="30"/>
          <w:lang w:eastAsia="zh-CN"/>
        </w:rPr>
        <w:t>一</w:t>
      </w:r>
      <w:r>
        <w:rPr>
          <w:rFonts w:hint="eastAsia" w:ascii="仿宋_GB2312" w:hAnsi="等线" w:eastAsia="仿宋"/>
          <w:color w:val="auto"/>
          <w:sz w:val="24"/>
          <w:szCs w:val="30"/>
        </w:rPr>
        <w:t>级消防站标准完成东岛消防站建设。</w:t>
      </w:r>
    </w:p>
    <w:p>
      <w:pPr>
        <w:pBdr>
          <w:top w:val="single" w:color="auto" w:sz="4" w:space="1"/>
          <w:left w:val="single" w:color="auto" w:sz="4" w:space="4"/>
          <w:bottom w:val="single" w:color="auto" w:sz="4" w:space="1"/>
          <w:right w:val="single" w:color="auto" w:sz="4" w:space="4"/>
        </w:pBdr>
        <w:spacing w:line="360" w:lineRule="auto"/>
        <w:rPr>
          <w:rFonts w:hint="eastAsia" w:ascii="仿宋_GB2312" w:hAnsi="等线" w:eastAsia="仿宋"/>
          <w:color w:val="auto"/>
          <w:sz w:val="24"/>
          <w:szCs w:val="30"/>
        </w:rPr>
      </w:pPr>
      <w:r>
        <w:rPr>
          <w:rFonts w:ascii="仿宋_GB2312" w:hAnsi="等线" w:eastAsia="仿宋"/>
          <w:b/>
          <w:bCs/>
          <w:color w:val="auto"/>
          <w:sz w:val="24"/>
          <w:szCs w:val="30"/>
        </w:rPr>
        <w:t>2</w:t>
      </w:r>
      <w:r>
        <w:rPr>
          <w:rFonts w:hint="eastAsia" w:ascii="仿宋_GB2312" w:hAnsi="等线" w:eastAsia="仿宋"/>
          <w:b/>
          <w:bCs/>
          <w:color w:val="auto"/>
          <w:sz w:val="24"/>
          <w:szCs w:val="30"/>
        </w:rPr>
        <w:t>. 消火栓的建设与维护</w:t>
      </w:r>
      <w:r>
        <w:rPr>
          <w:rFonts w:hint="eastAsia" w:ascii="仿宋_GB2312" w:hAnsi="等线" w:eastAsia="仿宋"/>
          <w:b/>
          <w:bCs/>
          <w:color w:val="auto"/>
          <w:sz w:val="24"/>
          <w:szCs w:val="30"/>
          <w:lang w:val="en-US" w:eastAsia="zh-CN"/>
        </w:rPr>
        <w:t>:</w:t>
      </w:r>
      <w:r>
        <w:rPr>
          <w:rFonts w:hint="eastAsia" w:ascii="仿宋_GB2312" w:hAnsi="等线" w:eastAsia="仿宋"/>
          <w:color w:val="auto"/>
          <w:sz w:val="24"/>
          <w:szCs w:val="30"/>
        </w:rPr>
        <w:t>出台《海陵试验区消火栓建设与维护保养管理规定》</w:t>
      </w:r>
      <w:r>
        <w:rPr>
          <w:rFonts w:hint="eastAsia" w:ascii="仿宋_GB2312" w:hAnsi="等线" w:eastAsia="仿宋"/>
          <w:color w:val="auto"/>
          <w:sz w:val="24"/>
          <w:szCs w:val="30"/>
          <w:lang w:val="en-US" w:eastAsia="zh-CN"/>
        </w:rPr>
        <w:t>，</w:t>
      </w:r>
      <w:r>
        <w:rPr>
          <w:rFonts w:hint="eastAsia" w:ascii="仿宋_GB2312" w:hAnsi="等线" w:eastAsia="仿宋"/>
          <w:color w:val="auto"/>
          <w:sz w:val="24"/>
          <w:szCs w:val="30"/>
        </w:rPr>
        <w:t>十四五期间每年</w:t>
      </w:r>
      <w:r>
        <w:rPr>
          <w:rFonts w:hint="eastAsia" w:ascii="仿宋_GB2312" w:hAnsi="等线" w:eastAsia="仿宋"/>
          <w:color w:val="auto"/>
          <w:sz w:val="24"/>
          <w:szCs w:val="30"/>
          <w:lang w:eastAsia="zh-CN"/>
        </w:rPr>
        <w:t>新增</w:t>
      </w:r>
      <w:r>
        <w:rPr>
          <w:rFonts w:hint="eastAsia" w:ascii="仿宋_GB2312" w:hAnsi="等线" w:eastAsia="仿宋"/>
          <w:color w:val="auto"/>
          <w:sz w:val="24"/>
          <w:szCs w:val="30"/>
        </w:rPr>
        <w:t>20个消火栓</w:t>
      </w:r>
      <w:r>
        <w:rPr>
          <w:rFonts w:hint="eastAsia" w:ascii="仿宋_GB2312" w:hAnsi="等线" w:eastAsia="仿宋"/>
          <w:color w:val="auto"/>
          <w:sz w:val="24"/>
          <w:szCs w:val="30"/>
          <w:lang w:eastAsia="zh-CN"/>
        </w:rPr>
        <w:t>，</w:t>
      </w:r>
      <w:r>
        <w:rPr>
          <w:rFonts w:hint="eastAsia" w:ascii="仿宋_GB2312" w:hAnsi="等线" w:eastAsia="仿宋"/>
          <w:color w:val="auto"/>
          <w:sz w:val="24"/>
          <w:szCs w:val="30"/>
        </w:rPr>
        <w:t>逐步解决现有消火栓存在的损坏、埋压和无水等存在问题</w:t>
      </w:r>
      <w:r>
        <w:rPr>
          <w:rFonts w:hint="eastAsia" w:ascii="仿宋_GB2312" w:hAnsi="等线" w:eastAsia="仿宋"/>
          <w:color w:val="auto"/>
          <w:sz w:val="24"/>
          <w:szCs w:val="30"/>
          <w:lang w:eastAsia="zh-CN"/>
        </w:rPr>
        <w:t>，加快</w:t>
      </w:r>
      <w:r>
        <w:rPr>
          <w:rFonts w:hint="eastAsia" w:ascii="仿宋_GB2312" w:hAnsi="等线" w:eastAsia="仿宋"/>
          <w:color w:val="auto"/>
          <w:sz w:val="24"/>
          <w:szCs w:val="30"/>
        </w:rPr>
        <w:t>建设消防车天然水源取水点和公共消防水池。</w:t>
      </w:r>
    </w:p>
    <w:p>
      <w:pPr>
        <w:pBdr>
          <w:top w:val="single" w:color="auto" w:sz="4" w:space="1"/>
          <w:left w:val="single" w:color="auto" w:sz="4" w:space="4"/>
          <w:bottom w:val="single" w:color="auto" w:sz="4" w:space="1"/>
          <w:right w:val="single" w:color="auto" w:sz="4" w:space="4"/>
        </w:pBdr>
        <w:spacing w:line="360" w:lineRule="auto"/>
        <w:rPr>
          <w:rFonts w:hint="eastAsia" w:ascii="仿宋_GB2312" w:hAnsi="等线" w:eastAsia="仿宋"/>
          <w:color w:val="auto"/>
          <w:sz w:val="24"/>
          <w:szCs w:val="30"/>
          <w:lang w:eastAsia="zh-CN"/>
        </w:rPr>
      </w:pPr>
      <w:r>
        <w:rPr>
          <w:rFonts w:hint="eastAsia" w:ascii="仿宋_GB2312" w:hAnsi="等线" w:eastAsia="仿宋"/>
          <w:b/>
          <w:bCs/>
          <w:color w:val="auto"/>
          <w:sz w:val="24"/>
          <w:szCs w:val="30"/>
          <w:lang w:val="en-US" w:eastAsia="zh-CN"/>
        </w:rPr>
        <w:t>3</w:t>
      </w:r>
      <w:r>
        <w:rPr>
          <w:rFonts w:hint="eastAsia" w:ascii="仿宋_GB2312" w:hAnsi="等线" w:eastAsia="仿宋"/>
          <w:b/>
          <w:bCs/>
          <w:color w:val="auto"/>
          <w:sz w:val="24"/>
          <w:szCs w:val="30"/>
        </w:rPr>
        <w:t>. 多种形式消防救援队伍的建立</w:t>
      </w:r>
      <w:r>
        <w:rPr>
          <w:rFonts w:hint="eastAsia" w:ascii="仿宋_GB2312" w:hAnsi="等线" w:eastAsia="仿宋"/>
          <w:b/>
          <w:bCs/>
          <w:color w:val="auto"/>
          <w:sz w:val="24"/>
          <w:szCs w:val="30"/>
          <w:lang w:eastAsia="zh-CN"/>
        </w:rPr>
        <w:t>：</w:t>
      </w:r>
      <w:r>
        <w:rPr>
          <w:rFonts w:hint="eastAsia" w:ascii="仿宋_GB2312" w:hAnsi="等线" w:eastAsia="仿宋"/>
          <w:color w:val="auto"/>
          <w:sz w:val="24"/>
          <w:szCs w:val="30"/>
        </w:rPr>
        <w:t>一是探索混编队伍管理模式，在2021-2023年期间每年完成6名专职消防队员招收任务；二是出合《海陵试验区社区(村)微型消防站管理规定》,逐步将村委社区与消防安全重点单位微型消防站纳入执勤调度体系；</w:t>
      </w:r>
      <w:r>
        <w:rPr>
          <w:rFonts w:hint="eastAsia" w:ascii="仿宋_GB2312" w:hAnsi="等线" w:eastAsia="仿宋"/>
          <w:color w:val="auto"/>
          <w:sz w:val="24"/>
          <w:szCs w:val="30"/>
          <w:lang w:eastAsia="zh-CN"/>
        </w:rPr>
        <w:t>三是以</w:t>
      </w:r>
      <w:r>
        <w:rPr>
          <w:rFonts w:hint="eastAsia" w:ascii="仿宋_GB2312" w:hAnsi="等线" w:eastAsia="仿宋"/>
          <w:color w:val="auto"/>
          <w:sz w:val="24"/>
          <w:szCs w:val="30"/>
          <w:lang w:val="en-US" w:eastAsia="zh-CN"/>
        </w:rPr>
        <w:t>7</w:t>
      </w:r>
      <w:r>
        <w:rPr>
          <w:rFonts w:hint="eastAsia" w:ascii="仿宋_GB2312" w:hAnsi="等线" w:eastAsia="仿宋"/>
          <w:color w:val="auto"/>
          <w:sz w:val="24"/>
          <w:szCs w:val="30"/>
          <w:lang w:eastAsia="zh-CN"/>
        </w:rPr>
        <w:t>艘义务消防船为基础成立一支水上义务消防救援队，提升水上灭火救援应急能力；四是与团委、妇联和村社区等单位协调成立志愿消防队伍，在灭火救援和消防宣传方面发挥应用作用。</w:t>
      </w:r>
    </w:p>
    <w:p>
      <w:pPr>
        <w:pBdr>
          <w:top w:val="single" w:color="auto" w:sz="4" w:space="1"/>
          <w:left w:val="single" w:color="auto" w:sz="4" w:space="4"/>
          <w:bottom w:val="single" w:color="auto" w:sz="4" w:space="1"/>
          <w:right w:val="single" w:color="auto" w:sz="4" w:space="4"/>
        </w:pBdr>
        <w:spacing w:line="360" w:lineRule="auto"/>
        <w:rPr>
          <w:rFonts w:hint="eastAsia" w:ascii="仿宋_GB2312" w:hAnsi="等线" w:eastAsia="仿宋"/>
          <w:color w:val="auto"/>
          <w:sz w:val="24"/>
          <w:szCs w:val="30"/>
          <w:lang w:eastAsia="zh-CN"/>
        </w:rPr>
      </w:pPr>
      <w:r>
        <w:rPr>
          <w:rFonts w:hint="eastAsia" w:ascii="仿宋_GB2312" w:hAnsi="等线" w:eastAsia="仿宋"/>
          <w:b/>
          <w:bCs/>
          <w:color w:val="auto"/>
          <w:sz w:val="24"/>
          <w:szCs w:val="30"/>
          <w:lang w:val="en-US" w:eastAsia="zh-CN"/>
        </w:rPr>
        <w:t>4</w:t>
      </w:r>
      <w:r>
        <w:rPr>
          <w:rFonts w:hint="eastAsia" w:ascii="仿宋_GB2312" w:hAnsi="等线" w:eastAsia="仿宋"/>
          <w:b/>
          <w:bCs/>
          <w:color w:val="auto"/>
          <w:sz w:val="24"/>
          <w:szCs w:val="30"/>
        </w:rPr>
        <w:t xml:space="preserve">. </w:t>
      </w:r>
      <w:r>
        <w:rPr>
          <w:rFonts w:hint="eastAsia" w:ascii="仿宋_GB2312" w:hAnsi="等线" w:eastAsia="仿宋"/>
          <w:b/>
          <w:bCs/>
          <w:color w:val="auto"/>
          <w:sz w:val="24"/>
          <w:szCs w:val="30"/>
          <w:lang w:eastAsia="zh-CN"/>
        </w:rPr>
        <w:t>消防体验馆建设：</w:t>
      </w:r>
      <w:r>
        <w:rPr>
          <w:rFonts w:hint="eastAsia" w:ascii="仿宋_GB2312" w:hAnsi="等线" w:eastAsia="仿宋"/>
          <w:color w:val="auto"/>
          <w:sz w:val="24"/>
          <w:szCs w:val="30"/>
          <w:lang w:eastAsia="zh-CN"/>
        </w:rPr>
        <w:t>建成一个以集装箱为基础的消防体验馆，打造与海陵岛5A景区相匹配的同时具备消防宣传与前置执勤功能的消防场馆。</w:t>
      </w:r>
    </w:p>
    <w:p>
      <w:pPr>
        <w:pBdr>
          <w:top w:val="single" w:color="auto" w:sz="4" w:space="1"/>
          <w:left w:val="single" w:color="auto" w:sz="4" w:space="4"/>
          <w:bottom w:val="single" w:color="auto" w:sz="4" w:space="1"/>
          <w:right w:val="single" w:color="auto" w:sz="4" w:space="4"/>
        </w:pBdr>
        <w:spacing w:line="360" w:lineRule="auto"/>
        <w:rPr>
          <w:rFonts w:hint="eastAsia" w:ascii="仿宋_GB2312" w:hAnsi="等线" w:eastAsia="仿宋"/>
          <w:color w:val="auto"/>
          <w:sz w:val="24"/>
          <w:szCs w:val="30"/>
          <w:lang w:eastAsia="zh-CN"/>
        </w:rPr>
      </w:pPr>
      <w:r>
        <w:rPr>
          <w:rFonts w:hint="eastAsia" w:ascii="仿宋_GB2312" w:hAnsi="等线" w:eastAsia="仿宋"/>
          <w:b/>
          <w:bCs/>
          <w:color w:val="auto"/>
          <w:sz w:val="24"/>
          <w:szCs w:val="30"/>
          <w:lang w:val="en-US" w:eastAsia="zh-CN"/>
        </w:rPr>
        <w:t>5</w:t>
      </w:r>
      <w:r>
        <w:rPr>
          <w:rFonts w:hint="eastAsia" w:ascii="仿宋_GB2312" w:hAnsi="等线" w:eastAsia="仿宋"/>
          <w:b/>
          <w:bCs/>
          <w:color w:val="auto"/>
          <w:sz w:val="24"/>
          <w:szCs w:val="30"/>
        </w:rPr>
        <w:t xml:space="preserve">. </w:t>
      </w:r>
      <w:r>
        <w:rPr>
          <w:rFonts w:hint="eastAsia" w:ascii="仿宋_GB2312" w:hAnsi="等线" w:eastAsia="仿宋"/>
          <w:b/>
          <w:bCs/>
          <w:color w:val="auto"/>
          <w:sz w:val="24"/>
          <w:szCs w:val="30"/>
          <w:lang w:eastAsia="zh-CN"/>
        </w:rPr>
        <w:t>消防车购置：</w:t>
      </w:r>
      <w:r>
        <w:rPr>
          <w:rFonts w:hint="eastAsia" w:ascii="仿宋_GB2312" w:hAnsi="等线" w:eastAsia="仿宋"/>
          <w:color w:val="auto"/>
          <w:sz w:val="24"/>
          <w:szCs w:val="30"/>
          <w:lang w:eastAsia="zh-CN"/>
        </w:rPr>
        <w:t>逐步为新建消防站配备轻型城市主战消防车、消防摩托车、水罐泡沫消防车、大功率水罐泡沫消防车等消防车辆。</w:t>
      </w:r>
    </w:p>
    <w:p>
      <w:pPr>
        <w:pBdr>
          <w:top w:val="single" w:color="auto" w:sz="4" w:space="1"/>
          <w:left w:val="single" w:color="auto" w:sz="4" w:space="4"/>
          <w:bottom w:val="single" w:color="auto" w:sz="4" w:space="1"/>
          <w:right w:val="single" w:color="auto" w:sz="4" w:space="4"/>
        </w:pBdr>
        <w:spacing w:line="360" w:lineRule="auto"/>
        <w:rPr>
          <w:rFonts w:hint="eastAsia" w:eastAsia="仿宋"/>
          <w:lang w:val="zh-CN" w:eastAsia="zh-CN"/>
        </w:rPr>
      </w:pPr>
      <w:r>
        <w:rPr>
          <w:rFonts w:hint="eastAsia" w:ascii="仿宋_GB2312" w:hAnsi="等线" w:eastAsia="仿宋"/>
          <w:b/>
          <w:bCs/>
          <w:color w:val="auto"/>
          <w:sz w:val="24"/>
          <w:szCs w:val="30"/>
          <w:lang w:val="en-US" w:eastAsia="zh-CN"/>
        </w:rPr>
        <w:t>6</w:t>
      </w:r>
      <w:r>
        <w:rPr>
          <w:rFonts w:hint="eastAsia" w:ascii="仿宋_GB2312" w:hAnsi="等线" w:eastAsia="仿宋"/>
          <w:b/>
          <w:bCs/>
          <w:color w:val="auto"/>
          <w:sz w:val="24"/>
          <w:szCs w:val="30"/>
        </w:rPr>
        <w:t xml:space="preserve">. </w:t>
      </w:r>
      <w:r>
        <w:rPr>
          <w:rFonts w:hint="eastAsia" w:ascii="仿宋_GB2312" w:hAnsi="等线" w:eastAsia="仿宋"/>
          <w:b/>
          <w:bCs/>
          <w:color w:val="auto"/>
          <w:sz w:val="24"/>
          <w:szCs w:val="30"/>
          <w:lang w:eastAsia="zh-CN"/>
        </w:rPr>
        <w:t>消防装备器材购置</w:t>
      </w:r>
      <w:r>
        <w:rPr>
          <w:rFonts w:hint="eastAsia" w:ascii="仿宋_GB2312" w:hAnsi="等线" w:eastAsia="仿宋"/>
          <w:color w:val="auto"/>
          <w:sz w:val="24"/>
          <w:szCs w:val="30"/>
          <w:lang w:eastAsia="zh-CN"/>
        </w:rPr>
        <w:t>：按照《阳江市灭火救援装备建设三年规划(2021—2023年)》加强装备器材配备。根据《城市消防站建设标准》与随车器材配备标准完成现有消防站与新建消防站相关装备器材配备。</w:t>
      </w:r>
    </w:p>
    <w:p>
      <w:pPr>
        <w:adjustRightInd w:val="0"/>
        <w:snapToGrid w:val="0"/>
        <w:spacing w:line="600" w:lineRule="exact"/>
        <w:jc w:val="center"/>
        <w:outlineLvl w:val="1"/>
        <w:rPr>
          <w:rFonts w:ascii="黑体" w:hAnsi="黑体" w:eastAsia="黑体" w:cs="仿宋"/>
          <w:color w:val="auto"/>
          <w:sz w:val="32"/>
          <w:szCs w:val="32"/>
          <w:lang w:val="zh-CN"/>
        </w:rPr>
      </w:pPr>
      <w:bookmarkStart w:id="274" w:name="_Toc29324"/>
      <w:r>
        <w:rPr>
          <w:rFonts w:hint="eastAsia" w:ascii="黑体" w:hAnsi="黑体" w:eastAsia="黑体" w:cs="仿宋"/>
          <w:color w:val="auto"/>
          <w:sz w:val="32"/>
          <w:szCs w:val="32"/>
          <w:lang w:val="zh-CN"/>
        </w:rPr>
        <w:t xml:space="preserve">第四节 </w:t>
      </w:r>
      <w:bookmarkStart w:id="275" w:name="_Hlk60147551"/>
      <w:r>
        <w:rPr>
          <w:rFonts w:hint="eastAsia" w:ascii="黑体" w:hAnsi="黑体" w:eastAsia="黑体" w:cs="仿宋"/>
          <w:color w:val="auto"/>
          <w:sz w:val="32"/>
          <w:szCs w:val="32"/>
          <w:lang w:val="zh-CN"/>
        </w:rPr>
        <w:t>维护社会稳定和安全</w:t>
      </w:r>
      <w:bookmarkEnd w:id="273"/>
      <w:bookmarkEnd w:id="274"/>
      <w:bookmarkEnd w:id="275"/>
    </w:p>
    <w:p>
      <w:pPr>
        <w:adjustRightInd w:val="0"/>
        <w:snapToGrid w:val="0"/>
        <w:spacing w:line="600" w:lineRule="exact"/>
        <w:ind w:firstLine="640" w:firstLineChars="200"/>
        <w:rPr>
          <w:color w:val="auto"/>
        </w:rPr>
      </w:pPr>
      <w:r>
        <w:rPr>
          <w:rFonts w:hint="eastAsia" w:ascii="仿宋" w:hAnsi="仿宋" w:eastAsia="仿宋"/>
          <w:color w:val="auto"/>
          <w:sz w:val="32"/>
          <w:szCs w:val="32"/>
        </w:rPr>
        <w:t>完善社会治安防控体系，强化公安信息化基础设施建设，加快推进大数据智能化应用，</w:t>
      </w:r>
      <w:r>
        <w:rPr>
          <w:rFonts w:ascii="仿宋" w:hAnsi="仿宋" w:eastAsia="仿宋"/>
          <w:color w:val="auto"/>
          <w:sz w:val="32"/>
          <w:szCs w:val="32"/>
        </w:rPr>
        <w:t>推动“雪亮工程”建设，实现</w:t>
      </w:r>
      <w:r>
        <w:rPr>
          <w:rFonts w:hint="eastAsia" w:ascii="仿宋" w:hAnsi="仿宋" w:eastAsia="仿宋"/>
          <w:color w:val="auto"/>
          <w:sz w:val="32"/>
          <w:szCs w:val="32"/>
        </w:rPr>
        <w:t>海陵岛“</w:t>
      </w:r>
      <w:r>
        <w:rPr>
          <w:rFonts w:ascii="仿宋" w:hAnsi="仿宋" w:eastAsia="仿宋"/>
          <w:color w:val="auto"/>
          <w:sz w:val="32"/>
          <w:szCs w:val="32"/>
        </w:rPr>
        <w:t>全域覆盖、全网共享、全时可用、全程可控</w:t>
      </w:r>
      <w:r>
        <w:rPr>
          <w:rFonts w:hint="eastAsia" w:ascii="仿宋" w:hAnsi="仿宋" w:eastAsia="仿宋"/>
          <w:color w:val="auto"/>
          <w:sz w:val="32"/>
          <w:szCs w:val="32"/>
        </w:rPr>
        <w:t>”</w:t>
      </w:r>
      <w:r>
        <w:rPr>
          <w:rFonts w:ascii="仿宋" w:hAnsi="仿宋" w:eastAsia="仿宋"/>
          <w:color w:val="auto"/>
          <w:sz w:val="32"/>
          <w:szCs w:val="32"/>
        </w:rPr>
        <w:t>的公共安全视频监控联网共享应用</w:t>
      </w:r>
      <w:r>
        <w:rPr>
          <w:rFonts w:hint="eastAsia" w:ascii="仿宋" w:hAnsi="仿宋" w:eastAsia="仿宋"/>
          <w:color w:val="auto"/>
          <w:sz w:val="32"/>
          <w:szCs w:val="32"/>
        </w:rPr>
        <w:t>，完善网络化社会治安防控体系，加强社会治安综合治理。</w:t>
      </w:r>
      <w:r>
        <w:rPr>
          <w:rFonts w:hint="eastAsia" w:ascii="仿宋" w:hAnsi="仿宋" w:eastAsia="仿宋"/>
          <w:color w:val="auto"/>
          <w:sz w:val="32"/>
          <w:szCs w:val="32"/>
          <w:lang w:eastAsia="zh-CN"/>
        </w:rPr>
        <w:t>积极推进</w:t>
      </w:r>
      <w:r>
        <w:rPr>
          <w:rFonts w:hint="eastAsia" w:ascii="仿宋" w:hAnsi="仿宋" w:eastAsia="仿宋"/>
          <w:color w:val="auto"/>
          <w:sz w:val="32"/>
          <w:szCs w:val="32"/>
        </w:rPr>
        <w:t>阳江海警局海陵工作站</w:t>
      </w:r>
      <w:r>
        <w:rPr>
          <w:rFonts w:hint="eastAsia" w:ascii="仿宋" w:hAnsi="仿宋" w:eastAsia="仿宋"/>
          <w:color w:val="auto"/>
          <w:sz w:val="32"/>
          <w:szCs w:val="32"/>
          <w:lang w:eastAsia="zh-CN"/>
        </w:rPr>
        <w:t>建设，加强与自然资源、环保、公安、海监等部门的协同配合，共同打击海陵岛周边海域违法犯罪活动，加强对海洋资源、海洋生态环境保护力度，维护辖区海域安全稳定。持续加大公安基础设施建设投入力度,加快推进阳江市公安局海陵分局业务大楼建设，确保业务大楼按时交付使用，实现海陵岛公安工作新跨越。</w:t>
      </w:r>
      <w:r>
        <w:rPr>
          <w:rFonts w:hint="eastAsia" w:ascii="仿宋" w:hAnsi="仿宋" w:eastAsia="仿宋"/>
          <w:color w:val="auto"/>
          <w:sz w:val="32"/>
          <w:szCs w:val="32"/>
        </w:rPr>
        <w:t>持续开展扫黑除恶专项斗争，健全完善扫黑除恶工作长效常治机制，严厉打击电信网络诈骗、“套路贷”等新型犯罪以及“黄赌毒”等突出违法犯罪，提高治安打防管控能力。实行群防群控，增强公共安全和社会治安保障能力。加强预防和化解社会矛盾，完善社会矛盾纠纷多元预防调处化解综合机制。依法规范信访制度，全面推进市县镇村四级信访服务中心基础设施标准化规范化建设，推进信访信息化智能化建设。</w:t>
      </w:r>
    </w:p>
    <w:p>
      <w:pPr>
        <w:widowControl/>
        <w:jc w:val="center"/>
        <w:rPr>
          <w:rFonts w:eastAsia="方正小标宋简体"/>
          <w:color w:val="auto"/>
        </w:rPr>
      </w:pPr>
      <w:bookmarkStart w:id="276" w:name="_Toc15335"/>
      <w:bookmarkStart w:id="277" w:name="_Toc59624897"/>
      <w:bookmarkStart w:id="278" w:name="_Toc7090"/>
      <w:r>
        <w:rPr>
          <w:rFonts w:hint="eastAsia" w:eastAsia="方正小标宋简体"/>
          <w:b/>
          <w:bCs/>
          <w:color w:val="auto"/>
          <w:kern w:val="0"/>
          <w:sz w:val="28"/>
          <w:szCs w:val="28"/>
        </w:rPr>
        <w:t xml:space="preserve">专栏 </w:t>
      </w:r>
      <w:r>
        <w:rPr>
          <w:rFonts w:eastAsia="方正小标宋简体"/>
          <w:b/>
          <w:bCs/>
          <w:color w:val="auto"/>
          <w:kern w:val="0"/>
          <w:sz w:val="28"/>
          <w:szCs w:val="28"/>
        </w:rPr>
        <w:t xml:space="preserve"> </w:t>
      </w:r>
      <w:r>
        <w:rPr>
          <w:rFonts w:hint="eastAsia" w:eastAsia="方正小标宋简体"/>
          <w:b/>
          <w:bCs/>
          <w:color w:val="auto"/>
          <w:kern w:val="0"/>
          <w:sz w:val="28"/>
          <w:szCs w:val="28"/>
        </w:rPr>
        <w:t>海陵岛维护社会稳定和安全重点项目</w:t>
      </w:r>
    </w:p>
    <w:p>
      <w:pPr>
        <w:pBdr>
          <w:top w:val="single" w:color="auto" w:sz="4" w:space="1"/>
          <w:left w:val="single" w:color="auto" w:sz="4" w:space="4"/>
          <w:bottom w:val="single" w:color="auto" w:sz="4" w:space="1"/>
          <w:right w:val="single" w:color="auto" w:sz="4" w:space="4"/>
        </w:pBdr>
        <w:spacing w:line="360" w:lineRule="auto"/>
        <w:rPr>
          <w:rFonts w:ascii="仿宋_GB2312" w:hAnsi="等线" w:eastAsia="仿宋"/>
          <w:b/>
          <w:bCs/>
          <w:color w:val="auto"/>
          <w:sz w:val="24"/>
          <w:szCs w:val="30"/>
        </w:rPr>
      </w:pPr>
      <w:r>
        <w:rPr>
          <w:rFonts w:hint="eastAsia" w:ascii="仿宋_GB2312" w:hAnsi="等线" w:eastAsia="仿宋"/>
          <w:b/>
          <w:bCs/>
          <w:color w:val="auto"/>
          <w:sz w:val="24"/>
          <w:szCs w:val="30"/>
        </w:rPr>
        <w:t>一、公安智慧新警务建设项目</w:t>
      </w:r>
    </w:p>
    <w:p>
      <w:pPr>
        <w:pBdr>
          <w:top w:val="single" w:color="auto" w:sz="4" w:space="1"/>
          <w:left w:val="single" w:color="auto" w:sz="4" w:space="4"/>
          <w:bottom w:val="single" w:color="auto" w:sz="4" w:space="1"/>
          <w:right w:val="single" w:color="auto" w:sz="4" w:space="4"/>
        </w:pBdr>
        <w:spacing w:line="360" w:lineRule="auto"/>
        <w:rPr>
          <w:rFonts w:ascii="仿宋_GB2312" w:hAnsi="等线" w:eastAsia="仿宋"/>
          <w:b/>
          <w:bCs/>
          <w:color w:val="auto"/>
          <w:sz w:val="24"/>
          <w:szCs w:val="30"/>
        </w:rPr>
      </w:pPr>
      <w:r>
        <w:rPr>
          <w:rFonts w:hint="eastAsia" w:ascii="仿宋_GB2312" w:hAnsi="等线" w:eastAsia="仿宋"/>
          <w:b/>
          <w:bCs/>
          <w:color w:val="auto"/>
          <w:sz w:val="24"/>
          <w:szCs w:val="30"/>
        </w:rPr>
        <w:t>1</w:t>
      </w:r>
      <w:r>
        <w:rPr>
          <w:rFonts w:ascii="仿宋_GB2312" w:hAnsi="等线" w:eastAsia="仿宋"/>
          <w:b/>
          <w:bCs/>
          <w:color w:val="auto"/>
          <w:sz w:val="24"/>
          <w:szCs w:val="30"/>
        </w:rPr>
        <w:t>.</w:t>
      </w:r>
      <w:r>
        <w:rPr>
          <w:rFonts w:hint="eastAsia" w:ascii="仿宋_GB2312" w:hAnsi="等线" w:eastAsia="仿宋"/>
          <w:b/>
          <w:bCs/>
          <w:color w:val="auto"/>
          <w:sz w:val="24"/>
          <w:szCs w:val="30"/>
        </w:rPr>
        <w:t xml:space="preserve"> 公安大数据建设。</w:t>
      </w:r>
      <w:r>
        <w:rPr>
          <w:rFonts w:hint="eastAsia" w:ascii="仿宋_GB2312" w:hAnsi="等线" w:eastAsia="仿宋"/>
          <w:color w:val="auto"/>
          <w:sz w:val="24"/>
          <w:szCs w:val="30"/>
        </w:rPr>
        <w:t>全面加强大数据工程、视频云工程、云网端工程和警务云工程等公安信息化基础设施建设，建立公安内部数据、政府部门数据、互联网数据、社会行业数据的共建共治共享机制，健全大数据采集、接入、治理、赋能机制体制，充分应用云计算、大数据、人工智能、5G等前沿技术，提升社会综合治理的现代化、精细化能力。</w:t>
      </w:r>
    </w:p>
    <w:p>
      <w:pPr>
        <w:pBdr>
          <w:top w:val="single" w:color="auto" w:sz="4" w:space="1"/>
          <w:left w:val="single" w:color="auto" w:sz="4" w:space="4"/>
          <w:bottom w:val="single" w:color="auto" w:sz="4" w:space="1"/>
          <w:right w:val="single" w:color="auto" w:sz="4" w:space="4"/>
        </w:pBdr>
        <w:spacing w:line="360" w:lineRule="auto"/>
        <w:rPr>
          <w:rFonts w:ascii="仿宋_GB2312" w:hAnsi="等线" w:eastAsia="仿宋"/>
          <w:color w:val="auto"/>
          <w:sz w:val="24"/>
          <w:szCs w:val="30"/>
        </w:rPr>
      </w:pPr>
      <w:r>
        <w:rPr>
          <w:rFonts w:hint="eastAsia" w:ascii="仿宋_GB2312" w:hAnsi="等线" w:eastAsia="仿宋"/>
          <w:b/>
          <w:bCs/>
          <w:color w:val="auto"/>
          <w:sz w:val="24"/>
          <w:szCs w:val="30"/>
        </w:rPr>
        <w:t>2.</w:t>
      </w:r>
      <w:r>
        <w:rPr>
          <w:rFonts w:hint="eastAsia"/>
          <w:color w:val="auto"/>
        </w:rPr>
        <w:t xml:space="preserve"> </w:t>
      </w:r>
      <w:r>
        <w:rPr>
          <w:rFonts w:hint="eastAsia" w:ascii="仿宋_GB2312" w:hAnsi="等线" w:eastAsia="仿宋"/>
          <w:b/>
          <w:bCs/>
          <w:color w:val="auto"/>
          <w:sz w:val="24"/>
          <w:szCs w:val="30"/>
        </w:rPr>
        <w:t>海陵区视频综合治理项目二期建设。</w:t>
      </w:r>
      <w:r>
        <w:rPr>
          <w:rFonts w:hint="eastAsia" w:ascii="仿宋_GB2312" w:hAnsi="等线" w:eastAsia="仿宋"/>
          <w:color w:val="auto"/>
          <w:sz w:val="24"/>
          <w:szCs w:val="30"/>
        </w:rPr>
        <w:t>进一步深化我区社会治安“智慧大防控”体系建设，增强社会治安打防管控能力，对旅游景区实行精细化管理，实现各景区出入口、渔港码头等重点部位的视频全监控，9片沙滩、2条步行街和部分马拉松路线等重要路段的视频和人脸识别系统全覆盖。</w:t>
      </w:r>
    </w:p>
    <w:p>
      <w:pPr>
        <w:pBdr>
          <w:top w:val="single" w:color="auto" w:sz="4" w:space="1"/>
          <w:left w:val="single" w:color="auto" w:sz="4" w:space="4"/>
          <w:bottom w:val="single" w:color="auto" w:sz="4" w:space="1"/>
          <w:right w:val="single" w:color="auto" w:sz="4" w:space="4"/>
        </w:pBdr>
        <w:spacing w:line="360" w:lineRule="auto"/>
        <w:rPr>
          <w:rFonts w:ascii="仿宋_GB2312" w:hAnsi="等线" w:eastAsia="仿宋"/>
          <w:b/>
          <w:bCs/>
          <w:color w:val="auto"/>
          <w:sz w:val="24"/>
          <w:szCs w:val="30"/>
        </w:rPr>
      </w:pPr>
      <w:r>
        <w:rPr>
          <w:rFonts w:hint="eastAsia" w:ascii="仿宋_GB2312" w:hAnsi="等线" w:eastAsia="仿宋"/>
          <w:b/>
          <w:bCs/>
          <w:color w:val="auto"/>
          <w:sz w:val="24"/>
          <w:szCs w:val="30"/>
        </w:rPr>
        <w:t>二、“雪亮工程”：</w:t>
      </w:r>
      <w:r>
        <w:rPr>
          <w:rFonts w:hint="eastAsia" w:ascii="仿宋_GB2312" w:hAnsi="等线" w:eastAsia="仿宋"/>
          <w:color w:val="auto"/>
          <w:sz w:val="24"/>
          <w:szCs w:val="30"/>
        </w:rPr>
        <w:t>强化视频、电子眼全覆盖建设，加强对渔港、车站码头等重点部位的实时监管覆盖，推动实现对入岛人员数据采集、抓拍分析、轨迹  跟踪的有效管控。</w:t>
      </w:r>
    </w:p>
    <w:p>
      <w:pPr>
        <w:pBdr>
          <w:top w:val="single" w:color="auto" w:sz="4" w:space="1"/>
          <w:left w:val="single" w:color="auto" w:sz="4" w:space="4"/>
          <w:bottom w:val="single" w:color="auto" w:sz="4" w:space="1"/>
          <w:right w:val="single" w:color="auto" w:sz="4" w:space="4"/>
        </w:pBdr>
        <w:spacing w:line="360" w:lineRule="auto"/>
        <w:rPr>
          <w:rFonts w:ascii="仿宋_GB2312" w:hAnsi="等线" w:eastAsia="仿宋"/>
          <w:b/>
          <w:bCs/>
          <w:color w:val="auto"/>
          <w:sz w:val="24"/>
          <w:szCs w:val="30"/>
        </w:rPr>
      </w:pPr>
      <w:r>
        <w:rPr>
          <w:rFonts w:hint="eastAsia" w:ascii="仿宋_GB2312" w:hAnsi="等线" w:eastAsia="仿宋"/>
          <w:b/>
          <w:bCs/>
          <w:color w:val="auto"/>
          <w:sz w:val="24"/>
          <w:szCs w:val="30"/>
        </w:rPr>
        <w:t>三、“平安细胞”工程：</w:t>
      </w:r>
      <w:r>
        <w:rPr>
          <w:rFonts w:hint="eastAsia" w:ascii="仿宋_GB2312" w:hAnsi="等线" w:eastAsia="仿宋"/>
          <w:color w:val="auto"/>
          <w:sz w:val="24"/>
          <w:szCs w:val="30"/>
        </w:rPr>
        <w:t>抓好平安旅游市场、平安农村、平安社区、平安医院、平安校园、平安企业等重点行业、重点领域的创建工作，确保全区重点行业、重点领域“平安细胞”创建覆盖率达到95%以上。</w:t>
      </w:r>
    </w:p>
    <w:p>
      <w:pPr>
        <w:pBdr>
          <w:top w:val="single" w:color="auto" w:sz="4" w:space="1"/>
          <w:left w:val="single" w:color="auto" w:sz="4" w:space="4"/>
          <w:bottom w:val="single" w:color="auto" w:sz="4" w:space="1"/>
          <w:right w:val="single" w:color="auto" w:sz="4" w:space="4"/>
        </w:pBdr>
        <w:spacing w:line="360" w:lineRule="auto"/>
        <w:rPr>
          <w:rFonts w:ascii="仿宋_GB2312" w:hAnsi="等线" w:eastAsia="仿宋"/>
          <w:b/>
          <w:bCs/>
          <w:color w:val="auto"/>
          <w:sz w:val="24"/>
          <w:szCs w:val="30"/>
        </w:rPr>
      </w:pPr>
      <w:r>
        <w:rPr>
          <w:rFonts w:hint="eastAsia" w:ascii="仿宋_GB2312" w:hAnsi="等线" w:eastAsia="仿宋"/>
          <w:b/>
          <w:bCs/>
          <w:color w:val="auto"/>
          <w:sz w:val="24"/>
          <w:szCs w:val="30"/>
        </w:rPr>
        <w:t>四、“中心+网格化+信息化”工程：</w:t>
      </w:r>
      <w:r>
        <w:rPr>
          <w:rFonts w:hint="eastAsia" w:ascii="仿宋_GB2312" w:hAnsi="等线" w:eastAsia="仿宋"/>
          <w:color w:val="auto"/>
          <w:sz w:val="24"/>
          <w:szCs w:val="30"/>
        </w:rPr>
        <w:t>推动综治中心服务管理资源向网格延伸，全面构建以“中心”为枢纽、网格为基本单元、综治维稳力量为主导、综治信息系统为支撑，覆盖城乡社区的工作体系，实现综治工作从被动应对向主动发现转变从坐等上门到走访巡查转变、从静态数字到动态实情转变、从专项行动到常态防控转变，打造“中心”的升级版。</w:t>
      </w:r>
    </w:p>
    <w:p>
      <w:pPr>
        <w:pBdr>
          <w:top w:val="single" w:color="auto" w:sz="4" w:space="1"/>
          <w:left w:val="single" w:color="auto" w:sz="4" w:space="4"/>
          <w:bottom w:val="single" w:color="auto" w:sz="4" w:space="1"/>
          <w:right w:val="single" w:color="auto" w:sz="4" w:space="4"/>
        </w:pBdr>
        <w:spacing w:line="360" w:lineRule="auto"/>
        <w:rPr>
          <w:color w:val="auto"/>
        </w:rPr>
      </w:pPr>
      <w:r>
        <w:rPr>
          <w:rFonts w:hint="eastAsia" w:ascii="仿宋_GB2312" w:hAnsi="等线" w:eastAsia="仿宋"/>
          <w:b/>
          <w:bCs/>
          <w:color w:val="auto"/>
          <w:sz w:val="24"/>
          <w:szCs w:val="30"/>
        </w:rPr>
        <w:t>五、公安基础设施建设工程：</w:t>
      </w:r>
      <w:r>
        <w:rPr>
          <w:rFonts w:hint="eastAsia" w:ascii="仿宋_GB2312" w:hAnsi="等线" w:eastAsia="仿宋"/>
          <w:b w:val="0"/>
          <w:bCs w:val="0"/>
          <w:color w:val="auto"/>
          <w:sz w:val="24"/>
          <w:szCs w:val="30"/>
        </w:rPr>
        <w:t>积极推进阳江海警局海陵工作站</w:t>
      </w:r>
      <w:r>
        <w:rPr>
          <w:rFonts w:hint="eastAsia" w:ascii="仿宋_GB2312" w:hAnsi="等线" w:eastAsia="仿宋"/>
          <w:b w:val="0"/>
          <w:bCs w:val="0"/>
          <w:color w:val="auto"/>
          <w:sz w:val="24"/>
          <w:szCs w:val="30"/>
          <w:lang w:eastAsia="zh-CN"/>
        </w:rPr>
        <w:t>、</w:t>
      </w:r>
      <w:r>
        <w:rPr>
          <w:rFonts w:hint="eastAsia" w:ascii="仿宋_GB2312" w:hAnsi="等线" w:eastAsia="仿宋"/>
          <w:b w:val="0"/>
          <w:bCs w:val="0"/>
          <w:color w:val="auto"/>
          <w:sz w:val="24"/>
          <w:szCs w:val="30"/>
        </w:rPr>
        <w:t>阳江市公安局海陵分局业务大楼建设</w:t>
      </w:r>
    </w:p>
    <w:p>
      <w:pPr>
        <w:adjustRightInd w:val="0"/>
        <w:snapToGrid w:val="0"/>
        <w:spacing w:line="600" w:lineRule="exact"/>
        <w:jc w:val="center"/>
        <w:outlineLvl w:val="0"/>
        <w:rPr>
          <w:rFonts w:ascii="方正小标宋简体" w:eastAsia="方正小标宋简体" w:cs="仿宋" w:hAnsiTheme="minorEastAsia"/>
          <w:color w:val="auto"/>
          <w:spacing w:val="-12"/>
          <w:sz w:val="32"/>
          <w:szCs w:val="32"/>
        </w:rPr>
      </w:pPr>
      <w:bookmarkStart w:id="279" w:name="_Toc24020"/>
      <w:r>
        <w:rPr>
          <w:rFonts w:hint="eastAsia" w:ascii="方正小标宋简体" w:eastAsia="方正小标宋简体" w:cs="仿宋" w:hAnsiTheme="minorEastAsia"/>
          <w:color w:val="auto"/>
          <w:spacing w:val="-12"/>
          <w:sz w:val="32"/>
          <w:szCs w:val="32"/>
        </w:rPr>
        <w:t>第十六章 完善规划实施保障机制</w:t>
      </w:r>
      <w:bookmarkEnd w:id="276"/>
      <w:bookmarkEnd w:id="277"/>
      <w:bookmarkEnd w:id="278"/>
      <w:bookmarkEnd w:id="279"/>
      <w:r>
        <w:rPr>
          <w:rFonts w:hint="eastAsia" w:ascii="方正小标宋简体" w:eastAsia="方正小标宋简体" w:cs="仿宋" w:hAnsiTheme="minorEastAsia"/>
          <w:color w:val="auto"/>
          <w:spacing w:val="-12"/>
          <w:sz w:val="32"/>
          <w:szCs w:val="32"/>
        </w:rPr>
        <w:t xml:space="preserve"> </w:t>
      </w:r>
    </w:p>
    <w:p>
      <w:pPr>
        <w:adjustRightInd w:val="0"/>
        <w:snapToGrid w:val="0"/>
        <w:spacing w:line="600" w:lineRule="exact"/>
        <w:ind w:firstLine="640" w:firstLineChars="200"/>
        <w:rPr>
          <w:rFonts w:ascii="仿宋" w:hAnsi="仿宋" w:eastAsia="仿宋"/>
          <w:color w:val="auto"/>
          <w:sz w:val="32"/>
          <w:szCs w:val="32"/>
        </w:rPr>
      </w:pPr>
      <w:bookmarkStart w:id="280" w:name="_Toc16433"/>
      <w:bookmarkStart w:id="281" w:name="_Toc28389"/>
      <w:r>
        <w:rPr>
          <w:rFonts w:hint="eastAsia" w:ascii="仿宋" w:hAnsi="仿宋" w:eastAsia="仿宋"/>
          <w:color w:val="auto"/>
          <w:sz w:val="32"/>
          <w:szCs w:val="32"/>
        </w:rPr>
        <w:t>坚持党的全面领导，加强规划衔接和实施保障，加强责任分解和任务落实，强化实施保障，加强监督考核，有效推动规划落地实施。</w:t>
      </w:r>
    </w:p>
    <w:p>
      <w:pPr>
        <w:adjustRightInd w:val="0"/>
        <w:snapToGrid w:val="0"/>
        <w:spacing w:line="600" w:lineRule="exact"/>
        <w:jc w:val="center"/>
        <w:outlineLvl w:val="1"/>
        <w:rPr>
          <w:rFonts w:ascii="黑体" w:hAnsi="黑体" w:eastAsia="黑体" w:cs="仿宋"/>
          <w:color w:val="auto"/>
          <w:sz w:val="32"/>
          <w:szCs w:val="32"/>
          <w:lang w:val="zh-CN"/>
        </w:rPr>
      </w:pPr>
      <w:bookmarkStart w:id="282" w:name="_Toc59624898"/>
      <w:bookmarkStart w:id="283" w:name="_Toc2214"/>
      <w:r>
        <w:rPr>
          <w:rFonts w:hint="eastAsia" w:ascii="黑体" w:hAnsi="黑体" w:eastAsia="黑体" w:cs="仿宋"/>
          <w:color w:val="auto"/>
          <w:sz w:val="32"/>
          <w:szCs w:val="32"/>
          <w:lang w:val="zh-CN"/>
        </w:rPr>
        <w:t>第一节 加强党的全面领导</w:t>
      </w:r>
      <w:bookmarkEnd w:id="280"/>
      <w:bookmarkEnd w:id="281"/>
      <w:bookmarkEnd w:id="282"/>
      <w:bookmarkEnd w:id="283"/>
    </w:p>
    <w:p>
      <w:pPr>
        <w:adjustRightInd w:val="0"/>
        <w:snapToGrid w:val="0"/>
        <w:spacing w:line="600" w:lineRule="exact"/>
        <w:ind w:firstLine="640" w:firstLineChars="200"/>
        <w:rPr>
          <w:rFonts w:ascii="仿宋" w:hAnsi="仿宋" w:eastAsia="仿宋"/>
          <w:color w:val="auto"/>
          <w:sz w:val="32"/>
          <w:szCs w:val="32"/>
        </w:rPr>
      </w:pPr>
      <w:bookmarkStart w:id="284" w:name="_Toc4064"/>
      <w:bookmarkStart w:id="285" w:name="_Toc300"/>
      <w:r>
        <w:rPr>
          <w:rFonts w:hint="eastAsia" w:ascii="仿宋" w:hAnsi="仿宋" w:eastAsia="仿宋"/>
          <w:color w:val="auto"/>
          <w:sz w:val="32"/>
          <w:szCs w:val="32"/>
        </w:rPr>
        <w:t>以习近平新时代中国特色社会主义思想为指导，坚持党总揽全局、协调各方，充分发挥各级党委（党组）的领导核心作用，为“十四五”规划编制实施提供坚强保证。加强组织领导，成立海陵岛“十四五”规划编制工作领导小组，建立各级党委（党组）统一领导、部门分工协作的规划实施机制，加强多级联动、部门协同，共同推动“十四五”规划编制实施。</w:t>
      </w:r>
    </w:p>
    <w:p>
      <w:pPr>
        <w:adjustRightInd w:val="0"/>
        <w:snapToGrid w:val="0"/>
        <w:spacing w:line="600" w:lineRule="exact"/>
        <w:jc w:val="center"/>
        <w:outlineLvl w:val="1"/>
        <w:rPr>
          <w:rFonts w:ascii="黑体" w:hAnsi="黑体" w:eastAsia="黑体" w:cs="仿宋"/>
          <w:color w:val="auto"/>
          <w:sz w:val="32"/>
          <w:szCs w:val="32"/>
          <w:lang w:val="zh-CN"/>
        </w:rPr>
      </w:pPr>
      <w:bookmarkStart w:id="286" w:name="_Toc59624899"/>
      <w:bookmarkStart w:id="287" w:name="_Toc7779"/>
      <w:r>
        <w:rPr>
          <w:rFonts w:hint="eastAsia" w:ascii="黑体" w:hAnsi="黑体" w:eastAsia="黑体" w:cs="仿宋"/>
          <w:color w:val="auto"/>
          <w:sz w:val="32"/>
          <w:szCs w:val="32"/>
          <w:lang w:val="zh-CN"/>
        </w:rPr>
        <w:t xml:space="preserve">第二节 </w:t>
      </w:r>
      <w:bookmarkEnd w:id="284"/>
      <w:bookmarkEnd w:id="285"/>
      <w:bookmarkEnd w:id="286"/>
      <w:r>
        <w:rPr>
          <w:rFonts w:hint="eastAsia" w:ascii="黑体" w:hAnsi="黑体" w:eastAsia="黑体" w:cs="仿宋"/>
          <w:color w:val="auto"/>
          <w:sz w:val="32"/>
          <w:szCs w:val="32"/>
          <w:lang w:val="zh-CN"/>
        </w:rPr>
        <w:t>加强规划衔接</w:t>
      </w:r>
      <w:bookmarkEnd w:id="287"/>
    </w:p>
    <w:p>
      <w:pPr>
        <w:adjustRightInd w:val="0"/>
        <w:snapToGrid w:val="0"/>
        <w:spacing w:line="600" w:lineRule="exact"/>
        <w:ind w:firstLine="640" w:firstLineChars="200"/>
        <w:rPr>
          <w:rFonts w:ascii="仿宋" w:hAnsi="仿宋" w:eastAsia="仿宋"/>
          <w:color w:val="auto"/>
          <w:sz w:val="32"/>
          <w:szCs w:val="32"/>
        </w:rPr>
      </w:pPr>
      <w:bookmarkStart w:id="288" w:name="_Toc23079"/>
      <w:bookmarkStart w:id="289" w:name="_Toc14875"/>
      <w:bookmarkStart w:id="290" w:name="_Toc59624900"/>
      <w:r>
        <w:rPr>
          <w:rFonts w:hint="eastAsia" w:ascii="仿宋" w:hAnsi="仿宋" w:eastAsia="仿宋"/>
          <w:color w:val="auto"/>
          <w:sz w:val="32"/>
          <w:szCs w:val="32"/>
        </w:rPr>
        <w:t>强化规划衔接协调机制，确保各专项规划与十四五规划保持一致，确保各类规划的重要目标指标及工程、项目、政策相互衔接，形成以发展规划为统领、以空间规划为基础、以专项规划和区域规划为支撑，定位准确、边界清晰、功能互补、统一衔接的规划体系。</w:t>
      </w:r>
    </w:p>
    <w:p>
      <w:pPr>
        <w:adjustRightInd w:val="0"/>
        <w:snapToGrid w:val="0"/>
        <w:spacing w:line="600" w:lineRule="exact"/>
        <w:jc w:val="center"/>
        <w:outlineLvl w:val="1"/>
        <w:rPr>
          <w:rFonts w:ascii="黑体" w:hAnsi="黑体" w:eastAsia="黑体" w:cs="仿宋"/>
          <w:color w:val="auto"/>
          <w:sz w:val="32"/>
          <w:szCs w:val="32"/>
          <w:lang w:val="zh-CN"/>
        </w:rPr>
      </w:pPr>
      <w:bookmarkStart w:id="291" w:name="_Toc17920"/>
      <w:r>
        <w:rPr>
          <w:rFonts w:hint="eastAsia" w:ascii="黑体" w:hAnsi="黑体" w:eastAsia="黑体" w:cs="仿宋"/>
          <w:color w:val="auto"/>
          <w:sz w:val="32"/>
          <w:szCs w:val="32"/>
          <w:lang w:val="zh-CN"/>
        </w:rPr>
        <w:t>第三节 加强责任分解和任务落实</w:t>
      </w:r>
      <w:bookmarkEnd w:id="291"/>
    </w:p>
    <w:p>
      <w:pPr>
        <w:adjustRightInd w:val="0"/>
        <w:snapToGrid w:val="0"/>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制定实施行动计划，将规划确定的发展目标、重点任务和重大项目分解到年度，纳入经济社会发展年度计划、年度重点项目计划。将规划各项任务重大任务分解落实到各级政府和部门，明确责任主体，细化任务分工。组织协调各有关部门按照职能分工，确保规划目标任务有方案、按计划、分步骤有效得到落实。加强专项规划、区域规划与总体规划的衔接，确保空间配置和时序安排协调一致。</w:t>
      </w:r>
    </w:p>
    <w:bookmarkEnd w:id="288"/>
    <w:bookmarkEnd w:id="289"/>
    <w:bookmarkEnd w:id="290"/>
    <w:p>
      <w:pPr>
        <w:adjustRightInd w:val="0"/>
        <w:snapToGrid w:val="0"/>
        <w:spacing w:line="600" w:lineRule="exact"/>
        <w:jc w:val="center"/>
        <w:outlineLvl w:val="1"/>
        <w:rPr>
          <w:rFonts w:ascii="黑体" w:hAnsi="黑体" w:eastAsia="黑体" w:cs="仿宋"/>
          <w:color w:val="auto"/>
          <w:sz w:val="32"/>
          <w:szCs w:val="32"/>
          <w:lang w:val="zh-CN"/>
        </w:rPr>
      </w:pPr>
      <w:bookmarkStart w:id="292" w:name="_Toc59624901"/>
      <w:bookmarkStart w:id="293" w:name="_Toc21086"/>
      <w:r>
        <w:rPr>
          <w:rFonts w:hint="eastAsia" w:ascii="黑体" w:hAnsi="黑体" w:eastAsia="黑体" w:cs="仿宋"/>
          <w:color w:val="auto"/>
          <w:sz w:val="32"/>
          <w:szCs w:val="32"/>
          <w:lang w:val="zh-CN"/>
        </w:rPr>
        <w:t xml:space="preserve">第四节 </w:t>
      </w:r>
      <w:bookmarkEnd w:id="292"/>
      <w:bookmarkStart w:id="294" w:name="_Hlk60149617"/>
      <w:r>
        <w:rPr>
          <w:rFonts w:hint="eastAsia" w:ascii="黑体" w:hAnsi="黑体" w:eastAsia="黑体" w:cs="仿宋"/>
          <w:color w:val="auto"/>
          <w:sz w:val="32"/>
          <w:szCs w:val="32"/>
          <w:lang w:val="zh-CN"/>
        </w:rPr>
        <w:t>强化实施保障</w:t>
      </w:r>
      <w:bookmarkEnd w:id="293"/>
      <w:bookmarkEnd w:id="294"/>
    </w:p>
    <w:p>
      <w:pPr>
        <w:adjustRightInd w:val="0"/>
        <w:snapToGrid w:val="0"/>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按目标任务研究制定财税、金融、投资、产业、土地、人口、环保等相关配套政策，合理配置公共资源，有效引导社会资源，支持规划有效实施。加强要素保障。对接规划实施需求，财政预算根据目标任务和财力情况合理安排支出，积极保障能源、水、土地、资金、和人力资源等要素需求。加强项目保障。围绕规划目标任务、重点区域和与产业布局，研究谋划一批促进经济社会发展、生态环境保护、民生福利保障、城乡区域协调等重大工程项目，健全重点项目储备库，强化项目建设全过程管理，提高项目建设的协调服务水平。</w:t>
      </w:r>
    </w:p>
    <w:p>
      <w:pPr>
        <w:adjustRightInd w:val="0"/>
        <w:snapToGrid w:val="0"/>
        <w:spacing w:line="600" w:lineRule="exact"/>
        <w:jc w:val="center"/>
        <w:outlineLvl w:val="1"/>
        <w:rPr>
          <w:rFonts w:ascii="黑体" w:hAnsi="黑体" w:eastAsia="黑体" w:cs="仿宋"/>
          <w:color w:val="auto"/>
          <w:sz w:val="32"/>
          <w:szCs w:val="32"/>
          <w:lang w:val="zh-CN"/>
        </w:rPr>
      </w:pPr>
      <w:bookmarkStart w:id="295" w:name="_Toc10901"/>
      <w:r>
        <w:rPr>
          <w:rFonts w:hint="eastAsia" w:ascii="黑体" w:hAnsi="黑体" w:eastAsia="黑体" w:cs="仿宋"/>
          <w:color w:val="auto"/>
          <w:sz w:val="32"/>
          <w:szCs w:val="32"/>
          <w:lang w:val="zh-CN"/>
        </w:rPr>
        <w:t xml:space="preserve">第五节 </w:t>
      </w:r>
      <w:bookmarkStart w:id="296" w:name="_Hlk60149633"/>
      <w:r>
        <w:rPr>
          <w:rFonts w:hint="eastAsia" w:ascii="黑体" w:hAnsi="黑体" w:eastAsia="黑体" w:cs="仿宋"/>
          <w:color w:val="auto"/>
          <w:sz w:val="32"/>
          <w:szCs w:val="32"/>
          <w:lang w:val="zh-CN"/>
        </w:rPr>
        <w:t>加强监督考核</w:t>
      </w:r>
      <w:bookmarkEnd w:id="295"/>
      <w:bookmarkEnd w:id="296"/>
    </w:p>
    <w:p>
      <w:pPr>
        <w:adjustRightInd w:val="0"/>
        <w:snapToGrid w:val="0"/>
        <w:spacing w:line="6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将规划确定的约束指标纳入各级政府、各部门综合评价考核体系，强化目标考核和结果运用，落实目标责任制。切实加强评估检查，完善规划年度监督检查和中期评估制度，认真组织开展规划实施情况中期评估，依据评估结果及时调整完善规划，做好重大问题跟进研究和政策储备，确保规划目标任务顺利实现。完善规划实施的公共参与和民主监督机制，推进规划实施相关信息公开，广泛调动公众参与监督。</w:t>
      </w:r>
    </w:p>
    <w:p>
      <w:pPr>
        <w:pStyle w:val="17"/>
        <w:rPr>
          <w:rFonts w:hint="eastAsia" w:ascii="仿宋" w:hAnsi="仿宋" w:eastAsia="仿宋"/>
          <w:color w:val="auto"/>
          <w:sz w:val="32"/>
          <w:szCs w:val="32"/>
        </w:rPr>
      </w:pPr>
    </w:p>
    <w:p>
      <w:pPr>
        <w:rPr>
          <w:rFonts w:hint="eastAsia" w:ascii="仿宋" w:hAnsi="仿宋" w:eastAsia="仿宋"/>
          <w:color w:val="auto"/>
          <w:sz w:val="32"/>
          <w:szCs w:val="32"/>
        </w:rPr>
      </w:pPr>
    </w:p>
    <w:p>
      <w:pPr>
        <w:rPr>
          <w:rFonts w:ascii="Times New Roman" w:hAnsi="Times New Roman"/>
          <w:color w:val="auto"/>
        </w:rPr>
      </w:pPr>
    </w:p>
    <w:p>
      <w:pPr>
        <w:pStyle w:val="2"/>
        <w:rPr>
          <w:rFonts w:ascii="Times New Roman" w:hAnsi="Times New Roman"/>
          <w:color w:val="auto"/>
        </w:rPr>
      </w:pPr>
    </w:p>
    <w:p>
      <w:pPr>
        <w:rPr>
          <w:rFonts w:ascii="Times New Roman" w:hAnsi="Times New Roman"/>
          <w:color w:val="auto"/>
        </w:rPr>
      </w:pPr>
    </w:p>
    <w:p>
      <w:pPr>
        <w:pStyle w:val="2"/>
        <w:rPr>
          <w:rFonts w:ascii="Times New Roman" w:hAnsi="Times New Roman"/>
          <w:color w:val="auto"/>
        </w:rPr>
      </w:pPr>
    </w:p>
    <w:p>
      <w:pPr>
        <w:rPr>
          <w:rFonts w:ascii="Times New Roman" w:hAnsi="Times New Roman"/>
          <w:color w:val="auto"/>
        </w:rPr>
      </w:pPr>
    </w:p>
    <w:p>
      <w:pPr>
        <w:pStyle w:val="2"/>
        <w:rPr>
          <w:rFonts w:ascii="Times New Roman" w:hAnsi="Times New Roman"/>
          <w:color w:val="auto"/>
        </w:rPr>
      </w:pPr>
    </w:p>
    <w:p>
      <w:pPr>
        <w:rPr>
          <w:rFonts w:ascii="Times New Roman" w:hAnsi="Times New Roman"/>
          <w:color w:val="auto"/>
        </w:rPr>
      </w:pPr>
    </w:p>
    <w:p>
      <w:pPr>
        <w:pStyle w:val="2"/>
        <w:rPr>
          <w:rFonts w:ascii="Times New Roman" w:hAnsi="Times New Roman"/>
          <w:color w:val="auto"/>
        </w:rPr>
      </w:pPr>
    </w:p>
    <w:p>
      <w:pPr>
        <w:rPr>
          <w:rFonts w:ascii="Times New Roman" w:hAnsi="Times New Roman"/>
          <w:color w:val="auto"/>
        </w:rPr>
      </w:pPr>
    </w:p>
    <w:p>
      <w:pPr>
        <w:pStyle w:val="2"/>
        <w:rPr>
          <w:rFonts w:ascii="Times New Roman" w:hAnsi="Times New Roman"/>
          <w:color w:val="auto"/>
        </w:rPr>
      </w:pPr>
    </w:p>
    <w:p>
      <w:pPr>
        <w:rPr>
          <w:rFonts w:ascii="Times New Roman" w:hAnsi="Times New Roman"/>
          <w:color w:val="auto"/>
        </w:rPr>
      </w:pPr>
    </w:p>
    <w:p>
      <w:pPr>
        <w:pStyle w:val="2"/>
        <w:rPr>
          <w:rFonts w:ascii="Times New Roman" w:hAnsi="Times New Roman"/>
          <w:color w:val="auto"/>
        </w:rPr>
      </w:pPr>
    </w:p>
    <w:p>
      <w:pPr>
        <w:rPr>
          <w:rFonts w:ascii="Times New Roman" w:hAnsi="Times New Roman"/>
          <w:color w:val="auto"/>
        </w:rPr>
      </w:pPr>
    </w:p>
    <w:p>
      <w:pPr>
        <w:pStyle w:val="2"/>
        <w:rPr>
          <w:rFonts w:ascii="Times New Roman" w:hAnsi="Times New Roman"/>
          <w:color w:val="auto"/>
        </w:rPr>
      </w:pPr>
    </w:p>
    <w:p>
      <w:pPr>
        <w:rPr>
          <w:rFonts w:ascii="Times New Roman" w:hAnsi="Times New Roman"/>
          <w:color w:val="auto"/>
        </w:rPr>
      </w:pPr>
    </w:p>
    <w:p>
      <w:pPr>
        <w:pStyle w:val="2"/>
        <w:rPr>
          <w:rFonts w:ascii="Times New Roman" w:hAnsi="Times New Roman"/>
          <w:color w:val="auto"/>
        </w:rPr>
      </w:pPr>
    </w:p>
    <w:p>
      <w:pPr>
        <w:rPr>
          <w:rFonts w:ascii="Times New Roman" w:hAnsi="Times New Roman"/>
          <w:color w:val="auto"/>
        </w:rPr>
      </w:pPr>
    </w:p>
    <w:p>
      <w:pPr>
        <w:pStyle w:val="2"/>
        <w:rPr>
          <w:rFonts w:ascii="Times New Roman" w:hAnsi="Times New Roman"/>
          <w:color w:val="auto"/>
        </w:rPr>
      </w:pPr>
    </w:p>
    <w:p>
      <w:pPr>
        <w:rPr>
          <w:rFonts w:ascii="Times New Roman" w:hAnsi="Times New Roman"/>
          <w:color w:val="auto"/>
        </w:rPr>
      </w:pPr>
    </w:p>
    <w:p>
      <w:pPr>
        <w:pStyle w:val="2"/>
        <w:rPr>
          <w:rFonts w:ascii="Times New Roman" w:hAnsi="Times New Roman"/>
          <w:color w:val="auto"/>
        </w:rPr>
      </w:pPr>
    </w:p>
    <w:p>
      <w:pPr>
        <w:rPr>
          <w:rFonts w:ascii="Times New Roman" w:hAnsi="Times New Roman"/>
          <w:color w:val="auto"/>
        </w:rPr>
      </w:pPr>
    </w:p>
    <w:p>
      <w:pPr>
        <w:pStyle w:val="2"/>
        <w:rPr>
          <w:rFonts w:ascii="Times New Roman" w:hAnsi="Times New Roman"/>
          <w:color w:val="auto"/>
        </w:rPr>
      </w:pPr>
    </w:p>
    <w:p>
      <w:pPr>
        <w:rPr>
          <w:rFonts w:ascii="Times New Roman" w:hAnsi="Times New Roman"/>
          <w:color w:val="auto"/>
        </w:rPr>
      </w:pPr>
    </w:p>
    <w:p>
      <w:pPr>
        <w:pStyle w:val="2"/>
        <w:rPr>
          <w:rFonts w:ascii="Times New Roman" w:hAnsi="Times New Roman"/>
          <w:color w:val="auto"/>
        </w:rPr>
      </w:pPr>
    </w:p>
    <w:p/>
    <w:p>
      <w:pPr>
        <w:rPr>
          <w:rFonts w:ascii="Times New Roman" w:hAnsi="Times New Roman"/>
          <w:color w:val="auto"/>
        </w:rPr>
      </w:pPr>
    </w:p>
    <w:p>
      <w:pPr>
        <w:pStyle w:val="2"/>
        <w:rPr>
          <w:rFonts w:ascii="Times New Roman" w:hAnsi="Times New Roman"/>
          <w:color w:val="auto"/>
        </w:rPr>
      </w:pPr>
    </w:p>
    <w:p/>
    <w:p>
      <w:pPr>
        <w:rPr>
          <w:rFonts w:ascii="Times New Roman" w:hAnsi="Times New Roman"/>
          <w:color w:val="auto"/>
        </w:rPr>
      </w:pPr>
    </w:p>
    <w:p>
      <w:pPr>
        <w:pStyle w:val="2"/>
        <w:rPr>
          <w:rFonts w:ascii="Times New Roman" w:hAnsi="Times New Roman"/>
          <w:color w:val="auto"/>
        </w:rPr>
      </w:pPr>
    </w:p>
    <w:p>
      <w:pPr>
        <w:pStyle w:val="2"/>
        <w:ind w:left="0" w:leftChars="0" w:firstLine="0" w:firstLineChars="0"/>
        <w:sectPr>
          <w:footerReference r:id="rId3" w:type="default"/>
          <w:pgSz w:w="11906" w:h="16838"/>
          <w:pgMar w:top="1440" w:right="1800" w:bottom="1440" w:left="1800" w:header="851" w:footer="992" w:gutter="0"/>
          <w:pgNumType w:start="1"/>
          <w:cols w:space="720" w:num="1"/>
          <w:docGrid w:type="lines" w:linePitch="312" w:charSpace="0"/>
        </w:sectPr>
      </w:pPr>
    </w:p>
    <w:p>
      <w:pPr>
        <w:adjustRightInd w:val="0"/>
        <w:snapToGrid w:val="0"/>
        <w:spacing w:line="600" w:lineRule="exact"/>
        <w:jc w:val="center"/>
        <w:outlineLvl w:val="0"/>
        <w:rPr>
          <w:rFonts w:hint="eastAsia" w:ascii="方正小标宋简体" w:eastAsia="方正小标宋简体" w:cs="仿宋" w:hAnsiTheme="minorEastAsia"/>
          <w:color w:val="auto"/>
          <w:spacing w:val="-12"/>
          <w:sz w:val="32"/>
          <w:szCs w:val="32"/>
          <w:lang w:val="en-US" w:eastAsia="zh-CN"/>
        </w:rPr>
      </w:pPr>
      <w:bookmarkStart w:id="297" w:name="_Toc10261"/>
      <w:bookmarkStart w:id="298" w:name="_Toc21806"/>
      <w:bookmarkStart w:id="299" w:name="_Toc439701734"/>
      <w:r>
        <w:rPr>
          <w:rFonts w:hint="eastAsia" w:ascii="方正小标宋简体" w:eastAsia="方正小标宋简体" w:cs="仿宋" w:hAnsiTheme="minorEastAsia"/>
          <w:color w:val="auto"/>
          <w:spacing w:val="-12"/>
          <w:sz w:val="32"/>
          <w:szCs w:val="32"/>
        </w:rPr>
        <w:t>附件</w:t>
      </w:r>
      <w:bookmarkEnd w:id="297"/>
      <w:r>
        <w:rPr>
          <w:rFonts w:hint="eastAsia" w:ascii="方正小标宋简体" w:eastAsia="方正小标宋简体" w:cs="仿宋" w:hAnsiTheme="minorEastAsia"/>
          <w:color w:val="auto"/>
          <w:spacing w:val="-12"/>
          <w:sz w:val="32"/>
          <w:szCs w:val="32"/>
          <w:lang w:val="en-US" w:eastAsia="zh-CN"/>
        </w:rPr>
        <w:t>：海陵试验区“十四五”规划重大建设项目汇总表</w:t>
      </w:r>
      <w:bookmarkEnd w:id="298"/>
    </w:p>
    <w:p>
      <w:pPr>
        <w:pStyle w:val="39"/>
        <w:jc w:val="right"/>
        <w:outlineLvl w:val="9"/>
        <w:rPr>
          <w:rFonts w:hint="eastAsia" w:ascii="Times New Roman" w:hAnsi="Times New Roman" w:eastAsia="黑体" w:cs="黑体"/>
          <w:color w:val="000000"/>
        </w:rPr>
      </w:pPr>
    </w:p>
    <w:p>
      <w:pPr>
        <w:pStyle w:val="39"/>
        <w:jc w:val="right"/>
        <w:outlineLvl w:val="9"/>
        <w:rPr>
          <w:rFonts w:hint="eastAsia" w:ascii="Times New Roman" w:hAnsi="Times New Roman" w:eastAsia="黑体" w:cs="黑体"/>
          <w:color w:val="000000"/>
        </w:rPr>
      </w:pPr>
      <w:r>
        <w:rPr>
          <w:rFonts w:hint="eastAsia" w:ascii="Times New Roman" w:hAnsi="Times New Roman" w:eastAsia="黑体" w:cs="黑体"/>
          <w:color w:val="000000"/>
        </w:rPr>
        <w:t>投资单位：万元</w:t>
      </w:r>
    </w:p>
    <w:bookmarkEnd w:id="299"/>
    <w:tbl>
      <w:tblPr>
        <w:tblStyle w:val="18"/>
        <w:tblW w:w="140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1"/>
        <w:gridCol w:w="2267"/>
        <w:gridCol w:w="1091"/>
        <w:gridCol w:w="4002"/>
        <w:gridCol w:w="1357"/>
        <w:gridCol w:w="1282"/>
        <w:gridCol w:w="1677"/>
        <w:gridCol w:w="1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8" w:hRule="atLeast"/>
          <w:tblHeader/>
          <w:jc w:val="center"/>
        </w:trPr>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黑体" w:cs="黑体"/>
                <w:b w:val="0"/>
                <w:bCs/>
                <w:color w:val="000000"/>
                <w:sz w:val="20"/>
                <w:szCs w:val="20"/>
              </w:rPr>
            </w:pPr>
            <w:r>
              <w:rPr>
                <w:rStyle w:val="40"/>
                <w:rFonts w:hint="eastAsia" w:ascii="Times New Roman" w:hAnsi="Times New Roman" w:eastAsia="黑体" w:cs="黑体"/>
                <w:b w:val="0"/>
                <w:bCs/>
                <w:color w:val="auto"/>
                <w:sz w:val="20"/>
                <w:szCs w:val="20"/>
              </w:rPr>
              <w:t>序号</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黑体" w:cs="黑体"/>
                <w:b w:val="0"/>
                <w:bCs/>
                <w:color w:val="000000"/>
                <w:sz w:val="20"/>
                <w:szCs w:val="20"/>
              </w:rPr>
            </w:pPr>
            <w:r>
              <w:rPr>
                <w:rStyle w:val="40"/>
                <w:rFonts w:hint="eastAsia" w:ascii="Times New Roman" w:hAnsi="Times New Roman" w:eastAsia="黑体" w:cs="黑体"/>
                <w:b w:val="0"/>
                <w:bCs/>
                <w:color w:val="auto"/>
                <w:sz w:val="20"/>
                <w:szCs w:val="20"/>
              </w:rPr>
              <w:t>项目名称</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黑体" w:cs="黑体"/>
                <w:b w:val="0"/>
                <w:bCs/>
                <w:color w:val="000000"/>
                <w:sz w:val="20"/>
                <w:szCs w:val="20"/>
              </w:rPr>
            </w:pPr>
            <w:r>
              <w:rPr>
                <w:rStyle w:val="40"/>
                <w:rFonts w:hint="eastAsia" w:ascii="Times New Roman" w:hAnsi="Times New Roman" w:eastAsia="黑体" w:cs="黑体"/>
                <w:b w:val="0"/>
                <w:bCs/>
                <w:color w:val="auto"/>
                <w:sz w:val="20"/>
                <w:szCs w:val="20"/>
              </w:rPr>
              <w:t>建设阶段</w:t>
            </w:r>
          </w:p>
        </w:tc>
        <w:tc>
          <w:tcPr>
            <w:tcW w:w="40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黑体" w:cs="黑体"/>
                <w:b w:val="0"/>
                <w:bCs/>
                <w:color w:val="000000"/>
                <w:sz w:val="20"/>
                <w:szCs w:val="20"/>
              </w:rPr>
            </w:pPr>
            <w:r>
              <w:rPr>
                <w:rStyle w:val="40"/>
                <w:rFonts w:hint="eastAsia" w:ascii="Times New Roman" w:hAnsi="Times New Roman" w:eastAsia="黑体" w:cs="黑体"/>
                <w:b w:val="0"/>
                <w:bCs/>
                <w:color w:val="auto"/>
                <w:sz w:val="20"/>
                <w:szCs w:val="20"/>
              </w:rPr>
              <w:t>建设内容及规模</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黑体" w:cs="黑体"/>
                <w:b w:val="0"/>
                <w:bCs/>
                <w:color w:val="000000"/>
                <w:sz w:val="20"/>
                <w:szCs w:val="20"/>
              </w:rPr>
            </w:pPr>
            <w:r>
              <w:rPr>
                <w:rFonts w:hint="eastAsia" w:ascii="Times New Roman" w:hAnsi="Times New Roman" w:eastAsia="黑体" w:cs="黑体"/>
                <w:b w:val="0"/>
                <w:bCs/>
                <w:color w:val="auto"/>
                <w:kern w:val="0"/>
                <w:sz w:val="20"/>
                <w:szCs w:val="20"/>
              </w:rPr>
              <w:t>建设起止年限</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黑体" w:cs="黑体"/>
                <w:b w:val="0"/>
                <w:bCs/>
                <w:color w:val="000000"/>
                <w:sz w:val="20"/>
                <w:szCs w:val="20"/>
              </w:rPr>
            </w:pPr>
            <w:r>
              <w:rPr>
                <w:rStyle w:val="40"/>
                <w:rFonts w:hint="eastAsia" w:ascii="Times New Roman" w:hAnsi="Times New Roman" w:eastAsia="黑体" w:cs="黑体"/>
                <w:b w:val="0"/>
                <w:bCs/>
                <w:color w:val="auto"/>
                <w:sz w:val="20"/>
                <w:szCs w:val="20"/>
              </w:rPr>
              <w:t>总投资</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黑体" w:cs="黑体"/>
                <w:b w:val="0"/>
                <w:bCs/>
                <w:color w:val="000000"/>
                <w:sz w:val="20"/>
                <w:szCs w:val="20"/>
              </w:rPr>
            </w:pPr>
            <w:r>
              <w:rPr>
                <w:rFonts w:hint="eastAsia" w:ascii="Times New Roman" w:hAnsi="Times New Roman" w:eastAsia="黑体" w:cs="黑体"/>
                <w:b w:val="0"/>
                <w:bCs/>
                <w:color w:val="auto"/>
                <w:kern w:val="0"/>
                <w:sz w:val="20"/>
                <w:szCs w:val="20"/>
              </w:rPr>
              <w:t>预计到2020年底累计完成投资</w:t>
            </w: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黑体" w:cs="黑体"/>
                <w:b w:val="0"/>
                <w:bCs/>
                <w:color w:val="000000"/>
                <w:kern w:val="0"/>
                <w:sz w:val="20"/>
                <w:szCs w:val="20"/>
              </w:rPr>
            </w:pPr>
            <w:r>
              <w:rPr>
                <w:rFonts w:hint="eastAsia" w:ascii="Times New Roman" w:hAnsi="Times New Roman" w:eastAsia="黑体" w:cs="黑体"/>
                <w:b w:val="0"/>
                <w:bCs/>
                <w:color w:val="auto"/>
                <w:kern w:val="0"/>
                <w:sz w:val="20"/>
                <w:szCs w:val="20"/>
              </w:rPr>
              <w:t>“十四五”期间投资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b/>
                <w:color w:val="000000"/>
                <w:sz w:val="20"/>
                <w:szCs w:val="20"/>
              </w:rPr>
            </w:pP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b w:val="0"/>
                <w:color w:val="000000"/>
                <w:sz w:val="20"/>
                <w:szCs w:val="20"/>
              </w:rPr>
            </w:pPr>
            <w:r>
              <w:rPr>
                <w:rFonts w:hint="eastAsia" w:ascii="Times New Roman" w:hAnsi="Times New Roman" w:cs="宋体"/>
                <w:b/>
                <w:bCs/>
                <w:color w:val="000000"/>
                <w:kern w:val="0"/>
                <w:sz w:val="20"/>
                <w:szCs w:val="20"/>
                <w:lang w:val="en-US" w:eastAsia="zh-CN"/>
              </w:rPr>
              <w:t>总计（47项）</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p>
        </w:tc>
        <w:tc>
          <w:tcPr>
            <w:tcW w:w="40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b/>
                <w:color w:val="000000"/>
                <w:sz w:val="20"/>
                <w:szCs w:val="20"/>
              </w:rPr>
            </w:pP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b/>
                <w:color w:val="000000"/>
                <w:sz w:val="20"/>
                <w:szCs w:val="20"/>
              </w:rPr>
            </w:pPr>
            <w:r>
              <w:rPr>
                <w:rFonts w:hint="eastAsia" w:ascii="Times New Roman" w:hAnsi="Times New Roman" w:cs="宋体"/>
                <w:b/>
                <w:bCs/>
                <w:color w:val="000000"/>
                <w:kern w:val="0"/>
                <w:sz w:val="20"/>
                <w:szCs w:val="20"/>
                <w:lang w:val="en-US" w:eastAsia="zh-CN"/>
              </w:rPr>
              <w:t>6942122</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b/>
                <w:color w:val="000000"/>
                <w:sz w:val="20"/>
                <w:szCs w:val="20"/>
              </w:rPr>
            </w:pPr>
            <w:r>
              <w:rPr>
                <w:rFonts w:hint="default" w:ascii="Times New Roman" w:hAnsi="Times New Roman" w:cs="宋体"/>
                <w:b/>
                <w:bCs/>
                <w:color w:val="000000"/>
                <w:kern w:val="0"/>
                <w:sz w:val="20"/>
                <w:szCs w:val="20"/>
                <w:lang w:val="en-US" w:eastAsia="zh-CN"/>
              </w:rPr>
              <w:t>1741540</w:t>
            </w: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cs="宋体"/>
                <w:b/>
                <w:color w:val="000000"/>
                <w:kern w:val="0"/>
                <w:sz w:val="20"/>
                <w:szCs w:val="20"/>
              </w:rPr>
            </w:pPr>
            <w:r>
              <w:rPr>
                <w:rFonts w:hint="eastAsia" w:ascii="Times New Roman" w:hAnsi="Times New Roman" w:cs="宋体"/>
                <w:b/>
                <w:color w:val="000000"/>
                <w:kern w:val="0"/>
                <w:sz w:val="20"/>
                <w:szCs w:val="20"/>
              </w:rPr>
              <w:t>3270782.23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b/>
                <w:color w:val="000000"/>
                <w:sz w:val="20"/>
                <w:szCs w:val="20"/>
              </w:rPr>
            </w:pPr>
            <w:r>
              <w:rPr>
                <w:rFonts w:hint="eastAsia" w:ascii="Times New Roman" w:hAnsi="Times New Roman" w:cs="宋体"/>
                <w:b/>
                <w:bCs/>
                <w:color w:val="000000"/>
                <w:kern w:val="0"/>
                <w:sz w:val="20"/>
                <w:szCs w:val="20"/>
                <w:lang w:val="en-US" w:eastAsia="zh-CN"/>
              </w:rPr>
              <w:t>一、</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b/>
                <w:color w:val="000000"/>
                <w:sz w:val="20"/>
                <w:szCs w:val="20"/>
              </w:rPr>
            </w:pPr>
            <w:r>
              <w:rPr>
                <w:rFonts w:hint="eastAsia" w:ascii="Times New Roman" w:hAnsi="Times New Roman" w:cs="宋体"/>
                <w:b/>
                <w:bCs/>
                <w:color w:val="000000"/>
                <w:kern w:val="0"/>
                <w:sz w:val="20"/>
                <w:szCs w:val="20"/>
                <w:lang w:val="en-US" w:eastAsia="zh-CN"/>
              </w:rPr>
              <w:t>基础设施工程（共23项）</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p>
        </w:tc>
        <w:tc>
          <w:tcPr>
            <w:tcW w:w="40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b/>
                <w:color w:val="000000"/>
                <w:sz w:val="20"/>
                <w:szCs w:val="20"/>
              </w:rPr>
            </w:pP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b/>
                <w:color w:val="000000"/>
                <w:sz w:val="20"/>
                <w:szCs w:val="20"/>
              </w:rPr>
            </w:pPr>
            <w:r>
              <w:rPr>
                <w:rFonts w:hint="default" w:ascii="Times New Roman" w:hAnsi="Times New Roman" w:cs="宋体"/>
                <w:b/>
                <w:bCs/>
                <w:color w:val="000000"/>
                <w:kern w:val="0"/>
                <w:sz w:val="20"/>
                <w:szCs w:val="20"/>
                <w:lang w:val="en-US" w:eastAsia="zh-CN"/>
              </w:rPr>
              <w:t>1256080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b/>
                <w:color w:val="000000"/>
                <w:sz w:val="20"/>
                <w:szCs w:val="20"/>
              </w:rPr>
            </w:pPr>
            <w:r>
              <w:rPr>
                <w:rFonts w:hint="default" w:ascii="Times New Roman" w:hAnsi="Times New Roman" w:cs="宋体"/>
                <w:b/>
                <w:bCs/>
                <w:color w:val="000000"/>
                <w:kern w:val="0"/>
                <w:sz w:val="20"/>
                <w:szCs w:val="20"/>
                <w:lang w:val="en-US" w:eastAsia="zh-CN"/>
              </w:rPr>
              <w:t>1200</w:t>
            </w: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cs="宋体"/>
                <w:b/>
                <w:color w:val="000000"/>
                <w:kern w:val="0"/>
                <w:sz w:val="20"/>
                <w:szCs w:val="20"/>
              </w:rPr>
            </w:pPr>
            <w:r>
              <w:rPr>
                <w:rFonts w:hint="eastAsia" w:ascii="Times New Roman" w:hAnsi="Times New Roman" w:cs="宋体"/>
                <w:b/>
                <w:color w:val="000000"/>
                <w:kern w:val="0"/>
                <w:sz w:val="20"/>
                <w:szCs w:val="20"/>
              </w:rPr>
              <w:t>1005080.23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b/>
                <w:color w:val="000000"/>
                <w:sz w:val="20"/>
                <w:szCs w:val="20"/>
              </w:rPr>
            </w:pPr>
            <w:r>
              <w:rPr>
                <w:rFonts w:hint="eastAsia" w:ascii="Times New Roman" w:hAnsi="Times New Roman" w:cs="宋体"/>
                <w:color w:val="000000"/>
                <w:kern w:val="0"/>
                <w:sz w:val="20"/>
                <w:szCs w:val="20"/>
                <w:lang w:val="en-US" w:eastAsia="zh-CN"/>
              </w:rPr>
              <w:t>1</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b/>
                <w:color w:val="000000"/>
                <w:sz w:val="20"/>
                <w:szCs w:val="20"/>
              </w:rPr>
            </w:pPr>
            <w:r>
              <w:rPr>
                <w:rFonts w:hint="eastAsia" w:ascii="Times New Roman" w:hAnsi="Times New Roman" w:cs="宋体"/>
                <w:color w:val="000000"/>
                <w:kern w:val="0"/>
                <w:sz w:val="20"/>
                <w:szCs w:val="20"/>
                <w:lang w:val="en-US" w:eastAsia="zh-CN"/>
              </w:rPr>
              <w:t>海陵岛通用机场</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筹建</w:t>
            </w:r>
          </w:p>
        </w:tc>
        <w:tc>
          <w:tcPr>
            <w:tcW w:w="40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A1类通用机场</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b/>
                <w:color w:val="000000"/>
                <w:sz w:val="20"/>
                <w:szCs w:val="20"/>
              </w:rPr>
            </w:pPr>
            <w:r>
              <w:rPr>
                <w:rFonts w:hint="default" w:ascii="Times New Roman" w:hAnsi="Times New Roman" w:cs="宋体"/>
                <w:color w:val="000000"/>
                <w:kern w:val="0"/>
                <w:sz w:val="20"/>
                <w:szCs w:val="20"/>
                <w:lang w:val="en-US" w:eastAsia="zh-CN"/>
              </w:rPr>
              <w:t>2022-2024</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b/>
                <w:color w:val="000000"/>
                <w:sz w:val="20"/>
                <w:szCs w:val="20"/>
              </w:rPr>
            </w:pPr>
            <w:r>
              <w:rPr>
                <w:rFonts w:hint="default" w:ascii="Times New Roman" w:hAnsi="Times New Roman" w:cs="宋体"/>
                <w:color w:val="000000"/>
                <w:kern w:val="0"/>
                <w:sz w:val="20"/>
                <w:szCs w:val="20"/>
                <w:lang w:val="en-US" w:eastAsia="zh-CN"/>
              </w:rPr>
              <w:t>50000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b/>
                <w:color w:val="000000"/>
                <w:sz w:val="20"/>
                <w:szCs w:val="20"/>
              </w:rPr>
            </w:pP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cs="宋体"/>
                <w:b/>
                <w:color w:val="000000"/>
                <w:kern w:val="0"/>
                <w:sz w:val="20"/>
                <w:szCs w:val="20"/>
              </w:rPr>
            </w:pPr>
            <w:r>
              <w:rPr>
                <w:rFonts w:hint="default" w:ascii="Times New Roman" w:hAnsi="Times New Roman" w:cs="宋体"/>
                <w:color w:val="000000"/>
                <w:kern w:val="0"/>
                <w:sz w:val="20"/>
                <w:szCs w:val="20"/>
                <w:lang w:val="en-US" w:eastAsia="zh-CN"/>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2</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海陵岛全域旅游配套基础设施工程</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新开工</w:t>
            </w:r>
          </w:p>
        </w:tc>
        <w:tc>
          <w:tcPr>
            <w:tcW w:w="40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建设国道</w:t>
            </w:r>
            <w:r>
              <w:rPr>
                <w:rFonts w:hint="default" w:ascii="Times New Roman" w:hAnsi="Times New Roman" w:cs="宋体"/>
                <w:color w:val="000000"/>
                <w:kern w:val="0"/>
                <w:sz w:val="20"/>
                <w:szCs w:val="20"/>
                <w:lang w:val="en-US" w:eastAsia="zh-CN"/>
              </w:rPr>
              <w:t>234与南海I号大道相交路口建设跨线立交桥、广东滨海旅</w:t>
            </w:r>
            <w:r>
              <w:rPr>
                <w:rFonts w:hint="eastAsia" w:ascii="Times New Roman" w:hAnsi="Times New Roman" w:cs="宋体"/>
                <w:color w:val="000000"/>
                <w:kern w:val="0"/>
                <w:sz w:val="20"/>
                <w:szCs w:val="20"/>
                <w:lang w:val="en-US" w:eastAsia="zh-CN"/>
              </w:rPr>
              <w:t>游公路海陵岛支线华山隧道工程、海陵岛环岛路网、智慧海岛等工程</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2021-2025</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200000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3</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闸坡镇城乡垃圾污水处理设施建设项目</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新开工</w:t>
            </w:r>
          </w:p>
        </w:tc>
        <w:tc>
          <w:tcPr>
            <w:tcW w:w="40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海陵岛排污管网工程、第三处理厂、垃圾中转站项目、建筑垃圾收纳场、新建村委会垃圾收集点、新建社区垃圾收集房、新建公厕、全区新增配套垃圾分类车辆设备、农村垃圾收集保洁员车辆</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2021-2025</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150000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cs="宋体"/>
                <w:color w:val="000000"/>
                <w:kern w:val="0"/>
                <w:sz w:val="20"/>
                <w:szCs w:val="20"/>
              </w:rPr>
            </w:pPr>
            <w:r>
              <w:rPr>
                <w:rFonts w:hint="default" w:ascii="Times New Roman" w:hAnsi="Times New Roman" w:cs="宋体"/>
                <w:color w:val="000000"/>
                <w:kern w:val="0"/>
                <w:sz w:val="20"/>
                <w:szCs w:val="20"/>
                <w:lang w:val="en-US" w:eastAsia="zh-C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b/>
                <w:color w:val="000000"/>
                <w:sz w:val="20"/>
                <w:szCs w:val="20"/>
              </w:rPr>
            </w:pPr>
            <w:r>
              <w:rPr>
                <w:rFonts w:hint="eastAsia" w:ascii="Times New Roman" w:hAnsi="Times New Roman" w:cs="宋体"/>
                <w:color w:val="000000"/>
                <w:kern w:val="0"/>
                <w:sz w:val="20"/>
                <w:szCs w:val="20"/>
                <w:lang w:val="en-US" w:eastAsia="zh-CN"/>
              </w:rPr>
              <w:t>4</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阳江市海陵区山白村旧村改造项目</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新开工</w:t>
            </w:r>
          </w:p>
        </w:tc>
        <w:tc>
          <w:tcPr>
            <w:tcW w:w="40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项目占地面积约324682平方米,建筑面积约102万平方米。项目产品:村旧改回迁房，村公共服务配套设施，滨海综合旅游度假区项目，配套轻奢主题公园，滨海商业中心，五星级酒店，高端滨海康养住宅等</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b/>
                <w:color w:val="000000"/>
                <w:sz w:val="20"/>
                <w:szCs w:val="20"/>
              </w:rPr>
            </w:pPr>
            <w:r>
              <w:rPr>
                <w:rFonts w:hint="default" w:ascii="Times New Roman" w:hAnsi="Times New Roman" w:cs="宋体"/>
                <w:color w:val="000000"/>
                <w:kern w:val="0"/>
                <w:sz w:val="20"/>
                <w:szCs w:val="20"/>
                <w:lang w:val="en-US" w:eastAsia="zh-CN"/>
              </w:rPr>
              <w:t>2021-2028</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b/>
                <w:color w:val="000000"/>
                <w:sz w:val="20"/>
                <w:szCs w:val="20"/>
              </w:rPr>
            </w:pPr>
            <w:r>
              <w:rPr>
                <w:rFonts w:hint="default" w:ascii="Times New Roman" w:hAnsi="Times New Roman" w:cs="宋体"/>
                <w:color w:val="000000"/>
                <w:kern w:val="0"/>
                <w:sz w:val="20"/>
                <w:szCs w:val="20"/>
                <w:lang w:val="en-US" w:eastAsia="zh-CN"/>
              </w:rPr>
              <w:t>250000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b/>
                <w:color w:val="000000"/>
                <w:sz w:val="20"/>
                <w:szCs w:val="20"/>
              </w:rPr>
            </w:pP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b/>
                <w:color w:val="000000"/>
                <w:sz w:val="20"/>
                <w:szCs w:val="20"/>
              </w:rPr>
            </w:pPr>
            <w:r>
              <w:rPr>
                <w:rFonts w:hint="default" w:ascii="Times New Roman" w:hAnsi="Times New Roman" w:cs="宋体"/>
                <w:color w:val="000000"/>
                <w:kern w:val="0"/>
                <w:sz w:val="20"/>
                <w:szCs w:val="20"/>
                <w:lang w:val="en-US" w:eastAsia="zh-C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5</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广东省闸坡美丽渔港建设项目</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olor w:val="000000"/>
              </w:rPr>
            </w:pPr>
            <w:r>
              <w:rPr>
                <w:rFonts w:hint="eastAsia" w:ascii="Times New Roman" w:hAnsi="Times New Roman" w:cs="宋体"/>
                <w:color w:val="000000"/>
                <w:kern w:val="0"/>
                <w:sz w:val="20"/>
                <w:szCs w:val="20"/>
                <w:lang w:val="en-US" w:eastAsia="zh-CN"/>
              </w:rPr>
              <w:t>投产</w:t>
            </w:r>
          </w:p>
        </w:tc>
        <w:tc>
          <w:tcPr>
            <w:tcW w:w="40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default" w:ascii="Times New Roman" w:hAnsi="Times New Roman" w:eastAsia="宋体" w:cs="宋体"/>
                <w:color w:val="000000"/>
                <w:sz w:val="20"/>
                <w:szCs w:val="20"/>
                <w:lang w:val="en-US" w:eastAsia="zh-CN"/>
              </w:rPr>
            </w:pPr>
            <w:r>
              <w:rPr>
                <w:rFonts w:hint="eastAsia" w:ascii="Times New Roman" w:hAnsi="Times New Roman" w:cs="宋体"/>
                <w:color w:val="000000"/>
                <w:kern w:val="0"/>
                <w:sz w:val="20"/>
                <w:szCs w:val="20"/>
                <w:lang w:val="en-US" w:eastAsia="zh-CN"/>
              </w:rPr>
              <w:t>闸坡渔港其中的街道风情改造项目，含现有建筑物外立面重塑、港区水域垃圾清理收集道路系统及亮化工程、污水收集处理、岸基改造、星级公厕等。</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2020-2023</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13000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1000</w:t>
            </w: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cs="宋体"/>
                <w:color w:val="000000"/>
                <w:kern w:val="0"/>
                <w:sz w:val="20"/>
                <w:szCs w:val="20"/>
              </w:rPr>
            </w:pPr>
            <w:r>
              <w:rPr>
                <w:rFonts w:hint="default" w:ascii="Times New Roman" w:hAnsi="Times New Roman" w:cs="宋体"/>
                <w:color w:val="000000"/>
                <w:kern w:val="0"/>
                <w:sz w:val="20"/>
                <w:szCs w:val="20"/>
                <w:lang w:val="en-US" w:eastAsia="zh-CN"/>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b/>
                <w:color w:val="000000"/>
                <w:sz w:val="20"/>
                <w:szCs w:val="20"/>
              </w:rPr>
            </w:pPr>
            <w:r>
              <w:rPr>
                <w:rFonts w:hint="eastAsia" w:ascii="Times New Roman" w:hAnsi="Times New Roman" w:cs="宋体"/>
                <w:color w:val="000000"/>
                <w:kern w:val="0"/>
                <w:sz w:val="20"/>
                <w:szCs w:val="20"/>
                <w:lang w:val="en-US" w:eastAsia="zh-CN"/>
              </w:rPr>
              <w:t>6</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b/>
                <w:color w:val="000000"/>
                <w:sz w:val="20"/>
                <w:szCs w:val="20"/>
              </w:rPr>
            </w:pPr>
            <w:r>
              <w:rPr>
                <w:rFonts w:hint="eastAsia" w:ascii="Times New Roman" w:hAnsi="Times New Roman" w:cs="宋体"/>
                <w:color w:val="000000"/>
                <w:kern w:val="0"/>
                <w:sz w:val="20"/>
                <w:szCs w:val="20"/>
                <w:lang w:val="en-US" w:eastAsia="zh-CN"/>
              </w:rPr>
              <w:t>阳江市海陵岛经济开发试验区乡村风貌提升工程</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新开工</w:t>
            </w:r>
          </w:p>
        </w:tc>
        <w:tc>
          <w:tcPr>
            <w:tcW w:w="40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对海陵试验区白圩社区、麻礼行政村等共</w:t>
            </w:r>
            <w:r>
              <w:rPr>
                <w:rFonts w:hint="default" w:ascii="Times New Roman" w:hAnsi="Times New Roman" w:cs="宋体"/>
                <w:color w:val="000000"/>
                <w:kern w:val="0"/>
                <w:sz w:val="20"/>
                <w:szCs w:val="20"/>
                <w:lang w:val="en-US" w:eastAsia="zh-CN"/>
              </w:rPr>
              <w:t>131</w:t>
            </w:r>
            <w:r>
              <w:rPr>
                <w:rFonts w:hint="eastAsia" w:ascii="Times New Roman" w:hAnsi="Times New Roman" w:cs="宋体"/>
                <w:color w:val="000000"/>
                <w:kern w:val="0"/>
                <w:sz w:val="20"/>
                <w:szCs w:val="20"/>
                <w:lang w:val="en-US" w:eastAsia="zh-CN"/>
              </w:rPr>
              <w:t>条自然村进行乡村风貌提升，包括危旧农房拆除、四小园建设、村广场、停车场、村道、农房微改造、村牌、村场节点美化绿化等建设内容</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b/>
                <w:color w:val="000000"/>
                <w:sz w:val="20"/>
                <w:szCs w:val="20"/>
              </w:rPr>
            </w:pPr>
            <w:r>
              <w:rPr>
                <w:rFonts w:hint="default" w:ascii="Times New Roman" w:hAnsi="Times New Roman" w:cs="宋体"/>
                <w:color w:val="000000"/>
                <w:kern w:val="0"/>
                <w:sz w:val="20"/>
                <w:szCs w:val="20"/>
                <w:lang w:val="en-US" w:eastAsia="zh-CN"/>
              </w:rPr>
              <w:t>2021-2025</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b/>
                <w:color w:val="000000"/>
                <w:sz w:val="20"/>
                <w:szCs w:val="20"/>
              </w:rPr>
            </w:pPr>
            <w:r>
              <w:rPr>
                <w:rFonts w:hint="default" w:ascii="Times New Roman" w:hAnsi="Times New Roman" w:cs="宋体"/>
                <w:color w:val="000000"/>
                <w:kern w:val="0"/>
                <w:sz w:val="20"/>
                <w:szCs w:val="20"/>
                <w:lang w:val="en-US" w:eastAsia="zh-CN"/>
              </w:rPr>
              <w:t>80000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b/>
                <w:color w:val="000000"/>
                <w:sz w:val="20"/>
                <w:szCs w:val="20"/>
              </w:rPr>
            </w:pP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cs="宋体"/>
                <w:b/>
                <w:color w:val="000000"/>
                <w:kern w:val="0"/>
                <w:sz w:val="20"/>
                <w:szCs w:val="20"/>
              </w:rPr>
            </w:pPr>
            <w:r>
              <w:rPr>
                <w:rFonts w:hint="default" w:ascii="Times New Roman" w:hAnsi="Times New Roman" w:cs="宋体"/>
                <w:color w:val="000000"/>
                <w:kern w:val="0"/>
                <w:sz w:val="20"/>
                <w:szCs w:val="20"/>
                <w:lang w:val="en-US" w:eastAsia="zh-CN"/>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b/>
                <w:color w:val="000000"/>
                <w:sz w:val="20"/>
                <w:szCs w:val="20"/>
              </w:rPr>
            </w:pPr>
            <w:r>
              <w:rPr>
                <w:rFonts w:hint="eastAsia" w:ascii="Times New Roman" w:hAnsi="Times New Roman" w:cs="宋体"/>
                <w:color w:val="000000"/>
                <w:kern w:val="0"/>
                <w:sz w:val="20"/>
                <w:szCs w:val="20"/>
                <w:lang w:val="en-US" w:eastAsia="zh-CN"/>
              </w:rPr>
              <w:t>7</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海陵试验区数字乡村试点项目</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新建</w:t>
            </w:r>
          </w:p>
        </w:tc>
        <w:tc>
          <w:tcPr>
            <w:tcW w:w="40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建设包括乡村农业服务系统、乡村建设项目管理系统、数字乡村综合治理平台、乡村村居服务信息系统、乡村党组织管理系统、5G+云喇叭、平安乡村视频监控系统、智慧全域旅游、大型旅游公共信息LED大屏、无人驾驶观光车、智慧农业平台、电商实训基地等13个子项目</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b/>
                <w:color w:val="000000"/>
                <w:sz w:val="20"/>
                <w:szCs w:val="20"/>
              </w:rPr>
            </w:pPr>
            <w:r>
              <w:rPr>
                <w:rFonts w:hint="default" w:ascii="Times New Roman" w:hAnsi="Times New Roman" w:cs="宋体"/>
                <w:color w:val="000000"/>
                <w:kern w:val="0"/>
                <w:sz w:val="20"/>
                <w:szCs w:val="20"/>
                <w:lang w:val="en-US" w:eastAsia="zh-CN"/>
              </w:rPr>
              <w:t>2021-2025</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b/>
                <w:color w:val="000000"/>
                <w:sz w:val="20"/>
                <w:szCs w:val="20"/>
              </w:rPr>
            </w:pPr>
            <w:r>
              <w:rPr>
                <w:rFonts w:hint="eastAsia" w:ascii="Times New Roman" w:hAnsi="Times New Roman" w:cs="宋体"/>
                <w:color w:val="000000"/>
                <w:kern w:val="0"/>
                <w:sz w:val="20"/>
                <w:szCs w:val="20"/>
                <w:lang w:val="en-US" w:eastAsia="zh-CN"/>
              </w:rPr>
              <w:t>2963</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b/>
                <w:color w:val="000000"/>
                <w:sz w:val="20"/>
                <w:szCs w:val="20"/>
              </w:rPr>
            </w:pP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b/>
                <w:color w:val="000000"/>
                <w:sz w:val="20"/>
                <w:szCs w:val="20"/>
              </w:rPr>
            </w:pPr>
            <w:r>
              <w:rPr>
                <w:rFonts w:hint="eastAsia" w:ascii="Times New Roman" w:hAnsi="Times New Roman" w:cs="宋体"/>
                <w:color w:val="000000"/>
                <w:kern w:val="0"/>
                <w:sz w:val="20"/>
                <w:szCs w:val="20"/>
                <w:lang w:val="en-US" w:eastAsia="zh-CN"/>
              </w:rPr>
              <w:t>2963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8</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广东滨海旅游公路海陵岛支线南海Ⅰ号立交桥工程</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新建</w:t>
            </w:r>
          </w:p>
        </w:tc>
        <w:tc>
          <w:tcPr>
            <w:tcW w:w="40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在国道234与南海I号大道相交路口建设跨线桥，以桥梁形式上跨南海I号大道。桥梁总长度450m。项目路线总长1350m，路幅为双向六车道。</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2021-2023</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17389</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cs="宋体"/>
                <w:color w:val="000000"/>
                <w:kern w:val="0"/>
                <w:sz w:val="20"/>
                <w:szCs w:val="20"/>
              </w:rPr>
            </w:pPr>
            <w:r>
              <w:rPr>
                <w:rFonts w:hint="default" w:ascii="Times New Roman" w:hAnsi="Times New Roman" w:cs="宋体"/>
                <w:color w:val="000000"/>
                <w:kern w:val="0"/>
                <w:sz w:val="20"/>
                <w:szCs w:val="20"/>
                <w:lang w:val="en-US" w:eastAsia="zh-CN"/>
              </w:rPr>
              <w:t>17389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b/>
                <w:color w:val="000000"/>
                <w:sz w:val="20"/>
                <w:szCs w:val="20"/>
              </w:rPr>
            </w:pPr>
            <w:r>
              <w:rPr>
                <w:rFonts w:hint="eastAsia" w:ascii="Times New Roman" w:hAnsi="Times New Roman" w:cs="宋体"/>
                <w:color w:val="000000"/>
                <w:kern w:val="0"/>
                <w:sz w:val="20"/>
                <w:szCs w:val="20"/>
                <w:lang w:val="en-US" w:eastAsia="zh-CN"/>
              </w:rPr>
              <w:t>9</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b/>
                <w:color w:val="000000"/>
                <w:sz w:val="20"/>
                <w:szCs w:val="20"/>
              </w:rPr>
            </w:pPr>
            <w:r>
              <w:rPr>
                <w:rFonts w:hint="eastAsia" w:ascii="Times New Roman" w:hAnsi="Times New Roman" w:cs="宋体"/>
                <w:color w:val="000000"/>
                <w:kern w:val="0"/>
                <w:sz w:val="20"/>
                <w:szCs w:val="20"/>
                <w:lang w:val="en-US" w:eastAsia="zh-CN"/>
              </w:rPr>
              <w:t>广东滨海旅游公路海陵岛支线华山隧道工程</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b/>
                <w:color w:val="000000"/>
                <w:sz w:val="20"/>
                <w:szCs w:val="20"/>
              </w:rPr>
            </w:pPr>
            <w:r>
              <w:rPr>
                <w:rFonts w:hint="eastAsia" w:ascii="Times New Roman" w:hAnsi="Times New Roman" w:cs="宋体"/>
                <w:color w:val="000000"/>
                <w:kern w:val="0"/>
                <w:sz w:val="20"/>
                <w:szCs w:val="20"/>
                <w:lang w:val="en-US" w:eastAsia="zh-CN"/>
              </w:rPr>
              <w:t>新建</w:t>
            </w:r>
          </w:p>
        </w:tc>
        <w:tc>
          <w:tcPr>
            <w:tcW w:w="40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b/>
                <w:color w:val="000000"/>
                <w:sz w:val="20"/>
                <w:szCs w:val="20"/>
              </w:rPr>
            </w:pPr>
            <w:r>
              <w:rPr>
                <w:rFonts w:hint="eastAsia" w:ascii="Times New Roman" w:hAnsi="Times New Roman" w:cs="宋体"/>
                <w:color w:val="000000"/>
                <w:kern w:val="0"/>
                <w:sz w:val="20"/>
                <w:szCs w:val="20"/>
                <w:lang w:val="en-US" w:eastAsia="zh-CN"/>
              </w:rPr>
              <w:t>工程西起旅游大道与东风路相交路口，往东延伸至与南海Ⅰ号大道相交，全线采用双向4车道城市主干路标准，设计行车速度为40KM/H，路线全长约1.746KM，路基段长0.751KM，隧道段长0.995KM。</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b/>
                <w:color w:val="000000"/>
                <w:sz w:val="20"/>
                <w:szCs w:val="20"/>
              </w:rPr>
            </w:pPr>
            <w:r>
              <w:rPr>
                <w:rFonts w:hint="default" w:ascii="Times New Roman" w:hAnsi="Times New Roman" w:cs="宋体"/>
                <w:color w:val="000000"/>
                <w:kern w:val="0"/>
                <w:sz w:val="20"/>
                <w:szCs w:val="20"/>
                <w:lang w:val="en-US" w:eastAsia="zh-CN"/>
              </w:rPr>
              <w:t>2021-2023</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b/>
                <w:color w:val="000000"/>
                <w:sz w:val="20"/>
                <w:szCs w:val="20"/>
              </w:rPr>
            </w:pPr>
            <w:r>
              <w:rPr>
                <w:rFonts w:hint="default" w:ascii="Times New Roman" w:hAnsi="Times New Roman" w:cs="宋体"/>
                <w:color w:val="000000"/>
                <w:kern w:val="0"/>
                <w:sz w:val="20"/>
                <w:szCs w:val="20"/>
                <w:lang w:val="en-US" w:eastAsia="zh-CN"/>
              </w:rPr>
              <w:t>37121.47</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b/>
                <w:color w:val="000000"/>
                <w:sz w:val="20"/>
                <w:szCs w:val="20"/>
              </w:rPr>
            </w:pPr>
            <w:r>
              <w:rPr>
                <w:rFonts w:hint="default" w:ascii="Times New Roman" w:hAnsi="Times New Roman" w:cs="宋体"/>
                <w:color w:val="000000"/>
                <w:kern w:val="0"/>
                <w:sz w:val="20"/>
                <w:szCs w:val="20"/>
                <w:lang w:val="en-US" w:eastAsia="zh-CN"/>
              </w:rPr>
              <w:t>200</w:t>
            </w: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default" w:ascii="Times New Roman" w:hAnsi="Times New Roman" w:eastAsia="宋体" w:cs="宋体"/>
                <w:b/>
                <w:color w:val="000000"/>
                <w:kern w:val="0"/>
                <w:sz w:val="20"/>
                <w:szCs w:val="20"/>
                <w:lang w:val="en-US" w:eastAsia="zh-CN"/>
              </w:rPr>
            </w:pPr>
            <w:r>
              <w:rPr>
                <w:rFonts w:hint="eastAsia" w:ascii="Times New Roman" w:hAnsi="Times New Roman" w:cs="宋体"/>
                <w:color w:val="000000"/>
                <w:kern w:val="0"/>
                <w:sz w:val="20"/>
                <w:szCs w:val="20"/>
                <w:lang w:val="en-US" w:eastAsia="zh-CN"/>
              </w:rPr>
              <w:t>37121.47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b/>
                <w:color w:val="000000"/>
                <w:sz w:val="20"/>
                <w:szCs w:val="20"/>
              </w:rPr>
            </w:pPr>
            <w:r>
              <w:rPr>
                <w:rFonts w:hint="eastAsia" w:ascii="Times New Roman" w:hAnsi="Times New Roman" w:cs="宋体"/>
                <w:color w:val="000000"/>
                <w:kern w:val="0"/>
                <w:sz w:val="20"/>
                <w:szCs w:val="20"/>
                <w:lang w:val="en-US" w:eastAsia="zh-CN"/>
              </w:rPr>
              <w:t>10</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广东滨海旅游公路海陵岛支线环岛路(岛东线)工程</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b/>
                <w:color w:val="000000"/>
                <w:sz w:val="20"/>
                <w:szCs w:val="20"/>
              </w:rPr>
            </w:pPr>
            <w:r>
              <w:rPr>
                <w:rFonts w:hint="eastAsia" w:ascii="Times New Roman" w:hAnsi="Times New Roman" w:cs="宋体"/>
                <w:color w:val="000000"/>
                <w:kern w:val="0"/>
                <w:sz w:val="20"/>
                <w:szCs w:val="20"/>
                <w:lang w:val="en-US" w:eastAsia="zh-CN"/>
              </w:rPr>
              <w:t>新建</w:t>
            </w:r>
          </w:p>
        </w:tc>
        <w:tc>
          <w:tcPr>
            <w:tcW w:w="40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b/>
                <w:color w:val="000000"/>
                <w:sz w:val="20"/>
                <w:szCs w:val="20"/>
              </w:rPr>
            </w:pPr>
            <w:r>
              <w:rPr>
                <w:rFonts w:hint="eastAsia" w:ascii="Times New Roman" w:hAnsi="Times New Roman" w:cs="宋体"/>
                <w:color w:val="000000"/>
                <w:kern w:val="0"/>
                <w:sz w:val="20"/>
                <w:szCs w:val="20"/>
                <w:lang w:val="en-US" w:eastAsia="zh-CN"/>
              </w:rPr>
              <w:t>本工程位于海陵岛石角湾至海陵岛平章湾，全场6259.31米，按照城市规划支路标准建设，道路红线宽8米，全线均为双向两车道。</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b/>
                <w:color w:val="000000"/>
                <w:sz w:val="20"/>
                <w:szCs w:val="20"/>
              </w:rPr>
            </w:pPr>
            <w:r>
              <w:rPr>
                <w:rFonts w:hint="default" w:ascii="Times New Roman" w:hAnsi="Times New Roman" w:cs="宋体"/>
                <w:color w:val="000000"/>
                <w:kern w:val="0"/>
                <w:sz w:val="20"/>
                <w:szCs w:val="20"/>
                <w:lang w:val="en-US" w:eastAsia="zh-CN"/>
              </w:rPr>
              <w:t>2021-2023</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b/>
                <w:color w:val="000000"/>
                <w:sz w:val="20"/>
                <w:szCs w:val="20"/>
              </w:rPr>
            </w:pPr>
            <w:r>
              <w:rPr>
                <w:rFonts w:hint="default" w:ascii="Times New Roman" w:hAnsi="Times New Roman" w:cs="宋体"/>
                <w:color w:val="000000"/>
                <w:kern w:val="0"/>
                <w:sz w:val="20"/>
                <w:szCs w:val="20"/>
                <w:lang w:val="en-US" w:eastAsia="zh-CN"/>
              </w:rPr>
              <w:t>6207.18</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b/>
                <w:color w:val="000000"/>
                <w:sz w:val="20"/>
                <w:szCs w:val="20"/>
              </w:rPr>
            </w:pP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default" w:ascii="Times New Roman" w:hAnsi="Times New Roman" w:cs="宋体"/>
                <w:color w:val="000000"/>
                <w:kern w:val="0"/>
                <w:sz w:val="20"/>
                <w:szCs w:val="20"/>
                <w:lang w:val="en-US" w:eastAsia="zh-CN"/>
              </w:rPr>
            </w:pPr>
            <w:r>
              <w:rPr>
                <w:rFonts w:hint="eastAsia" w:ascii="Times New Roman" w:hAnsi="Times New Roman" w:cs="宋体"/>
                <w:color w:val="000000"/>
                <w:kern w:val="0"/>
                <w:sz w:val="20"/>
                <w:szCs w:val="20"/>
                <w:lang w:val="en-US" w:eastAsia="zh-CN"/>
              </w:rPr>
              <w:t>6207.18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11</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南海Ⅰ号大道沥青罩面工程</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新建</w:t>
            </w:r>
          </w:p>
        </w:tc>
        <w:tc>
          <w:tcPr>
            <w:tcW w:w="40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该工程拟对南海Ⅰ号大道全长约8376米，机动车道宽16米，铺设沥青路面。</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2021-2022</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4258.50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default" w:ascii="Times New Roman" w:hAnsi="Times New Roman" w:cs="宋体"/>
                <w:color w:val="000000"/>
                <w:kern w:val="0"/>
                <w:sz w:val="20"/>
                <w:szCs w:val="20"/>
                <w:lang w:val="en-US" w:eastAsia="zh-CN"/>
              </w:rPr>
            </w:pPr>
            <w:r>
              <w:rPr>
                <w:rFonts w:hint="eastAsia" w:ascii="Times New Roman" w:hAnsi="Times New Roman" w:cs="宋体"/>
                <w:color w:val="000000"/>
                <w:kern w:val="0"/>
                <w:sz w:val="20"/>
                <w:szCs w:val="20"/>
                <w:lang w:val="en-US" w:eastAsia="zh-CN"/>
              </w:rPr>
              <w:t>4258.5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12</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阳江市海陵岛闸坡旧城区排水改造工程</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新建</w:t>
            </w:r>
          </w:p>
        </w:tc>
        <w:tc>
          <w:tcPr>
            <w:tcW w:w="40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对闸坡75.48公顷区域的污水管网系统进行改造。</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2021-2023</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8500.00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default" w:ascii="Times New Roman" w:hAnsi="Times New Roman" w:cs="宋体"/>
                <w:color w:val="000000"/>
                <w:kern w:val="0"/>
                <w:sz w:val="20"/>
                <w:szCs w:val="20"/>
                <w:lang w:val="en-US" w:eastAsia="zh-CN"/>
              </w:rPr>
            </w:pPr>
            <w:r>
              <w:rPr>
                <w:rFonts w:hint="eastAsia" w:ascii="Times New Roman" w:hAnsi="Times New Roman" w:cs="宋体"/>
                <w:color w:val="000000"/>
                <w:kern w:val="0"/>
                <w:sz w:val="20"/>
                <w:szCs w:val="20"/>
                <w:lang w:val="en-US" w:eastAsia="zh-CN"/>
              </w:rPr>
              <w:t>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13</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海陵岛北湾路工程</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新建</w:t>
            </w:r>
          </w:p>
        </w:tc>
        <w:tc>
          <w:tcPr>
            <w:tcW w:w="40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建设两车道，路面宽12米，新建市政道路长约4.446公里。</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default" w:ascii="Times New Roman" w:hAnsi="Times New Roman" w:cs="宋体"/>
                <w:color w:val="000000"/>
                <w:sz w:val="20"/>
                <w:szCs w:val="20"/>
                <w:lang w:val="en-US"/>
              </w:rPr>
            </w:pPr>
            <w:r>
              <w:rPr>
                <w:rFonts w:hint="eastAsia" w:ascii="Times New Roman" w:hAnsi="Times New Roman" w:cs="宋体"/>
                <w:color w:val="000000"/>
                <w:kern w:val="0"/>
                <w:sz w:val="20"/>
                <w:szCs w:val="20"/>
                <w:lang w:val="en-US" w:eastAsia="zh-CN"/>
              </w:rPr>
              <w:t>2021-2023</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3994.08</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0</w:t>
            </w: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default" w:ascii="Times New Roman" w:hAnsi="Times New Roman" w:cs="宋体"/>
                <w:color w:val="000000"/>
                <w:kern w:val="0"/>
                <w:sz w:val="20"/>
                <w:szCs w:val="20"/>
                <w:lang w:val="en-US" w:eastAsia="zh-CN"/>
              </w:rPr>
            </w:pPr>
            <w:r>
              <w:rPr>
                <w:rFonts w:hint="eastAsia" w:ascii="Times New Roman" w:hAnsi="Times New Roman" w:cs="宋体"/>
                <w:color w:val="000000"/>
                <w:kern w:val="0"/>
                <w:sz w:val="20"/>
                <w:szCs w:val="20"/>
                <w:lang w:val="en-US" w:eastAsia="zh-CN"/>
              </w:rPr>
              <w:t>3994.08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14</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海陵岛白雪路工程</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新建</w:t>
            </w:r>
          </w:p>
        </w:tc>
        <w:tc>
          <w:tcPr>
            <w:tcW w:w="40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按双向四车道建设道路长2361米。</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2022-2023</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4065.00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0</w:t>
            </w: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default" w:ascii="Times New Roman" w:hAnsi="Times New Roman" w:cs="宋体"/>
                <w:color w:val="000000"/>
                <w:kern w:val="0"/>
                <w:sz w:val="20"/>
                <w:szCs w:val="20"/>
                <w:lang w:val="en-US" w:eastAsia="zh-CN"/>
              </w:rPr>
            </w:pPr>
            <w:r>
              <w:rPr>
                <w:rFonts w:hint="eastAsia" w:ascii="Times New Roman" w:hAnsi="Times New Roman" w:cs="宋体"/>
                <w:color w:val="000000"/>
                <w:kern w:val="0"/>
                <w:sz w:val="20"/>
                <w:szCs w:val="20"/>
                <w:lang w:val="en-US" w:eastAsia="zh-CN"/>
              </w:rPr>
              <w:t>4065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15</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海韵戴斯酒店至保利银滩排污工程</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新建</w:t>
            </w:r>
          </w:p>
        </w:tc>
        <w:tc>
          <w:tcPr>
            <w:tcW w:w="40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主要建设内容为铺设波纹管约4570米，预计需建设顶管工作井28座，顶管接收井30座</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2022-2023</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4000.00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0</w:t>
            </w: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default" w:ascii="Times New Roman" w:hAnsi="Times New Roman" w:cs="宋体"/>
                <w:color w:val="000000"/>
                <w:kern w:val="0"/>
                <w:sz w:val="20"/>
                <w:szCs w:val="20"/>
                <w:lang w:val="en-US" w:eastAsia="zh-CN"/>
              </w:rPr>
            </w:pPr>
            <w:r>
              <w:rPr>
                <w:rFonts w:hint="eastAsia" w:ascii="Times New Roman" w:hAnsi="Times New Roman" w:cs="宋体"/>
                <w:color w:val="000000"/>
                <w:kern w:val="0"/>
                <w:sz w:val="20"/>
                <w:szCs w:val="20"/>
                <w:lang w:val="en-US" w:eastAsia="zh-CN"/>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b/>
                <w:color w:val="000000"/>
                <w:sz w:val="20"/>
                <w:szCs w:val="20"/>
              </w:rPr>
            </w:pPr>
            <w:r>
              <w:rPr>
                <w:rFonts w:hint="eastAsia" w:ascii="Times New Roman" w:hAnsi="Times New Roman" w:cs="宋体"/>
                <w:color w:val="000000"/>
                <w:kern w:val="0"/>
                <w:sz w:val="20"/>
                <w:szCs w:val="20"/>
                <w:lang w:val="en-US" w:eastAsia="zh-CN"/>
              </w:rPr>
              <w:t>16</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b/>
                <w:color w:val="000000"/>
                <w:sz w:val="20"/>
                <w:szCs w:val="20"/>
              </w:rPr>
            </w:pPr>
            <w:r>
              <w:rPr>
                <w:rFonts w:hint="eastAsia" w:ascii="Times New Roman" w:hAnsi="Times New Roman" w:cs="宋体"/>
                <w:color w:val="000000"/>
                <w:kern w:val="0"/>
                <w:sz w:val="20"/>
                <w:szCs w:val="20"/>
                <w:lang w:val="en-US" w:eastAsia="zh-CN"/>
              </w:rPr>
              <w:t>海陵岛达港东路工程</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b/>
                <w:color w:val="000000"/>
                <w:sz w:val="20"/>
                <w:szCs w:val="20"/>
              </w:rPr>
            </w:pPr>
            <w:r>
              <w:rPr>
                <w:rFonts w:hint="eastAsia" w:ascii="Times New Roman" w:hAnsi="Times New Roman" w:cs="宋体"/>
                <w:color w:val="000000"/>
                <w:kern w:val="0"/>
                <w:sz w:val="20"/>
                <w:szCs w:val="20"/>
                <w:lang w:val="en-US" w:eastAsia="zh-CN"/>
              </w:rPr>
              <w:t>新建</w:t>
            </w:r>
          </w:p>
        </w:tc>
        <w:tc>
          <w:tcPr>
            <w:tcW w:w="40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b/>
                <w:color w:val="000000"/>
                <w:sz w:val="20"/>
                <w:szCs w:val="20"/>
              </w:rPr>
            </w:pPr>
            <w:r>
              <w:rPr>
                <w:rFonts w:hint="eastAsia" w:ascii="Times New Roman" w:hAnsi="Times New Roman" w:cs="宋体"/>
                <w:color w:val="000000"/>
                <w:kern w:val="0"/>
                <w:sz w:val="20"/>
                <w:szCs w:val="20"/>
                <w:lang w:val="en-US" w:eastAsia="zh-CN"/>
              </w:rPr>
              <w:t>本项目起点接省道S277（达港路终点），终点接南海Ⅰ号大道，全长约3.5公里，宽24米。</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b/>
                <w:color w:val="000000"/>
                <w:sz w:val="20"/>
                <w:szCs w:val="20"/>
              </w:rPr>
            </w:pPr>
            <w:r>
              <w:rPr>
                <w:rFonts w:hint="default" w:ascii="Times New Roman" w:hAnsi="Times New Roman" w:cs="宋体"/>
                <w:color w:val="000000"/>
                <w:kern w:val="0"/>
                <w:sz w:val="20"/>
                <w:szCs w:val="20"/>
                <w:lang w:val="en-US" w:eastAsia="zh-CN"/>
              </w:rPr>
              <w:t>2022-2023</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b/>
                <w:color w:val="000000"/>
                <w:sz w:val="20"/>
                <w:szCs w:val="20"/>
              </w:rPr>
            </w:pPr>
            <w:r>
              <w:rPr>
                <w:rFonts w:hint="default" w:ascii="Times New Roman" w:hAnsi="Times New Roman" w:cs="宋体"/>
                <w:color w:val="000000"/>
                <w:kern w:val="0"/>
                <w:sz w:val="20"/>
                <w:szCs w:val="20"/>
                <w:lang w:val="en-US" w:eastAsia="zh-CN"/>
              </w:rPr>
              <w:t>9900.00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b/>
                <w:color w:val="000000"/>
                <w:sz w:val="20"/>
                <w:szCs w:val="20"/>
              </w:rPr>
            </w:pPr>
            <w:r>
              <w:rPr>
                <w:rFonts w:hint="default" w:ascii="Times New Roman" w:hAnsi="Times New Roman" w:cs="宋体"/>
                <w:color w:val="000000"/>
                <w:kern w:val="0"/>
                <w:sz w:val="20"/>
                <w:szCs w:val="20"/>
                <w:lang w:val="en-US" w:eastAsia="zh-CN"/>
              </w:rPr>
              <w:t>0</w:t>
            </w: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default" w:ascii="Times New Roman" w:hAnsi="Times New Roman" w:cs="宋体"/>
                <w:color w:val="000000"/>
                <w:kern w:val="0"/>
                <w:sz w:val="20"/>
                <w:szCs w:val="20"/>
                <w:lang w:val="en-US" w:eastAsia="zh-CN"/>
              </w:rPr>
            </w:pPr>
            <w:r>
              <w:rPr>
                <w:rFonts w:hint="eastAsia" w:ascii="Times New Roman" w:hAnsi="Times New Roman" w:cs="宋体"/>
                <w:color w:val="000000"/>
                <w:kern w:val="0"/>
                <w:sz w:val="20"/>
                <w:szCs w:val="20"/>
                <w:lang w:val="en-US" w:eastAsia="zh-CN"/>
              </w:rPr>
              <w:t>9900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17</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大堤开启海底隧道</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新建</w:t>
            </w:r>
          </w:p>
        </w:tc>
        <w:tc>
          <w:tcPr>
            <w:tcW w:w="40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打开海陵大堤500米缺口，使用海底隧道形式将大堤连接。</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2022-2024</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50000.00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0</w:t>
            </w: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default" w:ascii="Times New Roman" w:hAnsi="Times New Roman" w:cs="宋体"/>
                <w:color w:val="000000"/>
                <w:kern w:val="0"/>
                <w:sz w:val="20"/>
                <w:szCs w:val="20"/>
                <w:lang w:val="en-US" w:eastAsia="zh-CN"/>
              </w:rPr>
            </w:pPr>
            <w:r>
              <w:rPr>
                <w:rFonts w:hint="eastAsia" w:ascii="Times New Roman" w:hAnsi="Times New Roman" w:cs="宋体"/>
                <w:color w:val="000000"/>
                <w:kern w:val="0"/>
                <w:sz w:val="20"/>
                <w:szCs w:val="20"/>
                <w:lang w:val="en-US" w:eastAsia="zh-CN"/>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18</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闸坡综合客运码头</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新建</w:t>
            </w:r>
          </w:p>
        </w:tc>
        <w:tc>
          <w:tcPr>
            <w:tcW w:w="40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占地2万平方，建设3个500GT客运泊位、200个游艇泊位，同时配套办公楼、客运楼等设施</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2023-2025</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70000.00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0</w:t>
            </w: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cs="宋体"/>
                <w:color w:val="000000"/>
                <w:kern w:val="0"/>
                <w:sz w:val="20"/>
                <w:szCs w:val="20"/>
                <w:lang w:val="en-US" w:eastAsia="zh-CN"/>
              </w:rPr>
            </w:pPr>
            <w:r>
              <w:rPr>
                <w:rFonts w:hint="default" w:ascii="Times New Roman" w:hAnsi="Times New Roman" w:cs="宋体"/>
                <w:color w:val="000000"/>
                <w:kern w:val="0"/>
                <w:sz w:val="20"/>
                <w:szCs w:val="20"/>
                <w:lang w:val="en-US" w:eastAsia="zh-CN"/>
              </w:rPr>
              <w:t>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b/>
                <w:color w:val="000000"/>
                <w:sz w:val="20"/>
                <w:szCs w:val="20"/>
              </w:rPr>
            </w:pPr>
            <w:r>
              <w:rPr>
                <w:rFonts w:hint="eastAsia" w:ascii="Times New Roman" w:hAnsi="Times New Roman" w:cs="宋体"/>
                <w:color w:val="000000"/>
                <w:kern w:val="0"/>
                <w:sz w:val="20"/>
                <w:szCs w:val="20"/>
                <w:lang w:val="en-US" w:eastAsia="zh-CN"/>
              </w:rPr>
              <w:t>19</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b/>
                <w:color w:val="000000"/>
                <w:sz w:val="20"/>
                <w:szCs w:val="20"/>
              </w:rPr>
            </w:pPr>
            <w:r>
              <w:rPr>
                <w:rFonts w:hint="eastAsia" w:ascii="Times New Roman" w:hAnsi="Times New Roman" w:cs="宋体"/>
                <w:color w:val="000000"/>
                <w:kern w:val="0"/>
                <w:sz w:val="20"/>
                <w:szCs w:val="20"/>
                <w:lang w:val="en-US" w:eastAsia="zh-CN"/>
              </w:rPr>
              <w:t>闸坡城镇生活垃圾分类及收转运项目</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b/>
                <w:color w:val="000000"/>
                <w:sz w:val="20"/>
                <w:szCs w:val="20"/>
              </w:rPr>
            </w:pPr>
            <w:r>
              <w:rPr>
                <w:rFonts w:hint="eastAsia" w:ascii="Times New Roman" w:hAnsi="Times New Roman" w:cs="宋体"/>
                <w:color w:val="000000"/>
                <w:kern w:val="0"/>
                <w:sz w:val="20"/>
                <w:szCs w:val="20"/>
                <w:lang w:val="en-US" w:eastAsia="zh-CN"/>
              </w:rPr>
              <w:t>筹建</w:t>
            </w:r>
          </w:p>
        </w:tc>
        <w:tc>
          <w:tcPr>
            <w:tcW w:w="40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b/>
                <w:color w:val="000000"/>
                <w:sz w:val="20"/>
                <w:szCs w:val="20"/>
              </w:rPr>
            </w:pPr>
            <w:r>
              <w:rPr>
                <w:rFonts w:hint="eastAsia" w:ascii="Times New Roman" w:hAnsi="Times New Roman" w:cs="宋体"/>
                <w:color w:val="000000"/>
                <w:kern w:val="0"/>
                <w:sz w:val="20"/>
                <w:szCs w:val="20"/>
                <w:lang w:val="en-US" w:eastAsia="zh-CN"/>
              </w:rPr>
              <w:t>该工程分三期建设，建设分别为：一、垃圾中转站项目；二、新建村委会垃圾收集点；三、新建社区垃圾收集房；四、新建公厕；五、全区新增配套垃圾分类车辆设备、农村垃圾收集保洁员车辆。</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b/>
                <w:color w:val="000000"/>
                <w:sz w:val="20"/>
                <w:szCs w:val="20"/>
              </w:rPr>
            </w:pPr>
            <w:r>
              <w:rPr>
                <w:rFonts w:hint="default" w:ascii="Times New Roman" w:hAnsi="Times New Roman" w:cs="宋体"/>
                <w:color w:val="000000"/>
                <w:kern w:val="0"/>
                <w:sz w:val="20"/>
                <w:szCs w:val="20"/>
                <w:lang w:val="en-US" w:eastAsia="zh-CN"/>
              </w:rPr>
              <w:t>2022-2025</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b/>
                <w:color w:val="000000"/>
                <w:sz w:val="20"/>
                <w:szCs w:val="20"/>
              </w:rPr>
            </w:pPr>
            <w:r>
              <w:rPr>
                <w:rFonts w:hint="default" w:ascii="Times New Roman" w:hAnsi="Times New Roman" w:cs="宋体"/>
                <w:color w:val="000000"/>
                <w:kern w:val="0"/>
                <w:sz w:val="20"/>
                <w:szCs w:val="20"/>
                <w:lang w:val="en-US" w:eastAsia="zh-CN"/>
              </w:rPr>
              <w:t>33400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b/>
                <w:color w:val="000000"/>
                <w:sz w:val="20"/>
                <w:szCs w:val="20"/>
              </w:rPr>
            </w:pP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cs="宋体"/>
                <w:color w:val="000000"/>
                <w:kern w:val="0"/>
                <w:sz w:val="20"/>
                <w:szCs w:val="20"/>
                <w:lang w:val="en-US" w:eastAsia="zh-CN"/>
              </w:rPr>
            </w:pPr>
            <w:r>
              <w:rPr>
                <w:rFonts w:hint="default" w:ascii="Times New Roman" w:hAnsi="Times New Roman" w:cs="宋体"/>
                <w:color w:val="000000"/>
                <w:kern w:val="0"/>
                <w:sz w:val="20"/>
                <w:szCs w:val="20"/>
                <w:lang w:val="en-US" w:eastAsia="zh-CN"/>
              </w:rPr>
              <w:t>33400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b/>
                <w:color w:val="000000"/>
                <w:sz w:val="20"/>
                <w:szCs w:val="20"/>
              </w:rPr>
            </w:pPr>
            <w:r>
              <w:rPr>
                <w:rFonts w:hint="eastAsia" w:ascii="Times New Roman" w:hAnsi="Times New Roman" w:cs="宋体"/>
                <w:color w:val="000000"/>
                <w:kern w:val="0"/>
                <w:sz w:val="20"/>
                <w:szCs w:val="20"/>
                <w:lang w:val="en-US" w:eastAsia="zh-CN"/>
              </w:rPr>
              <w:t>20</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闸坡镇城乡垃圾污水处理设施建设项目</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b/>
                <w:color w:val="000000"/>
                <w:sz w:val="20"/>
                <w:szCs w:val="20"/>
              </w:rPr>
            </w:pPr>
            <w:r>
              <w:rPr>
                <w:rFonts w:hint="eastAsia" w:ascii="Times New Roman" w:hAnsi="Times New Roman" w:cs="宋体"/>
                <w:color w:val="000000"/>
                <w:kern w:val="0"/>
                <w:sz w:val="20"/>
                <w:szCs w:val="20"/>
                <w:lang w:val="en-US" w:eastAsia="zh-CN"/>
              </w:rPr>
              <w:t>筹建</w:t>
            </w:r>
          </w:p>
        </w:tc>
        <w:tc>
          <w:tcPr>
            <w:tcW w:w="40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b/>
                <w:color w:val="000000"/>
                <w:sz w:val="20"/>
                <w:szCs w:val="20"/>
              </w:rPr>
            </w:pPr>
            <w:r>
              <w:rPr>
                <w:rFonts w:hint="eastAsia" w:ascii="Times New Roman" w:hAnsi="Times New Roman" w:cs="宋体"/>
                <w:color w:val="000000"/>
                <w:kern w:val="0"/>
                <w:sz w:val="20"/>
                <w:szCs w:val="20"/>
                <w:lang w:val="en-US" w:eastAsia="zh-CN"/>
              </w:rPr>
              <w:t>海陵岛排污管网工程、闸坡旧城区排水改造工程、海陵岛敏捷片区排污管网、海韵戴斯酒店至保利银滩排污工程、海陵区白蒲污水处理厂配套污水主干管（一期）工程、海陵岛白蒲社区市政升级改造工程（一期）工程、垃圾中转站工程、新建村委会垃圾收集点、新建社区垃圾收集房；新建公厕、岛西路排污管网工程、岛东片区排污管网工程。</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b/>
                <w:color w:val="000000"/>
                <w:sz w:val="20"/>
                <w:szCs w:val="20"/>
              </w:rPr>
            </w:pPr>
            <w:r>
              <w:rPr>
                <w:rFonts w:hint="default" w:ascii="Times New Roman" w:hAnsi="Times New Roman" w:cs="宋体"/>
                <w:color w:val="000000"/>
                <w:kern w:val="0"/>
                <w:sz w:val="20"/>
                <w:szCs w:val="20"/>
                <w:lang w:val="en-US" w:eastAsia="zh-CN"/>
              </w:rPr>
              <w:t>2022-2028</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b/>
                <w:color w:val="000000"/>
                <w:sz w:val="20"/>
                <w:szCs w:val="20"/>
              </w:rPr>
            </w:pPr>
            <w:r>
              <w:rPr>
                <w:rFonts w:hint="default" w:ascii="Times New Roman" w:hAnsi="Times New Roman" w:cs="宋体"/>
                <w:color w:val="000000"/>
                <w:kern w:val="0"/>
                <w:sz w:val="20"/>
                <w:szCs w:val="20"/>
                <w:lang w:val="en-US" w:eastAsia="zh-CN"/>
              </w:rPr>
              <w:t>150000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b/>
                <w:color w:val="000000"/>
                <w:sz w:val="20"/>
                <w:szCs w:val="20"/>
              </w:rPr>
            </w:pP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default" w:ascii="Times New Roman" w:hAnsi="Times New Roman" w:cs="宋体"/>
                <w:color w:val="000000"/>
                <w:kern w:val="0"/>
                <w:sz w:val="20"/>
                <w:szCs w:val="20"/>
                <w:lang w:val="en-US" w:eastAsia="zh-CN"/>
              </w:rPr>
            </w:pPr>
            <w:r>
              <w:rPr>
                <w:rFonts w:hint="eastAsia" w:ascii="Times New Roman" w:hAnsi="Times New Roman" w:cs="宋体"/>
                <w:color w:val="000000"/>
                <w:kern w:val="0"/>
                <w:sz w:val="20"/>
                <w:szCs w:val="20"/>
                <w:lang w:val="en-US" w:eastAsia="zh-CN"/>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21</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阳江110千伏瓦晒输变电工程</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p>
        </w:tc>
        <w:tc>
          <w:tcPr>
            <w:tcW w:w="40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阳江</w:t>
            </w:r>
            <w:r>
              <w:rPr>
                <w:rFonts w:hint="default" w:ascii="Times New Roman" w:hAnsi="Times New Roman" w:cs="宋体"/>
                <w:color w:val="000000"/>
                <w:kern w:val="0"/>
                <w:sz w:val="20"/>
                <w:szCs w:val="20"/>
                <w:lang w:val="en-US" w:eastAsia="zh-CN"/>
              </w:rPr>
              <w:t>110</w:t>
            </w:r>
            <w:r>
              <w:rPr>
                <w:rFonts w:hint="eastAsia" w:ascii="Times New Roman" w:hAnsi="Times New Roman" w:cs="宋体"/>
                <w:color w:val="000000"/>
                <w:kern w:val="0"/>
                <w:sz w:val="20"/>
                <w:szCs w:val="20"/>
                <w:lang w:val="en-US" w:eastAsia="zh-CN"/>
              </w:rPr>
              <w:t>千伏瓦晒站输变电工程规划新建主变最终规模为</w:t>
            </w:r>
            <w:r>
              <w:rPr>
                <w:rFonts w:hint="default" w:ascii="Times New Roman" w:hAnsi="Times New Roman" w:cs="宋体"/>
                <w:color w:val="000000"/>
                <w:kern w:val="0"/>
                <w:sz w:val="20"/>
                <w:szCs w:val="20"/>
                <w:lang w:val="en-US" w:eastAsia="zh-CN"/>
              </w:rPr>
              <w:t>3×4</w:t>
            </w:r>
            <w:r>
              <w:rPr>
                <w:rFonts w:hint="eastAsia" w:ascii="Times New Roman" w:hAnsi="Times New Roman" w:cs="宋体"/>
                <w:color w:val="000000"/>
                <w:kern w:val="0"/>
                <w:sz w:val="20"/>
                <w:szCs w:val="20"/>
                <w:lang w:val="en-US" w:eastAsia="zh-CN"/>
              </w:rPr>
              <w:t>万</w:t>
            </w:r>
            <w:r>
              <w:rPr>
                <w:rFonts w:hint="default" w:ascii="Times New Roman" w:hAnsi="Times New Roman" w:cs="宋体"/>
                <w:color w:val="000000"/>
                <w:kern w:val="0"/>
                <w:sz w:val="20"/>
                <w:szCs w:val="20"/>
                <w:lang w:val="en-US" w:eastAsia="zh-CN"/>
              </w:rPr>
              <w:t>kVA</w:t>
            </w:r>
            <w:r>
              <w:rPr>
                <w:rFonts w:hint="eastAsia" w:ascii="Times New Roman" w:hAnsi="Times New Roman" w:cs="宋体"/>
                <w:color w:val="000000"/>
                <w:kern w:val="0"/>
                <w:sz w:val="20"/>
                <w:szCs w:val="20"/>
                <w:lang w:val="en-US" w:eastAsia="zh-CN"/>
              </w:rPr>
              <w:t>，本期建设</w:t>
            </w:r>
            <w:r>
              <w:rPr>
                <w:rFonts w:hint="default" w:ascii="Times New Roman" w:hAnsi="Times New Roman" w:cs="宋体"/>
                <w:color w:val="000000"/>
                <w:kern w:val="0"/>
                <w:sz w:val="20"/>
                <w:szCs w:val="20"/>
                <w:lang w:val="en-US" w:eastAsia="zh-CN"/>
              </w:rPr>
              <w:t>1×4</w:t>
            </w:r>
            <w:r>
              <w:rPr>
                <w:rFonts w:hint="eastAsia" w:ascii="Times New Roman" w:hAnsi="Times New Roman" w:cs="宋体"/>
                <w:color w:val="000000"/>
                <w:kern w:val="0"/>
                <w:sz w:val="20"/>
                <w:szCs w:val="20"/>
                <w:lang w:val="en-US" w:eastAsia="zh-CN"/>
              </w:rPr>
              <w:t>万</w:t>
            </w:r>
            <w:r>
              <w:rPr>
                <w:rFonts w:hint="default" w:ascii="Times New Roman" w:hAnsi="Times New Roman" w:cs="宋体"/>
                <w:color w:val="000000"/>
                <w:kern w:val="0"/>
                <w:sz w:val="20"/>
                <w:szCs w:val="20"/>
                <w:lang w:val="en-US" w:eastAsia="zh-CN"/>
              </w:rPr>
              <w:t>kVA</w:t>
            </w:r>
            <w:r>
              <w:rPr>
                <w:rFonts w:hint="eastAsia" w:ascii="Times New Roman" w:hAnsi="Times New Roman" w:cs="宋体"/>
                <w:color w:val="000000"/>
                <w:kern w:val="0"/>
                <w:sz w:val="20"/>
                <w:szCs w:val="20"/>
                <w:lang w:val="en-US" w:eastAsia="zh-CN"/>
              </w:rPr>
              <w:t>；解口闸坡</w:t>
            </w:r>
            <w:r>
              <w:rPr>
                <w:rFonts w:hint="default" w:ascii="Times New Roman" w:hAnsi="Times New Roman" w:cs="宋体"/>
                <w:color w:val="000000"/>
                <w:kern w:val="0"/>
                <w:sz w:val="20"/>
                <w:szCs w:val="20"/>
                <w:lang w:val="en-US" w:eastAsia="zh-CN"/>
              </w:rPr>
              <w:t>-</w:t>
            </w:r>
            <w:r>
              <w:rPr>
                <w:rFonts w:hint="eastAsia" w:ascii="Times New Roman" w:hAnsi="Times New Roman" w:cs="宋体"/>
                <w:color w:val="000000"/>
                <w:kern w:val="0"/>
                <w:sz w:val="20"/>
                <w:szCs w:val="20"/>
                <w:lang w:val="en-US" w:eastAsia="zh-CN"/>
              </w:rPr>
              <w:t>古劳山单回线至瓦晒站。新建线路导线截面采用</w:t>
            </w:r>
            <w:r>
              <w:rPr>
                <w:rFonts w:hint="default" w:ascii="Times New Roman" w:hAnsi="Times New Roman" w:cs="宋体"/>
                <w:color w:val="000000"/>
                <w:kern w:val="0"/>
                <w:sz w:val="20"/>
                <w:szCs w:val="20"/>
                <w:lang w:val="en-US" w:eastAsia="zh-CN"/>
              </w:rPr>
              <w:t>300mm2</w:t>
            </w:r>
            <w:r>
              <w:rPr>
                <w:rFonts w:hint="eastAsia" w:ascii="Times New Roman" w:hAnsi="Times New Roman" w:cs="宋体"/>
                <w:color w:val="000000"/>
                <w:kern w:val="0"/>
                <w:sz w:val="20"/>
                <w:szCs w:val="20"/>
                <w:lang w:val="en-US" w:eastAsia="zh-CN"/>
              </w:rPr>
              <w:t>，计划</w:t>
            </w:r>
            <w:r>
              <w:rPr>
                <w:rFonts w:hint="default" w:ascii="Times New Roman" w:hAnsi="Times New Roman" w:cs="宋体"/>
                <w:color w:val="000000"/>
                <w:kern w:val="0"/>
                <w:sz w:val="20"/>
                <w:szCs w:val="20"/>
                <w:lang w:val="en-US" w:eastAsia="zh-CN"/>
              </w:rPr>
              <w:t>2025</w:t>
            </w:r>
            <w:r>
              <w:rPr>
                <w:rFonts w:hint="eastAsia" w:ascii="Times New Roman" w:hAnsi="Times New Roman" w:cs="宋体"/>
                <w:color w:val="000000"/>
                <w:kern w:val="0"/>
                <w:sz w:val="20"/>
                <w:szCs w:val="20"/>
                <w:lang w:val="en-US" w:eastAsia="zh-CN"/>
              </w:rPr>
              <w:t>年投产。</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2023-2025</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6782</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0</w:t>
            </w: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default" w:ascii="Times New Roman" w:hAnsi="Times New Roman" w:cs="宋体"/>
                <w:color w:val="000000"/>
                <w:kern w:val="0"/>
                <w:sz w:val="20"/>
                <w:szCs w:val="20"/>
                <w:lang w:val="en-US" w:eastAsia="zh-CN"/>
              </w:rPr>
            </w:pPr>
            <w:r>
              <w:rPr>
                <w:rFonts w:hint="eastAsia" w:ascii="Times New Roman" w:hAnsi="Times New Roman" w:cs="宋体"/>
                <w:color w:val="000000"/>
                <w:kern w:val="0"/>
                <w:sz w:val="20"/>
                <w:szCs w:val="20"/>
                <w:lang w:val="en-US" w:eastAsia="zh-CN"/>
              </w:rPr>
              <w:t>6782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22</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阳江闸坡世界级渔港</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新开工</w:t>
            </w:r>
          </w:p>
        </w:tc>
        <w:tc>
          <w:tcPr>
            <w:tcW w:w="40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1</w:t>
            </w:r>
            <w:r>
              <w:rPr>
                <w:rFonts w:hint="eastAsia" w:ascii="Times New Roman" w:hAnsi="Times New Roman" w:cs="宋体"/>
                <w:color w:val="000000"/>
                <w:kern w:val="0"/>
                <w:sz w:val="20"/>
                <w:szCs w:val="20"/>
                <w:lang w:val="en-US" w:eastAsia="zh-CN"/>
              </w:rPr>
              <w:t>、建设远洋渔业基地以及休闲渔业基地，进一步扩展并丰富休闲渔业功能，并与大角湾五星级滨海旅游景区融为一体。</w:t>
            </w:r>
            <w:r>
              <w:rPr>
                <w:rFonts w:hint="default" w:ascii="Times New Roman" w:hAnsi="Times New Roman" w:cs="宋体"/>
                <w:color w:val="000000"/>
                <w:kern w:val="0"/>
                <w:sz w:val="20"/>
                <w:szCs w:val="20"/>
                <w:lang w:val="en-US" w:eastAsia="zh-CN"/>
              </w:rPr>
              <w:t>2</w:t>
            </w:r>
            <w:r>
              <w:rPr>
                <w:rFonts w:hint="eastAsia" w:ascii="Times New Roman" w:hAnsi="Times New Roman" w:cs="宋体"/>
                <w:color w:val="000000"/>
                <w:kern w:val="0"/>
                <w:sz w:val="20"/>
                <w:szCs w:val="20"/>
                <w:lang w:val="en-US" w:eastAsia="zh-CN"/>
              </w:rPr>
              <w:t>、搬迁蝴蝶洲油库，将蝴蝶洲打造成含渔港政务服务、国家永久海洋水产科技论坛、海洋生物观赏、国际水产品交易、水产品保税仓、海鲜品尝、游客服务中心及其他现代功能配套设施于一体的世界一流渔港服务基地。</w:t>
            </w:r>
            <w:r>
              <w:rPr>
                <w:rFonts w:hint="default" w:ascii="Times New Roman" w:hAnsi="Times New Roman" w:cs="宋体"/>
                <w:color w:val="000000"/>
                <w:kern w:val="0"/>
                <w:sz w:val="20"/>
                <w:szCs w:val="20"/>
                <w:lang w:val="en-US" w:eastAsia="zh-CN"/>
              </w:rPr>
              <w:t>3</w:t>
            </w:r>
            <w:r>
              <w:rPr>
                <w:rFonts w:hint="eastAsia" w:ascii="Times New Roman" w:hAnsi="Times New Roman" w:cs="宋体"/>
                <w:color w:val="000000"/>
                <w:kern w:val="0"/>
                <w:sz w:val="20"/>
                <w:szCs w:val="20"/>
                <w:lang w:val="en-US" w:eastAsia="zh-CN"/>
              </w:rPr>
              <w:t>、建设旧澳湾南北防坡堤。</w:t>
            </w:r>
            <w:r>
              <w:rPr>
                <w:rFonts w:hint="default" w:ascii="Times New Roman" w:hAnsi="Times New Roman" w:cs="宋体"/>
                <w:color w:val="000000"/>
                <w:kern w:val="0"/>
                <w:sz w:val="20"/>
                <w:szCs w:val="20"/>
                <w:lang w:val="en-US" w:eastAsia="zh-CN"/>
              </w:rPr>
              <w:t>4</w:t>
            </w:r>
            <w:r>
              <w:rPr>
                <w:rFonts w:hint="eastAsia" w:ascii="Times New Roman" w:hAnsi="Times New Roman" w:cs="宋体"/>
                <w:color w:val="000000"/>
                <w:kern w:val="0"/>
                <w:sz w:val="20"/>
                <w:szCs w:val="20"/>
                <w:lang w:val="en-US" w:eastAsia="zh-CN"/>
              </w:rPr>
              <w:t>、建设新港区观光栈道。</w:t>
            </w:r>
            <w:r>
              <w:rPr>
                <w:rFonts w:hint="default" w:ascii="Times New Roman" w:hAnsi="Times New Roman" w:cs="宋体"/>
                <w:color w:val="000000"/>
                <w:kern w:val="0"/>
                <w:sz w:val="20"/>
                <w:szCs w:val="20"/>
                <w:lang w:val="en-US" w:eastAsia="zh-CN"/>
              </w:rPr>
              <w:t>5</w:t>
            </w:r>
            <w:r>
              <w:rPr>
                <w:rFonts w:hint="eastAsia" w:ascii="Times New Roman" w:hAnsi="Times New Roman" w:cs="宋体"/>
                <w:color w:val="000000"/>
                <w:kern w:val="0"/>
                <w:sz w:val="20"/>
                <w:szCs w:val="20"/>
                <w:lang w:val="en-US" w:eastAsia="zh-CN"/>
              </w:rPr>
              <w:t>、建设游艇靠泊平台和垂钓平台。</w:t>
            </w:r>
            <w:r>
              <w:rPr>
                <w:rFonts w:hint="default" w:ascii="Times New Roman" w:hAnsi="Times New Roman" w:cs="宋体"/>
                <w:color w:val="000000"/>
                <w:kern w:val="0"/>
                <w:sz w:val="20"/>
                <w:szCs w:val="20"/>
                <w:lang w:val="en-US" w:eastAsia="zh-CN"/>
              </w:rPr>
              <w:t>6</w:t>
            </w:r>
            <w:r>
              <w:rPr>
                <w:rFonts w:hint="eastAsia" w:ascii="Times New Roman" w:hAnsi="Times New Roman" w:cs="宋体"/>
                <w:color w:val="000000"/>
                <w:kern w:val="0"/>
                <w:sz w:val="20"/>
                <w:szCs w:val="20"/>
                <w:lang w:val="en-US" w:eastAsia="zh-CN"/>
              </w:rPr>
              <w:t>、对环港道路进行改造和美化亮化。</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2021-2025</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100000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cs="宋体"/>
                <w:color w:val="000000"/>
                <w:kern w:val="0"/>
                <w:sz w:val="20"/>
                <w:szCs w:val="20"/>
                <w:lang w:val="en-US" w:eastAsia="zh-CN"/>
              </w:rPr>
            </w:pPr>
            <w:r>
              <w:rPr>
                <w:rFonts w:hint="default" w:ascii="Times New Roman" w:hAnsi="Times New Roman" w:cs="宋体"/>
                <w:color w:val="000000"/>
                <w:kern w:val="0"/>
                <w:sz w:val="20"/>
                <w:szCs w:val="20"/>
                <w:lang w:val="en-US" w:eastAsia="zh-C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b/>
                <w:color w:val="000000"/>
                <w:sz w:val="20"/>
                <w:szCs w:val="20"/>
              </w:rPr>
            </w:pPr>
            <w:r>
              <w:rPr>
                <w:rFonts w:hint="eastAsia" w:ascii="Times New Roman" w:hAnsi="Times New Roman" w:cs="宋体"/>
                <w:color w:val="000000"/>
                <w:kern w:val="0"/>
                <w:sz w:val="20"/>
                <w:szCs w:val="20"/>
                <w:lang w:val="en-US" w:eastAsia="zh-CN"/>
              </w:rPr>
              <w:t>23</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b/>
                <w:color w:val="000000"/>
                <w:sz w:val="20"/>
                <w:szCs w:val="20"/>
              </w:rPr>
            </w:pPr>
            <w:r>
              <w:rPr>
                <w:rFonts w:hint="eastAsia" w:ascii="Times New Roman" w:hAnsi="Times New Roman" w:cs="宋体"/>
                <w:color w:val="000000"/>
                <w:kern w:val="0"/>
                <w:sz w:val="20"/>
                <w:szCs w:val="20"/>
                <w:lang w:val="en-US" w:eastAsia="zh-CN"/>
              </w:rPr>
              <w:t>海陵岛经济开发试验区太傅路供水管道工程</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b/>
                <w:color w:val="000000"/>
                <w:sz w:val="20"/>
                <w:szCs w:val="20"/>
              </w:rPr>
            </w:pPr>
            <w:r>
              <w:rPr>
                <w:rFonts w:hint="eastAsia" w:ascii="Times New Roman" w:hAnsi="Times New Roman" w:cs="宋体"/>
                <w:color w:val="000000"/>
                <w:kern w:val="0"/>
                <w:sz w:val="20"/>
                <w:szCs w:val="20"/>
                <w:lang w:val="en-US" w:eastAsia="zh-CN"/>
              </w:rPr>
              <w:t>新开工</w:t>
            </w:r>
          </w:p>
        </w:tc>
        <w:tc>
          <w:tcPr>
            <w:tcW w:w="40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b/>
                <w:color w:val="000000"/>
                <w:sz w:val="20"/>
                <w:szCs w:val="20"/>
              </w:rPr>
            </w:pPr>
            <w:r>
              <w:rPr>
                <w:rFonts w:hint="eastAsia" w:ascii="Times New Roman" w:hAnsi="Times New Roman" w:cs="宋体"/>
                <w:color w:val="000000"/>
                <w:kern w:val="0"/>
                <w:sz w:val="20"/>
                <w:szCs w:val="20"/>
                <w:lang w:val="en-US" w:eastAsia="zh-CN"/>
              </w:rPr>
              <w:t>建设DN600供水管道15千米</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b/>
                <w:color w:val="000000"/>
                <w:sz w:val="20"/>
                <w:szCs w:val="20"/>
              </w:rPr>
            </w:pPr>
            <w:r>
              <w:rPr>
                <w:rFonts w:hint="default" w:ascii="Times New Roman" w:hAnsi="Times New Roman" w:cs="宋体"/>
                <w:color w:val="000000"/>
                <w:kern w:val="0"/>
                <w:sz w:val="20"/>
                <w:szCs w:val="20"/>
                <w:lang w:val="en-US" w:eastAsia="zh-CN"/>
              </w:rPr>
              <w:t>2021-2025</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b/>
                <w:color w:val="000000"/>
                <w:sz w:val="20"/>
                <w:szCs w:val="20"/>
              </w:rPr>
            </w:pPr>
            <w:r>
              <w:rPr>
                <w:rFonts w:hint="default" w:ascii="Times New Roman" w:hAnsi="Times New Roman" w:cs="宋体"/>
                <w:color w:val="000000"/>
                <w:kern w:val="0"/>
                <w:sz w:val="20"/>
                <w:szCs w:val="20"/>
                <w:lang w:val="en-US" w:eastAsia="zh-CN"/>
              </w:rPr>
              <w:t>4500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b/>
                <w:color w:val="000000"/>
                <w:sz w:val="20"/>
                <w:szCs w:val="20"/>
              </w:rPr>
            </w:pP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default" w:ascii="Times New Roman" w:hAnsi="Times New Roman" w:cs="宋体"/>
                <w:color w:val="000000"/>
                <w:kern w:val="0"/>
                <w:sz w:val="20"/>
                <w:szCs w:val="20"/>
                <w:lang w:val="en-US" w:eastAsia="zh-CN"/>
              </w:rPr>
            </w:pPr>
            <w:r>
              <w:rPr>
                <w:rFonts w:hint="eastAsia" w:ascii="Times New Roman" w:hAnsi="Times New Roman" w:cs="宋体"/>
                <w:color w:val="000000"/>
                <w:kern w:val="0"/>
                <w:sz w:val="20"/>
                <w:szCs w:val="20"/>
                <w:lang w:val="en-US" w:eastAsia="zh-CN"/>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eastAsia" w:ascii="Times New Roman" w:hAnsi="Times New Roman" w:cs="宋体"/>
                <w:b/>
                <w:bCs/>
                <w:color w:val="000000"/>
                <w:kern w:val="0"/>
                <w:sz w:val="20"/>
                <w:szCs w:val="20"/>
                <w:lang w:val="en-US" w:eastAsia="zh-CN"/>
              </w:rPr>
              <w:t>二、</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b/>
                <w:bCs/>
                <w:color w:val="000000"/>
                <w:kern w:val="0"/>
                <w:sz w:val="20"/>
                <w:szCs w:val="20"/>
                <w:lang w:val="en-US" w:eastAsia="zh-CN"/>
              </w:rPr>
              <w:t>产业工程（共</w:t>
            </w:r>
            <w:r>
              <w:rPr>
                <w:rFonts w:hint="default" w:ascii="Times New Roman" w:hAnsi="Times New Roman" w:cs="宋体"/>
                <w:b/>
                <w:bCs/>
                <w:color w:val="000000"/>
                <w:kern w:val="0"/>
                <w:sz w:val="20"/>
                <w:szCs w:val="20"/>
                <w:lang w:val="en-US" w:eastAsia="zh-CN"/>
              </w:rPr>
              <w:t>17</w:t>
            </w:r>
            <w:r>
              <w:rPr>
                <w:rFonts w:hint="eastAsia" w:ascii="Times New Roman" w:hAnsi="Times New Roman" w:cs="宋体"/>
                <w:b/>
                <w:bCs/>
                <w:color w:val="000000"/>
                <w:kern w:val="0"/>
                <w:sz w:val="20"/>
                <w:szCs w:val="20"/>
                <w:lang w:val="en-US" w:eastAsia="zh-CN"/>
              </w:rPr>
              <w:t>项）</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p>
        </w:tc>
        <w:tc>
          <w:tcPr>
            <w:tcW w:w="40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b/>
                <w:bCs/>
                <w:color w:val="000000"/>
                <w:kern w:val="0"/>
                <w:sz w:val="20"/>
                <w:szCs w:val="20"/>
                <w:lang w:val="en-US" w:eastAsia="zh-CN"/>
              </w:rPr>
              <w:t>5495506</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default" w:ascii="Times New Roman" w:hAnsi="Times New Roman" w:cs="宋体"/>
                <w:b/>
                <w:bCs/>
                <w:color w:val="000000"/>
                <w:kern w:val="0"/>
                <w:sz w:val="20"/>
                <w:szCs w:val="20"/>
                <w:lang w:val="en-US" w:eastAsia="zh-CN"/>
              </w:rPr>
            </w:pPr>
            <w:r>
              <w:rPr>
                <w:rFonts w:hint="default" w:ascii="Times New Roman" w:hAnsi="Times New Roman" w:cs="宋体"/>
                <w:b/>
                <w:bCs/>
                <w:color w:val="000000"/>
                <w:kern w:val="0"/>
                <w:sz w:val="20"/>
                <w:szCs w:val="20"/>
                <w:lang w:val="en-US" w:eastAsia="zh-CN"/>
              </w:rPr>
              <w:t>1740340</w:t>
            </w: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default" w:ascii="Times New Roman" w:hAnsi="Times New Roman" w:cs="宋体"/>
                <w:b/>
                <w:bCs/>
                <w:color w:val="000000"/>
                <w:kern w:val="0"/>
                <w:sz w:val="20"/>
                <w:szCs w:val="20"/>
                <w:lang w:val="en-US" w:eastAsia="zh-CN"/>
              </w:rPr>
            </w:pPr>
            <w:r>
              <w:rPr>
                <w:rFonts w:hint="eastAsia" w:ascii="Times New Roman" w:hAnsi="Times New Roman" w:cs="宋体"/>
                <w:b/>
                <w:bCs/>
                <w:color w:val="000000"/>
                <w:kern w:val="0"/>
                <w:sz w:val="20"/>
                <w:szCs w:val="20"/>
                <w:lang w:val="en-US" w:eastAsia="zh-CN"/>
              </w:rPr>
              <w:t>2125166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24</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保利银滩</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投产</w:t>
            </w:r>
          </w:p>
        </w:tc>
        <w:tc>
          <w:tcPr>
            <w:tcW w:w="40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涵盖住宅、公寓、五星级酒店、大型体育文化公园，总建筑面积100万平方米</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2010-2022</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600000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570627</w:t>
            </w: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cs="宋体"/>
                <w:color w:val="000000"/>
                <w:kern w:val="0"/>
                <w:sz w:val="20"/>
                <w:szCs w:val="20"/>
              </w:rPr>
            </w:pPr>
            <w:r>
              <w:rPr>
                <w:rFonts w:hint="default" w:ascii="Times New Roman" w:hAnsi="Times New Roman" w:cs="宋体"/>
                <w:color w:val="000000"/>
                <w:kern w:val="0"/>
                <w:sz w:val="20"/>
                <w:szCs w:val="20"/>
                <w:lang w:val="en-US" w:eastAsia="zh-CN"/>
              </w:rPr>
              <w:t>29373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25</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阳江恒大御景湾</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投产</w:t>
            </w:r>
          </w:p>
        </w:tc>
        <w:tc>
          <w:tcPr>
            <w:tcW w:w="40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涵盖住宅、公寓、五星级酒店、大型体育文化公园，项目用地面积1198131.27平方米，总建筑面积1272253平方米，建有酒店、住宅等旅游综合服务设施和公用配套设施</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2010-2024</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600000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377481</w:t>
            </w: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cs="宋体"/>
                <w:color w:val="000000"/>
                <w:kern w:val="0"/>
                <w:sz w:val="20"/>
                <w:szCs w:val="20"/>
              </w:rPr>
            </w:pPr>
            <w:r>
              <w:rPr>
                <w:rFonts w:hint="default" w:ascii="Times New Roman" w:hAnsi="Times New Roman" w:cs="宋体"/>
                <w:color w:val="000000"/>
                <w:kern w:val="0"/>
                <w:sz w:val="20"/>
                <w:szCs w:val="20"/>
                <w:lang w:val="en-US" w:eastAsia="zh-CN"/>
              </w:rPr>
              <w:t>222519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26</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敏捷·黄金海岸</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投产</w:t>
            </w:r>
          </w:p>
        </w:tc>
        <w:tc>
          <w:tcPr>
            <w:tcW w:w="40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涵盖住宅、公寓、五星级酒店、大型体育文化公园，项目总占地面积200万㎡，总建筑面积210万㎡，项目计划分四期开发，其中：首期占地32万㎡，建筑面积56万㎡。拟建设旅游度假设施、酒店、公寓、住宅产品，开发包括有充满动感活力的世界超级人工泻湖泳池、温泉SPA、海上欢乐世界、主题式沙雕公园、大型主题商业中心、亚特兰蒂斯主题园林、亚特兰蒂斯主题公寓以及精品休闲酒店式公寓、无边际天际泳池、天沐吧以及长达3公里的滨海森林式景观大道--“敏捷大道”等旅游休闲设施</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2010-2025</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1000000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572232</w:t>
            </w: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cs="宋体"/>
                <w:color w:val="000000"/>
                <w:kern w:val="0"/>
                <w:sz w:val="20"/>
                <w:szCs w:val="20"/>
              </w:rPr>
            </w:pPr>
            <w:r>
              <w:rPr>
                <w:rFonts w:hint="default" w:ascii="Times New Roman" w:hAnsi="Times New Roman" w:cs="宋体"/>
                <w:color w:val="000000"/>
                <w:kern w:val="0"/>
                <w:sz w:val="20"/>
                <w:szCs w:val="20"/>
                <w:lang w:val="en-US" w:eastAsia="zh-CN"/>
              </w:rPr>
              <w:t>427768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27</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福阳金沙海岸</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投产</w:t>
            </w:r>
          </w:p>
        </w:tc>
        <w:tc>
          <w:tcPr>
            <w:tcW w:w="40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涵盖住宅、公寓、五星级酒店，项目总占地2.5万平方米，总建筑面积8.7万平方米，其中住宅2.176万平方米，公寓3.024万平方米，商业1.3万平方米，不计容建筑面积2.4万平方米，绿地率30%，建筑密度40%，停车位520个</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2021-2024</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50000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cs="宋体"/>
                <w:color w:val="000000"/>
                <w:kern w:val="0"/>
                <w:sz w:val="20"/>
                <w:szCs w:val="20"/>
              </w:rPr>
            </w:pPr>
            <w:r>
              <w:rPr>
                <w:rFonts w:hint="default" w:ascii="Times New Roman" w:hAnsi="Times New Roman" w:cs="宋体"/>
                <w:color w:val="000000"/>
                <w:kern w:val="0"/>
                <w:sz w:val="20"/>
                <w:szCs w:val="20"/>
                <w:lang w:val="en-US" w:eastAsia="zh-CN"/>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28</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海陵岛保利·顺峰北洛湾</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续建</w:t>
            </w:r>
          </w:p>
        </w:tc>
        <w:tc>
          <w:tcPr>
            <w:tcW w:w="40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五星级酒店、高层住宅，悦榕庄和Club Med等</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2016-2030</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600000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220000</w:t>
            </w: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cs="宋体"/>
                <w:color w:val="000000"/>
                <w:kern w:val="0"/>
                <w:sz w:val="20"/>
                <w:szCs w:val="20"/>
              </w:rPr>
            </w:pPr>
            <w:r>
              <w:rPr>
                <w:rFonts w:hint="default" w:ascii="Times New Roman" w:hAnsi="Times New Roman" w:cs="宋体"/>
                <w:color w:val="000000"/>
                <w:kern w:val="0"/>
                <w:sz w:val="20"/>
                <w:szCs w:val="20"/>
                <w:lang w:val="en-US" w:eastAsia="zh-C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29</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海陵岛东湾景区</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筹建</w:t>
            </w:r>
          </w:p>
        </w:tc>
        <w:tc>
          <w:tcPr>
            <w:tcW w:w="40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规划面积约6.5平方公里，以房车旅游、特色住宿、赶海体验、亲子休闲等新兴旅游模式为亮点，创建特色休闲方式与生态人文相结合的集约式旅游项目。</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2021-2025</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50000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cs="宋体"/>
                <w:color w:val="000000"/>
                <w:kern w:val="0"/>
                <w:sz w:val="20"/>
                <w:szCs w:val="20"/>
              </w:rPr>
            </w:pPr>
            <w:r>
              <w:rPr>
                <w:rFonts w:hint="default" w:ascii="Times New Roman" w:hAnsi="Times New Roman" w:cs="宋体"/>
                <w:color w:val="000000"/>
                <w:kern w:val="0"/>
                <w:sz w:val="20"/>
                <w:szCs w:val="20"/>
                <w:lang w:val="en-US" w:eastAsia="zh-CN"/>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30</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海陵中央南湾项目</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筹建</w:t>
            </w:r>
          </w:p>
        </w:tc>
        <w:tc>
          <w:tcPr>
            <w:tcW w:w="40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打造为具有国际水平的健康休闲旅游集聚区，项目片区内建设国际旅游门户区、滨海核心商务园区、风情购物商区、康养度假社区以及乐活配套社区等六个功能分区。项目占地总面积约506公顷，可建设用地373公顷</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2023-2030</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1600000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cs="宋体"/>
                <w:color w:val="000000"/>
                <w:kern w:val="0"/>
                <w:sz w:val="20"/>
                <w:szCs w:val="20"/>
              </w:rPr>
            </w:pPr>
            <w:r>
              <w:rPr>
                <w:rFonts w:hint="default" w:ascii="Times New Roman" w:hAnsi="Times New Roman" w:cs="宋体"/>
                <w:color w:val="000000"/>
                <w:kern w:val="0"/>
                <w:sz w:val="20"/>
                <w:szCs w:val="20"/>
                <w:lang w:val="en-US" w:eastAsia="zh-C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31</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山屋雅道旅游服务一体化建设工程项目</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筹建</w:t>
            </w:r>
          </w:p>
        </w:tc>
        <w:tc>
          <w:tcPr>
            <w:tcW w:w="40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项目总占地面积待定，总建筑面积约为25000平方米，建设1幢12层高综合楼、约500幢架空艺术木屋及基础配套设施</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2021-2025</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50000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cs="宋体"/>
                <w:color w:val="000000"/>
                <w:kern w:val="0"/>
                <w:sz w:val="20"/>
                <w:szCs w:val="20"/>
              </w:rPr>
            </w:pPr>
            <w:r>
              <w:rPr>
                <w:rFonts w:hint="default" w:ascii="Times New Roman" w:hAnsi="Times New Roman" w:cs="宋体"/>
                <w:color w:val="000000"/>
                <w:kern w:val="0"/>
                <w:sz w:val="20"/>
                <w:szCs w:val="20"/>
                <w:lang w:val="en-US" w:eastAsia="zh-CN"/>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32</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海陵岛冷链物流基础设施项目</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筹建</w:t>
            </w:r>
          </w:p>
        </w:tc>
        <w:tc>
          <w:tcPr>
            <w:tcW w:w="40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本项目地块位于闸坡镇瓦晒，项目占地面积为</w:t>
            </w:r>
            <w:r>
              <w:rPr>
                <w:rFonts w:hint="default" w:ascii="Times New Roman" w:hAnsi="Times New Roman" w:cs="宋体"/>
                <w:color w:val="000000"/>
                <w:kern w:val="0"/>
                <w:sz w:val="20"/>
                <w:szCs w:val="20"/>
                <w:lang w:val="en-US" w:eastAsia="zh-CN"/>
              </w:rPr>
              <w:t>450</w:t>
            </w:r>
            <w:r>
              <w:rPr>
                <w:rFonts w:hint="eastAsia" w:ascii="Times New Roman" w:hAnsi="Times New Roman" w:cs="宋体"/>
                <w:color w:val="000000"/>
                <w:kern w:val="0"/>
                <w:sz w:val="20"/>
                <w:szCs w:val="20"/>
                <w:lang w:val="en-US" w:eastAsia="zh-CN"/>
              </w:rPr>
              <w:t>亩。包含海产品交易中心、冷链仓储物流和绿色海产品科技园。其中海产品交易中心投资</w:t>
            </w:r>
            <w:r>
              <w:rPr>
                <w:rFonts w:hint="default" w:ascii="Times New Roman" w:hAnsi="Times New Roman" w:cs="宋体"/>
                <w:color w:val="000000"/>
                <w:kern w:val="0"/>
                <w:sz w:val="20"/>
                <w:szCs w:val="20"/>
                <w:lang w:val="en-US" w:eastAsia="zh-CN"/>
              </w:rPr>
              <w:t>3</w:t>
            </w:r>
            <w:r>
              <w:rPr>
                <w:rFonts w:hint="eastAsia" w:ascii="Times New Roman" w:hAnsi="Times New Roman" w:cs="宋体"/>
                <w:color w:val="000000"/>
                <w:kern w:val="0"/>
                <w:sz w:val="20"/>
                <w:szCs w:val="20"/>
                <w:lang w:val="en-US" w:eastAsia="zh-CN"/>
              </w:rPr>
              <w:t>亿，冷链仓储物流投资</w:t>
            </w:r>
            <w:r>
              <w:rPr>
                <w:rFonts w:hint="default" w:ascii="Times New Roman" w:hAnsi="Times New Roman" w:cs="宋体"/>
                <w:color w:val="000000"/>
                <w:kern w:val="0"/>
                <w:sz w:val="20"/>
                <w:szCs w:val="20"/>
                <w:lang w:val="en-US" w:eastAsia="zh-CN"/>
              </w:rPr>
              <w:t>20</w:t>
            </w:r>
            <w:r>
              <w:rPr>
                <w:rFonts w:hint="eastAsia" w:ascii="Times New Roman" w:hAnsi="Times New Roman" w:cs="宋体"/>
                <w:color w:val="000000"/>
                <w:kern w:val="0"/>
                <w:sz w:val="20"/>
                <w:szCs w:val="20"/>
                <w:lang w:val="en-US" w:eastAsia="zh-CN"/>
              </w:rPr>
              <w:t>亿，绿色海产品科技园投资7亿，总投资约为30亿</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2021-2025</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300000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cs="宋体"/>
                <w:color w:val="000000"/>
                <w:kern w:val="0"/>
                <w:sz w:val="20"/>
                <w:szCs w:val="20"/>
              </w:rPr>
            </w:pPr>
            <w:r>
              <w:rPr>
                <w:rFonts w:hint="default" w:ascii="Times New Roman" w:hAnsi="Times New Roman" w:cs="宋体"/>
                <w:color w:val="000000"/>
                <w:kern w:val="0"/>
                <w:sz w:val="20"/>
                <w:szCs w:val="20"/>
                <w:lang w:val="en-US" w:eastAsia="zh-C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33</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海陵文化旅游多功能展示厅</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新开工</w:t>
            </w:r>
          </w:p>
        </w:tc>
        <w:tc>
          <w:tcPr>
            <w:tcW w:w="40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建设海陵岛试验区文化、旅游、规划（招商）展示厅，展示全岛风貌，按照阳江市委市政府要求打造“国际旅游岛”新形象。</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2021-2025</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2000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cs="宋体"/>
                <w:color w:val="000000"/>
                <w:kern w:val="0"/>
                <w:sz w:val="20"/>
                <w:szCs w:val="20"/>
              </w:rPr>
            </w:pPr>
            <w:r>
              <w:rPr>
                <w:rFonts w:hint="default" w:ascii="Times New Roman" w:hAnsi="Times New Roman" w:cs="宋体"/>
                <w:color w:val="000000"/>
                <w:kern w:val="0"/>
                <w:sz w:val="20"/>
                <w:szCs w:val="20"/>
                <w:lang w:val="en-US" w:eastAsia="zh-CN"/>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34</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海陵岛防灾减灾实验基地</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筹建</w:t>
            </w:r>
          </w:p>
        </w:tc>
        <w:tc>
          <w:tcPr>
            <w:tcW w:w="40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建设气象科普台风体验馆</w:t>
            </w:r>
            <w:r>
              <w:rPr>
                <w:rFonts w:hint="default" w:ascii="Times New Roman" w:hAnsi="Times New Roman" w:cs="宋体"/>
                <w:color w:val="000000"/>
                <w:kern w:val="0"/>
                <w:sz w:val="20"/>
                <w:szCs w:val="20"/>
                <w:lang w:val="en-US" w:eastAsia="zh-CN"/>
              </w:rPr>
              <w:t>,</w:t>
            </w:r>
            <w:r>
              <w:rPr>
                <w:rFonts w:hint="eastAsia" w:ascii="Times New Roman" w:hAnsi="Times New Roman" w:cs="宋体"/>
                <w:color w:val="000000"/>
                <w:kern w:val="0"/>
                <w:sz w:val="20"/>
                <w:szCs w:val="20"/>
                <w:lang w:val="en-US" w:eastAsia="zh-CN"/>
              </w:rPr>
              <w:t>面积</w:t>
            </w:r>
            <w:r>
              <w:rPr>
                <w:rFonts w:hint="default" w:ascii="Times New Roman" w:hAnsi="Times New Roman" w:cs="宋体"/>
                <w:color w:val="000000"/>
                <w:kern w:val="0"/>
                <w:sz w:val="20"/>
                <w:szCs w:val="20"/>
                <w:lang w:val="en-US" w:eastAsia="zh-CN"/>
              </w:rPr>
              <w:t>20175</w:t>
            </w:r>
            <w:r>
              <w:rPr>
                <w:rFonts w:hint="eastAsia" w:ascii="Times New Roman" w:hAnsi="Times New Roman" w:cs="宋体"/>
                <w:color w:val="000000"/>
                <w:kern w:val="0"/>
                <w:sz w:val="20"/>
                <w:szCs w:val="20"/>
                <w:lang w:val="en-US" w:eastAsia="zh-CN"/>
              </w:rPr>
              <w:t>平方米</w:t>
            </w:r>
            <w:r>
              <w:rPr>
                <w:rFonts w:hint="default" w:ascii="Times New Roman" w:hAnsi="Times New Roman" w:cs="宋体"/>
                <w:color w:val="000000"/>
                <w:kern w:val="0"/>
                <w:sz w:val="20"/>
                <w:szCs w:val="20"/>
                <w:lang w:val="en-US" w:eastAsia="zh-CN"/>
              </w:rPr>
              <w:t>,</w:t>
            </w:r>
            <w:r>
              <w:rPr>
                <w:rFonts w:hint="eastAsia" w:ascii="Times New Roman" w:hAnsi="Times New Roman" w:cs="宋体"/>
                <w:color w:val="000000"/>
                <w:kern w:val="0"/>
                <w:sz w:val="20"/>
                <w:szCs w:val="20"/>
                <w:lang w:val="en-US" w:eastAsia="zh-CN"/>
              </w:rPr>
              <w:t>附属建设包括停车场、广场、室外科普展示场地等。</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2020-2022</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7800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35</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阳江市海陵岛中国国刀国防教育体验基地</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筹建</w:t>
            </w:r>
          </w:p>
        </w:tc>
        <w:tc>
          <w:tcPr>
            <w:tcW w:w="40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项目占地面积待定，建筑面积约10000平方米。开展建设内容是56个民族村、康养精品酒店区、多媒体国防教育展馆、拓展应急训练区、射击馆、文化商业街、服务大楼、旅游商品、纪念品服务场及基础设施，项目建设期约为10年</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2022-2032</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100000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cs="宋体"/>
                <w:color w:val="000000"/>
                <w:kern w:val="0"/>
                <w:sz w:val="20"/>
                <w:szCs w:val="20"/>
              </w:rPr>
            </w:pPr>
            <w:r>
              <w:rPr>
                <w:rFonts w:hint="eastAsia" w:ascii="Times New Roman" w:hAnsi="Times New Roman" w:cs="宋体"/>
                <w:color w:val="000000"/>
                <w:kern w:val="0"/>
                <w:sz w:val="20"/>
                <w:szCs w:val="20"/>
                <w:lang w:val="en-US" w:eastAsia="zh-CN"/>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36</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银滩分布式能源站项目</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筹建</w:t>
            </w:r>
          </w:p>
        </w:tc>
        <w:tc>
          <w:tcPr>
            <w:tcW w:w="40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建设规模为100MW，项目采用天然气冷热电三联供分布式能源技术。拟建设2台50MW级燃气-蒸汽联合循环冷热电联供机组每联合循环机组，每套联合循环机组由1台燃机，1台燃机发电机，1台余热锅炉，1台汽轮机和1台汽轮发电机组成。建设内容主要包括联合循环机组及辅助生产设施建设，配套的土建工程和电气工程建设，以及管理和生活设施建设。</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2021-2025</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66000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cs="宋体"/>
                <w:color w:val="000000"/>
                <w:kern w:val="0"/>
                <w:sz w:val="20"/>
                <w:szCs w:val="20"/>
              </w:rPr>
            </w:pPr>
            <w:r>
              <w:rPr>
                <w:rFonts w:hint="default" w:ascii="Times New Roman" w:hAnsi="Times New Roman" w:cs="宋体"/>
                <w:color w:val="000000"/>
                <w:kern w:val="0"/>
                <w:sz w:val="20"/>
                <w:szCs w:val="20"/>
                <w:lang w:val="en-US" w:eastAsia="zh-CN"/>
              </w:rPr>
              <w:t>66000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37</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环保再生资源建筑垃圾渣土综合利用</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筹建</w:t>
            </w:r>
          </w:p>
        </w:tc>
        <w:tc>
          <w:tcPr>
            <w:tcW w:w="40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占地面积约</w:t>
            </w:r>
            <w:r>
              <w:rPr>
                <w:rFonts w:hint="default" w:ascii="Times New Roman" w:hAnsi="Times New Roman" w:cs="宋体"/>
                <w:color w:val="000000"/>
                <w:kern w:val="0"/>
                <w:sz w:val="20"/>
                <w:szCs w:val="20"/>
                <w:lang w:val="en-US" w:eastAsia="zh-CN"/>
              </w:rPr>
              <w:t>30000</w:t>
            </w:r>
            <w:r>
              <w:rPr>
                <w:rFonts w:hint="eastAsia" w:ascii="Times New Roman" w:hAnsi="Times New Roman" w:cs="宋体"/>
                <w:color w:val="000000"/>
                <w:kern w:val="0"/>
                <w:sz w:val="20"/>
                <w:szCs w:val="20"/>
                <w:lang w:val="en-US" w:eastAsia="zh-CN"/>
              </w:rPr>
              <w:t>平方米，建筑面积</w:t>
            </w:r>
            <w:r>
              <w:rPr>
                <w:rFonts w:hint="default" w:ascii="Times New Roman" w:hAnsi="Times New Roman" w:cs="宋体"/>
                <w:color w:val="000000"/>
                <w:kern w:val="0"/>
                <w:sz w:val="20"/>
                <w:szCs w:val="20"/>
                <w:lang w:val="en-US" w:eastAsia="zh-CN"/>
              </w:rPr>
              <w:t>2400</w:t>
            </w:r>
            <w:r>
              <w:rPr>
                <w:rFonts w:hint="eastAsia" w:ascii="Times New Roman" w:hAnsi="Times New Roman" w:cs="宋体"/>
                <w:color w:val="000000"/>
                <w:kern w:val="0"/>
                <w:sz w:val="20"/>
                <w:szCs w:val="20"/>
                <w:lang w:val="en-US" w:eastAsia="zh-CN"/>
              </w:rPr>
              <w:t>平方米，安装破碎机</w:t>
            </w:r>
            <w:r>
              <w:rPr>
                <w:rFonts w:hint="default" w:ascii="Times New Roman" w:hAnsi="Times New Roman" w:cs="宋体"/>
                <w:color w:val="000000"/>
                <w:kern w:val="0"/>
                <w:sz w:val="20"/>
                <w:szCs w:val="20"/>
                <w:lang w:val="en-US" w:eastAsia="zh-CN"/>
              </w:rPr>
              <w:t>2</w:t>
            </w:r>
            <w:r>
              <w:rPr>
                <w:rFonts w:hint="eastAsia" w:ascii="Times New Roman" w:hAnsi="Times New Roman" w:cs="宋体"/>
                <w:color w:val="000000"/>
                <w:kern w:val="0"/>
                <w:sz w:val="20"/>
                <w:szCs w:val="20"/>
                <w:lang w:val="en-US" w:eastAsia="zh-CN"/>
              </w:rPr>
              <w:t>台、压滤机</w:t>
            </w:r>
            <w:r>
              <w:rPr>
                <w:rFonts w:hint="default" w:ascii="Times New Roman" w:hAnsi="Times New Roman" w:cs="宋体"/>
                <w:color w:val="000000"/>
                <w:kern w:val="0"/>
                <w:sz w:val="20"/>
                <w:szCs w:val="20"/>
                <w:lang w:val="en-US" w:eastAsia="zh-CN"/>
              </w:rPr>
              <w:t>10</w:t>
            </w:r>
            <w:r>
              <w:rPr>
                <w:rFonts w:hint="eastAsia" w:ascii="Times New Roman" w:hAnsi="Times New Roman" w:cs="宋体"/>
                <w:color w:val="000000"/>
                <w:kern w:val="0"/>
                <w:sz w:val="20"/>
                <w:szCs w:val="20"/>
                <w:lang w:val="en-US" w:eastAsia="zh-CN"/>
              </w:rPr>
              <w:t>台、给料机</w:t>
            </w:r>
            <w:r>
              <w:rPr>
                <w:rFonts w:hint="default" w:ascii="Times New Roman" w:hAnsi="Times New Roman" w:cs="宋体"/>
                <w:color w:val="000000"/>
                <w:kern w:val="0"/>
                <w:sz w:val="20"/>
                <w:szCs w:val="20"/>
                <w:lang w:val="en-US" w:eastAsia="zh-CN"/>
              </w:rPr>
              <w:t>2</w:t>
            </w:r>
            <w:r>
              <w:rPr>
                <w:rFonts w:hint="eastAsia" w:ascii="Times New Roman" w:hAnsi="Times New Roman" w:cs="宋体"/>
                <w:color w:val="000000"/>
                <w:kern w:val="0"/>
                <w:sz w:val="20"/>
                <w:szCs w:val="20"/>
                <w:lang w:val="en-US" w:eastAsia="zh-CN"/>
              </w:rPr>
              <w:t>台、捣浆机</w:t>
            </w:r>
            <w:r>
              <w:rPr>
                <w:rFonts w:hint="default" w:ascii="Times New Roman" w:hAnsi="Times New Roman" w:cs="宋体"/>
                <w:color w:val="000000"/>
                <w:kern w:val="0"/>
                <w:sz w:val="20"/>
                <w:szCs w:val="20"/>
                <w:lang w:val="en-US" w:eastAsia="zh-CN"/>
              </w:rPr>
              <w:t>4</w:t>
            </w:r>
            <w:r>
              <w:rPr>
                <w:rFonts w:hint="eastAsia" w:ascii="Times New Roman" w:hAnsi="Times New Roman" w:cs="宋体"/>
                <w:color w:val="000000"/>
                <w:kern w:val="0"/>
                <w:sz w:val="20"/>
                <w:szCs w:val="20"/>
                <w:lang w:val="en-US" w:eastAsia="zh-CN"/>
              </w:rPr>
              <w:t>台、制砂机</w:t>
            </w:r>
            <w:r>
              <w:rPr>
                <w:rFonts w:hint="default" w:ascii="Times New Roman" w:hAnsi="Times New Roman" w:cs="宋体"/>
                <w:color w:val="000000"/>
                <w:kern w:val="0"/>
                <w:sz w:val="20"/>
                <w:szCs w:val="20"/>
                <w:lang w:val="en-US" w:eastAsia="zh-CN"/>
              </w:rPr>
              <w:t>4</w:t>
            </w:r>
            <w:r>
              <w:rPr>
                <w:rFonts w:hint="eastAsia" w:ascii="Times New Roman" w:hAnsi="Times New Roman" w:cs="宋体"/>
                <w:color w:val="000000"/>
                <w:kern w:val="0"/>
                <w:sz w:val="20"/>
                <w:szCs w:val="20"/>
                <w:lang w:val="en-US" w:eastAsia="zh-CN"/>
              </w:rPr>
              <w:t>台、旋流器</w:t>
            </w:r>
            <w:r>
              <w:rPr>
                <w:rFonts w:hint="default" w:ascii="Times New Roman" w:hAnsi="Times New Roman" w:cs="宋体"/>
                <w:color w:val="000000"/>
                <w:kern w:val="0"/>
                <w:sz w:val="20"/>
                <w:szCs w:val="20"/>
                <w:lang w:val="en-US" w:eastAsia="zh-CN"/>
              </w:rPr>
              <w:t>4</w:t>
            </w:r>
            <w:r>
              <w:rPr>
                <w:rFonts w:hint="eastAsia" w:ascii="Times New Roman" w:hAnsi="Times New Roman" w:cs="宋体"/>
                <w:color w:val="000000"/>
                <w:kern w:val="0"/>
                <w:sz w:val="20"/>
                <w:szCs w:val="20"/>
                <w:lang w:val="en-US" w:eastAsia="zh-CN"/>
              </w:rPr>
              <w:t>台、等设备。</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2022-2025</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3000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default" w:ascii="Times New Roman" w:hAnsi="Times New Roman" w:cs="宋体"/>
                <w:color w:val="000000"/>
                <w:kern w:val="0"/>
                <w:sz w:val="20"/>
                <w:szCs w:val="20"/>
                <w:lang w:val="en-US" w:eastAsia="zh-CN"/>
              </w:rPr>
            </w:pPr>
            <w:r>
              <w:rPr>
                <w:rFonts w:hint="eastAsia" w:ascii="Times New Roman" w:hAnsi="Times New Roman" w:cs="宋体"/>
                <w:color w:val="000000"/>
                <w:kern w:val="0"/>
                <w:sz w:val="20"/>
                <w:szCs w:val="20"/>
                <w:lang w:val="en-US" w:eastAsia="zh-CN"/>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38</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海陵海怡新邨（原海怡半岛）</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新开工</w:t>
            </w:r>
          </w:p>
        </w:tc>
        <w:tc>
          <w:tcPr>
            <w:tcW w:w="40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val="en-US" w:eastAsia="zh-CN"/>
              </w:rPr>
              <w:t>建设7栋住宅、1栋商业和1栋幼儿园，总建筑面积87047.66平方米。</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default" w:ascii="Times New Roman" w:hAnsi="Times New Roman" w:cs="宋体"/>
                <w:color w:val="000000"/>
                <w:kern w:val="0"/>
                <w:sz w:val="20"/>
                <w:szCs w:val="20"/>
                <w:lang w:val="en-US" w:eastAsia="zh-CN"/>
              </w:rPr>
            </w:pPr>
            <w:r>
              <w:rPr>
                <w:rFonts w:hint="eastAsia" w:ascii="Times New Roman" w:hAnsi="Times New Roman" w:cs="宋体"/>
                <w:color w:val="000000"/>
                <w:kern w:val="0"/>
                <w:sz w:val="20"/>
                <w:szCs w:val="20"/>
                <w:lang w:val="en-US" w:eastAsia="zh-CN"/>
              </w:rPr>
              <w:t>2020-2024</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cs="宋体"/>
                <w:color w:val="000000"/>
                <w:kern w:val="0"/>
                <w:sz w:val="20"/>
                <w:szCs w:val="20"/>
                <w:lang w:val="en-US" w:eastAsia="zh-CN"/>
              </w:rPr>
              <w:t>45000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default" w:ascii="Times New Roman" w:hAnsi="Times New Roman" w:cs="宋体"/>
                <w:color w:val="000000"/>
                <w:kern w:val="0"/>
                <w:sz w:val="20"/>
                <w:szCs w:val="20"/>
                <w:lang w:val="en-US" w:eastAsia="zh-CN"/>
              </w:rPr>
            </w:pPr>
            <w:r>
              <w:rPr>
                <w:rFonts w:hint="eastAsia" w:ascii="Times New Roman" w:hAnsi="Times New Roman" w:cs="宋体"/>
                <w:color w:val="000000"/>
                <w:kern w:val="0"/>
                <w:sz w:val="20"/>
                <w:szCs w:val="20"/>
                <w:lang w:val="en-US" w:eastAsia="zh-CN"/>
              </w:rPr>
              <w:t>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cs="宋体"/>
                <w:color w:val="000000"/>
                <w:kern w:val="0"/>
                <w:sz w:val="20"/>
                <w:szCs w:val="20"/>
                <w:lang w:val="en-US" w:eastAsia="zh-CN"/>
              </w:rPr>
            </w:pPr>
            <w:r>
              <w:rPr>
                <w:rFonts w:hint="eastAsia" w:ascii="Times New Roman" w:hAnsi="Times New Roman" w:cs="宋体"/>
                <w:color w:val="000000"/>
                <w:kern w:val="0"/>
                <w:sz w:val="20"/>
                <w:szCs w:val="20"/>
                <w:lang w:val="en-US" w:eastAsia="zh-CN"/>
              </w:rPr>
              <w:t>39</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Times New Roman" w:hAnsi="Times New Roman" w:cs="宋体"/>
                <w:color w:val="000000"/>
                <w:kern w:val="0"/>
                <w:sz w:val="20"/>
                <w:szCs w:val="20"/>
                <w:lang w:val="en-US" w:eastAsia="zh-CN"/>
              </w:rPr>
            </w:pPr>
            <w:r>
              <w:rPr>
                <w:rFonts w:hint="eastAsia" w:ascii="Times New Roman" w:hAnsi="Times New Roman" w:cs="宋体"/>
                <w:color w:val="000000"/>
                <w:kern w:val="0"/>
                <w:sz w:val="20"/>
                <w:szCs w:val="20"/>
                <w:lang w:val="en-US" w:eastAsia="zh-CN"/>
              </w:rPr>
              <w:t>万豪海陵湾一号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cs="宋体"/>
                <w:color w:val="000000"/>
                <w:kern w:val="0"/>
                <w:sz w:val="20"/>
                <w:szCs w:val="20"/>
                <w:lang w:val="en-US" w:eastAsia="zh-CN"/>
              </w:rPr>
            </w:pPr>
            <w:r>
              <w:rPr>
                <w:rFonts w:hint="eastAsia" w:ascii="Times New Roman" w:hAnsi="Times New Roman" w:cs="宋体"/>
                <w:color w:val="000000"/>
                <w:kern w:val="0"/>
                <w:sz w:val="20"/>
                <w:szCs w:val="20"/>
                <w:lang w:val="en-US" w:eastAsia="zh-CN"/>
              </w:rPr>
              <w:t>续建</w:t>
            </w:r>
          </w:p>
        </w:tc>
        <w:tc>
          <w:tcPr>
            <w:tcW w:w="40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Times New Roman" w:hAnsi="Times New Roman" w:cs="宋体"/>
                <w:color w:val="000000"/>
                <w:kern w:val="0"/>
                <w:sz w:val="20"/>
                <w:szCs w:val="20"/>
                <w:lang w:val="en-US" w:eastAsia="zh-CN"/>
              </w:rPr>
            </w:pPr>
            <w:r>
              <w:rPr>
                <w:rFonts w:hint="eastAsia" w:ascii="Times New Roman" w:hAnsi="Times New Roman" w:cs="宋体"/>
                <w:color w:val="000000"/>
                <w:kern w:val="0"/>
                <w:sz w:val="20"/>
                <w:szCs w:val="20"/>
                <w:lang w:val="en-US" w:eastAsia="zh-CN"/>
              </w:rPr>
              <w:t>占地面积600多亩，建设万豪酒店、万怡酒店、产权式酒店及高层公寓。</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default" w:ascii="Times New Roman" w:hAnsi="Times New Roman" w:cs="宋体"/>
                <w:color w:val="000000"/>
                <w:kern w:val="0"/>
                <w:sz w:val="20"/>
                <w:szCs w:val="20"/>
                <w:lang w:val="en-US" w:eastAsia="zh-CN"/>
              </w:rPr>
            </w:pPr>
            <w:r>
              <w:rPr>
                <w:rFonts w:hint="eastAsia" w:ascii="Times New Roman" w:hAnsi="Times New Roman" w:cs="宋体"/>
                <w:color w:val="000000"/>
                <w:kern w:val="0"/>
                <w:sz w:val="20"/>
                <w:szCs w:val="20"/>
                <w:lang w:val="en-US" w:eastAsia="zh-CN"/>
              </w:rPr>
              <w:t>2018-2023</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default" w:ascii="Times New Roman" w:hAnsi="Times New Roman" w:cs="宋体"/>
                <w:color w:val="000000"/>
                <w:kern w:val="0"/>
                <w:sz w:val="20"/>
                <w:szCs w:val="20"/>
                <w:lang w:val="en-US" w:eastAsia="zh-CN"/>
              </w:rPr>
            </w:pPr>
            <w:r>
              <w:rPr>
                <w:rFonts w:hint="default" w:ascii="Times New Roman" w:hAnsi="Times New Roman" w:cs="宋体"/>
                <w:color w:val="000000"/>
                <w:kern w:val="0"/>
                <w:sz w:val="20"/>
                <w:szCs w:val="20"/>
                <w:lang w:val="en-US" w:eastAsia="zh-CN"/>
              </w:rPr>
              <w:t>300000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default" w:ascii="Times New Roman" w:hAnsi="Times New Roman" w:cs="宋体"/>
                <w:color w:val="000000"/>
                <w:kern w:val="0"/>
                <w:sz w:val="20"/>
                <w:szCs w:val="20"/>
                <w:lang w:val="en-US" w:eastAsia="zh-CN"/>
              </w:rPr>
            </w:pPr>
            <w:r>
              <w:rPr>
                <w:rFonts w:hint="eastAsia" w:ascii="Times New Roman" w:hAnsi="Times New Roman" w:cs="宋体"/>
                <w:color w:val="000000"/>
                <w:kern w:val="0"/>
                <w:sz w:val="20"/>
                <w:szCs w:val="20"/>
                <w:lang w:val="en-US" w:eastAsia="zh-C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cs="宋体"/>
                <w:color w:val="000000"/>
                <w:kern w:val="0"/>
                <w:sz w:val="20"/>
                <w:szCs w:val="20"/>
                <w:lang w:val="en-US" w:eastAsia="zh-CN"/>
              </w:rPr>
            </w:pPr>
            <w:r>
              <w:rPr>
                <w:rFonts w:hint="eastAsia" w:ascii="Times New Roman" w:hAnsi="Times New Roman" w:cs="宋体"/>
                <w:color w:val="000000"/>
                <w:kern w:val="0"/>
                <w:sz w:val="20"/>
                <w:szCs w:val="20"/>
                <w:lang w:val="en-US" w:eastAsia="zh-CN"/>
              </w:rPr>
              <w:t>40</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Times New Roman" w:hAnsi="Times New Roman" w:cs="宋体"/>
                <w:color w:val="000000"/>
                <w:kern w:val="0"/>
                <w:sz w:val="20"/>
                <w:szCs w:val="20"/>
                <w:lang w:val="en-US" w:eastAsia="zh-CN"/>
              </w:rPr>
            </w:pPr>
            <w:r>
              <w:rPr>
                <w:rFonts w:hint="eastAsia" w:ascii="Times New Roman" w:hAnsi="Times New Roman" w:cs="宋体"/>
                <w:color w:val="000000"/>
                <w:kern w:val="0"/>
                <w:sz w:val="20"/>
                <w:szCs w:val="20"/>
                <w:lang w:val="en-US" w:eastAsia="zh-CN"/>
              </w:rPr>
              <w:t>京汉云海间</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cs="宋体"/>
                <w:color w:val="000000"/>
                <w:kern w:val="0"/>
                <w:sz w:val="20"/>
                <w:szCs w:val="20"/>
                <w:lang w:val="en-US" w:eastAsia="zh-CN"/>
              </w:rPr>
            </w:pPr>
            <w:r>
              <w:rPr>
                <w:rFonts w:hint="eastAsia" w:ascii="Times New Roman" w:hAnsi="Times New Roman" w:cs="宋体"/>
                <w:color w:val="000000"/>
                <w:kern w:val="0"/>
                <w:sz w:val="20"/>
                <w:szCs w:val="20"/>
                <w:lang w:val="en-US" w:eastAsia="zh-CN"/>
              </w:rPr>
              <w:t>续建</w:t>
            </w:r>
          </w:p>
        </w:tc>
        <w:tc>
          <w:tcPr>
            <w:tcW w:w="40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Times New Roman" w:hAnsi="Times New Roman" w:cs="宋体"/>
                <w:color w:val="000000"/>
                <w:kern w:val="0"/>
                <w:sz w:val="20"/>
                <w:szCs w:val="20"/>
                <w:lang w:val="en-US" w:eastAsia="zh-CN"/>
              </w:rPr>
            </w:pPr>
            <w:r>
              <w:rPr>
                <w:rFonts w:hint="eastAsia" w:ascii="Times New Roman" w:hAnsi="Times New Roman" w:cs="宋体"/>
                <w:color w:val="000000"/>
                <w:kern w:val="0"/>
                <w:sz w:val="20"/>
                <w:szCs w:val="20"/>
                <w:lang w:val="en-US" w:eastAsia="zh-CN"/>
              </w:rPr>
              <w:t>项目规划用地面积约69205m2，总建筑面积为184119m2，主要建设内容包括：3幢33层、3幢27层，2幢15层高层住宅、1幢21层商住公寓、2幢1层商业及1幢3层建筑。</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default" w:ascii="Times New Roman" w:hAnsi="Times New Roman" w:cs="宋体"/>
                <w:color w:val="000000"/>
                <w:kern w:val="0"/>
                <w:sz w:val="20"/>
                <w:szCs w:val="20"/>
                <w:lang w:val="en-US" w:eastAsia="zh-CN"/>
              </w:rPr>
            </w:pPr>
            <w:r>
              <w:rPr>
                <w:rFonts w:hint="default" w:ascii="Times New Roman" w:hAnsi="Times New Roman" w:cs="宋体"/>
                <w:color w:val="000000"/>
                <w:kern w:val="0"/>
                <w:sz w:val="20"/>
                <w:szCs w:val="20"/>
                <w:lang w:val="en-US" w:eastAsia="zh-CN"/>
              </w:rPr>
              <w:t>2019-2022</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default" w:ascii="Times New Roman" w:hAnsi="Times New Roman" w:cs="宋体"/>
                <w:color w:val="000000"/>
                <w:kern w:val="0"/>
                <w:sz w:val="20"/>
                <w:szCs w:val="20"/>
                <w:lang w:val="en-US" w:eastAsia="zh-CN"/>
              </w:rPr>
            </w:pPr>
            <w:r>
              <w:rPr>
                <w:rFonts w:hint="default" w:ascii="Times New Roman" w:hAnsi="Times New Roman" w:cs="宋体"/>
                <w:color w:val="000000"/>
                <w:kern w:val="0"/>
                <w:sz w:val="20"/>
                <w:szCs w:val="20"/>
                <w:lang w:val="en-US" w:eastAsia="zh-CN"/>
              </w:rPr>
              <w:t>121706</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default" w:ascii="Times New Roman" w:hAnsi="Times New Roman" w:cs="宋体"/>
                <w:color w:val="000000"/>
                <w:kern w:val="0"/>
                <w:sz w:val="20"/>
                <w:szCs w:val="20"/>
                <w:lang w:val="en-US" w:eastAsia="zh-CN"/>
              </w:rPr>
            </w:pPr>
            <w:r>
              <w:rPr>
                <w:rFonts w:hint="eastAsia" w:ascii="Times New Roman" w:hAnsi="Times New Roman" w:cs="宋体"/>
                <w:color w:val="000000"/>
                <w:kern w:val="0"/>
                <w:sz w:val="20"/>
                <w:szCs w:val="20"/>
                <w:lang w:val="en-US" w:eastAsia="zh-CN"/>
              </w:rPr>
              <w:t>121706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cs="宋体"/>
                <w:color w:val="000000"/>
                <w:kern w:val="0"/>
                <w:sz w:val="20"/>
                <w:szCs w:val="20"/>
                <w:lang w:val="en-US" w:eastAsia="zh-CN"/>
              </w:rPr>
            </w:pPr>
            <w:r>
              <w:rPr>
                <w:rFonts w:hint="eastAsia" w:ascii="Times New Roman" w:hAnsi="Times New Roman" w:eastAsia="宋体" w:cs="宋体"/>
                <w:b/>
                <w:bCs/>
                <w:color w:val="000000"/>
                <w:kern w:val="0"/>
                <w:sz w:val="20"/>
                <w:szCs w:val="20"/>
                <w:lang w:val="en-US" w:eastAsia="zh-CN"/>
              </w:rPr>
              <w:t>三、</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cs="宋体"/>
                <w:color w:val="000000"/>
                <w:kern w:val="0"/>
                <w:sz w:val="20"/>
                <w:szCs w:val="20"/>
                <w:lang w:val="en-US" w:eastAsia="zh-CN"/>
              </w:rPr>
            </w:pPr>
            <w:r>
              <w:rPr>
                <w:rFonts w:hint="eastAsia" w:ascii="Times New Roman" w:hAnsi="Times New Roman" w:eastAsia="宋体" w:cs="宋体"/>
                <w:b/>
                <w:bCs/>
                <w:color w:val="000000"/>
                <w:kern w:val="0"/>
                <w:sz w:val="20"/>
                <w:szCs w:val="20"/>
                <w:lang w:val="en-US" w:eastAsia="zh-CN"/>
              </w:rPr>
              <w:t>民生工程（共7项）</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cs="宋体"/>
                <w:color w:val="000000"/>
                <w:kern w:val="0"/>
                <w:sz w:val="20"/>
                <w:szCs w:val="20"/>
                <w:lang w:val="en-US" w:eastAsia="zh-CN"/>
              </w:rPr>
            </w:pPr>
          </w:p>
        </w:tc>
        <w:tc>
          <w:tcPr>
            <w:tcW w:w="40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Times New Roman" w:hAnsi="Times New Roman" w:cs="宋体"/>
                <w:color w:val="000000"/>
                <w:kern w:val="0"/>
                <w:sz w:val="20"/>
                <w:szCs w:val="20"/>
                <w:lang w:val="en-US" w:eastAsia="zh-CN"/>
              </w:rPr>
            </w:pP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cs="宋体"/>
                <w:color w:val="000000"/>
                <w:kern w:val="0"/>
                <w:sz w:val="20"/>
                <w:szCs w:val="20"/>
                <w:lang w:val="en-US" w:eastAsia="zh-CN"/>
              </w:rPr>
            </w:pP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宋体"/>
                <w:color w:val="000000"/>
                <w:kern w:val="0"/>
                <w:sz w:val="20"/>
                <w:szCs w:val="20"/>
                <w:lang w:val="en-US" w:eastAsia="zh-CN"/>
              </w:rPr>
            </w:pPr>
            <w:r>
              <w:rPr>
                <w:rFonts w:hint="default" w:ascii="Times New Roman" w:hAnsi="Times New Roman" w:eastAsia="宋体" w:cs="宋体"/>
                <w:b/>
                <w:bCs/>
                <w:color w:val="000000"/>
                <w:kern w:val="0"/>
                <w:sz w:val="20"/>
                <w:szCs w:val="20"/>
                <w:lang w:val="en-US" w:eastAsia="zh-CN"/>
              </w:rPr>
              <w:t>190536</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cs="宋体"/>
                <w:color w:val="000000"/>
                <w:sz w:val="20"/>
                <w:szCs w:val="20"/>
              </w:rPr>
            </w:pPr>
            <w:r>
              <w:rPr>
                <w:rFonts w:hint="default" w:ascii="Times New Roman" w:hAnsi="Times New Roman" w:eastAsia="宋体" w:cs="宋体"/>
                <w:b/>
                <w:bCs/>
                <w:color w:val="000000"/>
                <w:kern w:val="0"/>
                <w:sz w:val="20"/>
                <w:szCs w:val="20"/>
                <w:lang w:val="en-US" w:eastAsia="zh-CN"/>
              </w:rPr>
              <w:t>0</w:t>
            </w: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cs="宋体"/>
                <w:color w:val="000000"/>
                <w:kern w:val="0"/>
                <w:sz w:val="20"/>
                <w:szCs w:val="20"/>
                <w:highlight w:val="red"/>
              </w:rPr>
            </w:pPr>
            <w:r>
              <w:rPr>
                <w:rFonts w:hint="eastAsia" w:ascii="Times New Roman" w:hAnsi="Times New Roman" w:cs="宋体"/>
                <w:b/>
                <w:bCs/>
                <w:color w:val="000000"/>
                <w:kern w:val="0"/>
                <w:sz w:val="20"/>
                <w:szCs w:val="20"/>
                <w:highlight w:val="none"/>
              </w:rPr>
              <w:t>140536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cs="宋体"/>
                <w:color w:val="000000"/>
                <w:kern w:val="0"/>
                <w:sz w:val="20"/>
                <w:szCs w:val="20"/>
                <w:lang w:val="en-US" w:eastAsia="zh-CN"/>
              </w:rPr>
            </w:pPr>
            <w:r>
              <w:rPr>
                <w:rFonts w:hint="eastAsia" w:ascii="Times New Roman" w:hAnsi="Times New Roman" w:eastAsia="宋体" w:cs="宋体"/>
                <w:color w:val="000000"/>
                <w:kern w:val="0"/>
                <w:sz w:val="20"/>
                <w:szCs w:val="20"/>
                <w:lang w:val="en-US" w:eastAsia="zh-CN"/>
              </w:rPr>
              <w:t>41</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Times New Roman" w:hAnsi="Times New Roman" w:cs="宋体"/>
                <w:color w:val="000000"/>
                <w:kern w:val="0"/>
                <w:sz w:val="20"/>
                <w:szCs w:val="20"/>
                <w:lang w:val="en-US" w:eastAsia="zh-CN"/>
              </w:rPr>
            </w:pPr>
            <w:r>
              <w:rPr>
                <w:rFonts w:hint="eastAsia" w:ascii="Times New Roman" w:hAnsi="Times New Roman" w:eastAsia="宋体" w:cs="宋体"/>
                <w:color w:val="000000"/>
                <w:kern w:val="0"/>
                <w:sz w:val="20"/>
                <w:szCs w:val="20"/>
                <w:lang w:val="en-US" w:eastAsia="zh-CN"/>
              </w:rPr>
              <w:t>迁建阳江市海陵岛经济开发试验区海陵中心小学项目</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cs="宋体"/>
                <w:color w:val="000000"/>
                <w:kern w:val="0"/>
                <w:sz w:val="20"/>
                <w:szCs w:val="20"/>
                <w:lang w:val="en-US" w:eastAsia="zh-CN"/>
              </w:rPr>
            </w:pPr>
            <w:r>
              <w:rPr>
                <w:rFonts w:hint="default" w:ascii="Times New Roman" w:hAnsi="Times New Roman" w:eastAsia="宋体" w:cs="宋体"/>
                <w:color w:val="000000"/>
                <w:kern w:val="0"/>
                <w:sz w:val="20"/>
                <w:szCs w:val="20"/>
                <w:lang w:val="en-US" w:eastAsia="zh-CN"/>
              </w:rPr>
              <w:t>筹建</w:t>
            </w:r>
          </w:p>
        </w:tc>
        <w:tc>
          <w:tcPr>
            <w:tcW w:w="40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Times New Roman" w:hAnsi="Times New Roman" w:cs="宋体"/>
                <w:color w:val="000000"/>
                <w:kern w:val="0"/>
                <w:sz w:val="20"/>
                <w:szCs w:val="20"/>
                <w:lang w:val="en-US" w:eastAsia="zh-CN"/>
              </w:rPr>
            </w:pPr>
            <w:r>
              <w:rPr>
                <w:rFonts w:hint="eastAsia" w:ascii="Times New Roman" w:hAnsi="Times New Roman" w:eastAsia="宋体" w:cs="宋体"/>
                <w:color w:val="000000"/>
                <w:kern w:val="0"/>
                <w:sz w:val="20"/>
                <w:szCs w:val="20"/>
                <w:lang w:val="en-US" w:eastAsia="zh-CN"/>
              </w:rPr>
              <w:t>学校规划用地61220m2，建筑基底面积9683m2，总建筑面积28760m2，主要建设一幢4层综合楼和两幢各4层教学楼，建筑面积共9300m2；一幢4层教师工作用房，建筑面积3000m2；一幢2层食堂，建筑面积3000m2；1幢1层高体育室（含1个室内篮球场和1个室内游泳馆），建筑面积2970 m2及门卫室50m2。2幢5层高的学生宿舍楼共10440m2。配套设施工程。</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default" w:ascii="Times New Roman" w:hAnsi="Times New Roman" w:cs="宋体"/>
                <w:color w:val="000000"/>
                <w:kern w:val="0"/>
                <w:sz w:val="20"/>
                <w:szCs w:val="20"/>
                <w:lang w:val="en-US" w:eastAsia="zh-CN"/>
              </w:rPr>
            </w:pPr>
            <w:r>
              <w:rPr>
                <w:rFonts w:hint="default" w:ascii="Times New Roman" w:hAnsi="Times New Roman" w:eastAsia="宋体" w:cs="宋体"/>
                <w:color w:val="000000"/>
                <w:kern w:val="0"/>
                <w:sz w:val="20"/>
                <w:szCs w:val="20"/>
                <w:lang w:val="en-US" w:eastAsia="zh-CN"/>
              </w:rPr>
              <w:t>2021- 2023</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default" w:ascii="Times New Roman" w:hAnsi="Times New Roman" w:cs="宋体"/>
                <w:color w:val="000000"/>
                <w:kern w:val="0"/>
                <w:sz w:val="20"/>
                <w:szCs w:val="20"/>
                <w:lang w:val="en-US" w:eastAsia="zh-CN"/>
              </w:rPr>
            </w:pPr>
            <w:r>
              <w:rPr>
                <w:rFonts w:hint="default" w:ascii="Times New Roman" w:hAnsi="Times New Roman" w:eastAsia="宋体" w:cs="宋体"/>
                <w:color w:val="000000"/>
                <w:kern w:val="0"/>
                <w:sz w:val="20"/>
                <w:szCs w:val="20"/>
                <w:lang w:val="en-US" w:eastAsia="zh-CN"/>
              </w:rPr>
              <w:t>11536</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cs="宋体"/>
                <w:color w:val="000000"/>
                <w:kern w:val="0"/>
                <w:sz w:val="20"/>
                <w:szCs w:val="20"/>
              </w:rPr>
            </w:pPr>
            <w:r>
              <w:rPr>
                <w:rFonts w:hint="default" w:ascii="Times New Roman" w:hAnsi="Times New Roman" w:eastAsia="宋体" w:cs="宋体"/>
                <w:color w:val="000000"/>
                <w:kern w:val="0"/>
                <w:sz w:val="20"/>
                <w:szCs w:val="20"/>
                <w:lang w:val="en-US" w:eastAsia="zh-CN"/>
              </w:rPr>
              <w:t>11536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cs="宋体"/>
                <w:color w:val="000000"/>
                <w:kern w:val="0"/>
                <w:sz w:val="20"/>
                <w:szCs w:val="20"/>
                <w:lang w:val="en-US" w:eastAsia="zh-CN"/>
              </w:rPr>
            </w:pPr>
            <w:r>
              <w:rPr>
                <w:rFonts w:hint="eastAsia" w:ascii="Times New Roman" w:hAnsi="Times New Roman" w:eastAsia="宋体" w:cs="宋体"/>
                <w:color w:val="000000"/>
                <w:kern w:val="0"/>
                <w:sz w:val="20"/>
                <w:szCs w:val="20"/>
                <w:lang w:val="en-US" w:eastAsia="zh-CN"/>
              </w:rPr>
              <w:t>42</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Times New Roman" w:hAnsi="Times New Roman" w:cs="宋体"/>
                <w:color w:val="000000"/>
                <w:kern w:val="0"/>
                <w:sz w:val="20"/>
                <w:szCs w:val="20"/>
                <w:lang w:val="en-US" w:eastAsia="zh-CN"/>
              </w:rPr>
            </w:pPr>
            <w:r>
              <w:rPr>
                <w:rFonts w:hint="eastAsia" w:ascii="Times New Roman" w:hAnsi="Times New Roman" w:eastAsia="宋体" w:cs="宋体"/>
                <w:color w:val="000000"/>
                <w:kern w:val="0"/>
                <w:sz w:val="20"/>
                <w:szCs w:val="20"/>
                <w:lang w:val="en-US" w:eastAsia="zh-CN"/>
              </w:rPr>
              <w:t>海陵区养护（养老）医院工程项目</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cs="宋体"/>
                <w:color w:val="000000"/>
                <w:kern w:val="0"/>
                <w:sz w:val="20"/>
                <w:szCs w:val="20"/>
                <w:lang w:val="en-US" w:eastAsia="zh-CN"/>
              </w:rPr>
            </w:pPr>
            <w:r>
              <w:rPr>
                <w:rFonts w:hint="eastAsia" w:ascii="Times New Roman" w:hAnsi="Times New Roman" w:eastAsia="宋体" w:cs="宋体"/>
                <w:color w:val="000000"/>
                <w:kern w:val="0"/>
                <w:sz w:val="20"/>
                <w:szCs w:val="20"/>
                <w:lang w:val="en-US" w:eastAsia="zh-CN"/>
              </w:rPr>
              <w:t>筹建</w:t>
            </w:r>
          </w:p>
        </w:tc>
        <w:tc>
          <w:tcPr>
            <w:tcW w:w="40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Times New Roman" w:hAnsi="Times New Roman" w:cs="宋体"/>
                <w:color w:val="000000"/>
                <w:kern w:val="0"/>
                <w:sz w:val="20"/>
                <w:szCs w:val="20"/>
                <w:lang w:val="en-US" w:eastAsia="zh-CN"/>
              </w:rPr>
            </w:pPr>
            <w:r>
              <w:rPr>
                <w:rFonts w:hint="eastAsia" w:ascii="Times New Roman" w:hAnsi="Times New Roman" w:eastAsia="宋体" w:cs="宋体"/>
                <w:color w:val="000000"/>
                <w:kern w:val="0"/>
                <w:sz w:val="20"/>
                <w:szCs w:val="20"/>
                <w:lang w:val="en-US" w:eastAsia="zh-CN"/>
              </w:rPr>
              <w:t>项目占地面积6500平方米，总建筑面积8000平方米</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default" w:ascii="Times New Roman" w:hAnsi="Times New Roman" w:cs="宋体"/>
                <w:color w:val="000000"/>
                <w:kern w:val="0"/>
                <w:sz w:val="20"/>
                <w:szCs w:val="20"/>
                <w:lang w:val="en-US" w:eastAsia="zh-CN"/>
              </w:rPr>
            </w:pPr>
            <w:r>
              <w:rPr>
                <w:rFonts w:hint="default" w:ascii="Times New Roman" w:hAnsi="Times New Roman" w:eastAsia="宋体" w:cs="宋体"/>
                <w:color w:val="000000"/>
                <w:kern w:val="0"/>
                <w:sz w:val="20"/>
                <w:szCs w:val="20"/>
                <w:lang w:val="en-US" w:eastAsia="zh-CN"/>
              </w:rPr>
              <w:t>2021-2022</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default" w:ascii="Times New Roman" w:hAnsi="Times New Roman" w:cs="宋体"/>
                <w:color w:val="000000"/>
                <w:kern w:val="0"/>
                <w:sz w:val="20"/>
                <w:szCs w:val="20"/>
                <w:lang w:val="en-US" w:eastAsia="zh-CN"/>
              </w:rPr>
            </w:pPr>
            <w:r>
              <w:rPr>
                <w:rFonts w:hint="default" w:ascii="Times New Roman" w:hAnsi="Times New Roman" w:eastAsia="宋体" w:cs="宋体"/>
                <w:color w:val="000000"/>
                <w:kern w:val="0"/>
                <w:sz w:val="20"/>
                <w:szCs w:val="20"/>
                <w:lang w:val="en-US" w:eastAsia="zh-CN"/>
              </w:rPr>
              <w:t>15000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eastAsia="宋体" w:cs="宋体"/>
                <w:color w:val="000000"/>
                <w:kern w:val="0"/>
                <w:sz w:val="20"/>
                <w:szCs w:val="20"/>
                <w:lang w:val="en-US" w:eastAsia="zh-CN"/>
              </w:rPr>
              <w:t>0</w:t>
            </w: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cs="宋体"/>
                <w:color w:val="000000"/>
                <w:kern w:val="0"/>
                <w:sz w:val="20"/>
                <w:szCs w:val="20"/>
              </w:rPr>
            </w:pPr>
            <w:r>
              <w:rPr>
                <w:rFonts w:hint="default" w:ascii="Times New Roman" w:hAnsi="Times New Roman" w:eastAsia="宋体" w:cs="宋体"/>
                <w:color w:val="000000"/>
                <w:kern w:val="0"/>
                <w:sz w:val="20"/>
                <w:szCs w:val="20"/>
                <w:lang w:val="en-US" w:eastAsia="zh-CN"/>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cs="宋体"/>
                <w:color w:val="000000"/>
                <w:kern w:val="0"/>
                <w:sz w:val="20"/>
                <w:szCs w:val="20"/>
                <w:lang w:val="en-US" w:eastAsia="zh-CN"/>
              </w:rPr>
            </w:pPr>
            <w:r>
              <w:rPr>
                <w:rFonts w:hint="eastAsia" w:ascii="Times New Roman" w:hAnsi="Times New Roman" w:eastAsia="宋体" w:cs="宋体"/>
                <w:color w:val="000000"/>
                <w:kern w:val="0"/>
                <w:sz w:val="20"/>
                <w:szCs w:val="20"/>
                <w:lang w:val="en-US" w:eastAsia="zh-CN"/>
              </w:rPr>
              <w:t>43</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Times New Roman" w:hAnsi="Times New Roman" w:cs="宋体"/>
                <w:color w:val="000000"/>
                <w:kern w:val="0"/>
                <w:sz w:val="20"/>
                <w:szCs w:val="20"/>
                <w:lang w:val="en-US" w:eastAsia="zh-CN"/>
              </w:rPr>
            </w:pPr>
            <w:r>
              <w:rPr>
                <w:rFonts w:hint="eastAsia" w:ascii="Times New Roman" w:hAnsi="Times New Roman" w:eastAsia="宋体" w:cs="宋体"/>
                <w:color w:val="000000"/>
                <w:kern w:val="0"/>
                <w:sz w:val="20"/>
                <w:szCs w:val="20"/>
                <w:lang w:val="en-US" w:eastAsia="zh-CN"/>
              </w:rPr>
              <w:t>海陵综合医院升级改造项目</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cs="宋体"/>
                <w:color w:val="000000"/>
                <w:kern w:val="0"/>
                <w:sz w:val="20"/>
                <w:szCs w:val="20"/>
                <w:lang w:val="en-US" w:eastAsia="zh-CN"/>
              </w:rPr>
            </w:pPr>
            <w:r>
              <w:rPr>
                <w:rFonts w:hint="eastAsia" w:ascii="Times New Roman" w:hAnsi="Times New Roman" w:eastAsia="宋体" w:cs="宋体"/>
                <w:color w:val="000000"/>
                <w:kern w:val="0"/>
                <w:sz w:val="20"/>
                <w:szCs w:val="20"/>
                <w:lang w:val="en-US" w:eastAsia="zh-CN"/>
              </w:rPr>
              <w:t>筹建</w:t>
            </w:r>
          </w:p>
        </w:tc>
        <w:tc>
          <w:tcPr>
            <w:tcW w:w="40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Times New Roman" w:hAnsi="Times New Roman" w:cs="宋体"/>
                <w:color w:val="000000"/>
                <w:kern w:val="0"/>
                <w:sz w:val="20"/>
                <w:szCs w:val="20"/>
                <w:lang w:val="en-US" w:eastAsia="zh-CN"/>
              </w:rPr>
            </w:pPr>
            <w:r>
              <w:rPr>
                <w:rFonts w:hint="eastAsia" w:ascii="Times New Roman" w:hAnsi="Times New Roman" w:eastAsia="宋体" w:cs="宋体"/>
                <w:color w:val="000000"/>
                <w:kern w:val="0"/>
                <w:sz w:val="20"/>
                <w:szCs w:val="20"/>
                <w:lang w:val="en-US" w:eastAsia="zh-CN"/>
              </w:rPr>
              <w:t>本项目规划用地面积16500平方米，建筑面积14000平方米，主要包括门诊综合楼、住院楼、养老区等业务用房集医疗、医养结合的三甲医院。</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default" w:ascii="Times New Roman" w:hAnsi="Times New Roman" w:cs="宋体"/>
                <w:color w:val="000000"/>
                <w:kern w:val="0"/>
                <w:sz w:val="20"/>
                <w:szCs w:val="20"/>
                <w:lang w:val="en-US" w:eastAsia="zh-CN"/>
              </w:rPr>
            </w:pPr>
            <w:r>
              <w:rPr>
                <w:rFonts w:hint="default" w:ascii="Times New Roman" w:hAnsi="Times New Roman" w:eastAsia="宋体" w:cs="宋体"/>
                <w:color w:val="000000"/>
                <w:kern w:val="0"/>
                <w:sz w:val="20"/>
                <w:szCs w:val="20"/>
                <w:lang w:val="en-US" w:eastAsia="zh-CN"/>
              </w:rPr>
              <w:t>2021-2023</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default" w:ascii="Times New Roman" w:hAnsi="Times New Roman" w:cs="宋体"/>
                <w:color w:val="000000"/>
                <w:kern w:val="0"/>
                <w:sz w:val="20"/>
                <w:szCs w:val="20"/>
                <w:lang w:val="en-US" w:eastAsia="zh-CN"/>
              </w:rPr>
            </w:pPr>
            <w:r>
              <w:rPr>
                <w:rFonts w:hint="default" w:ascii="Times New Roman" w:hAnsi="Times New Roman" w:eastAsia="宋体" w:cs="宋体"/>
                <w:color w:val="000000"/>
                <w:kern w:val="0"/>
                <w:sz w:val="20"/>
                <w:szCs w:val="20"/>
                <w:lang w:val="en-US" w:eastAsia="zh-CN"/>
              </w:rPr>
              <w:t>80000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eastAsia="宋体" w:cs="宋体"/>
                <w:color w:val="000000"/>
                <w:kern w:val="0"/>
                <w:sz w:val="20"/>
                <w:szCs w:val="20"/>
                <w:lang w:val="en-US" w:eastAsia="zh-CN"/>
              </w:rPr>
              <w:t>0</w:t>
            </w: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cs="宋体"/>
                <w:color w:val="000000"/>
                <w:kern w:val="0"/>
                <w:sz w:val="20"/>
                <w:szCs w:val="20"/>
              </w:rPr>
            </w:pPr>
            <w:r>
              <w:rPr>
                <w:rFonts w:hint="default" w:ascii="Times New Roman" w:hAnsi="Times New Roman" w:eastAsia="宋体" w:cs="宋体"/>
                <w:color w:val="000000"/>
                <w:kern w:val="0"/>
                <w:sz w:val="20"/>
                <w:szCs w:val="20"/>
                <w:lang w:val="en-US" w:eastAsia="zh-CN"/>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cs="宋体"/>
                <w:color w:val="000000"/>
                <w:kern w:val="0"/>
                <w:sz w:val="20"/>
                <w:szCs w:val="20"/>
                <w:lang w:val="en-US" w:eastAsia="zh-CN"/>
              </w:rPr>
            </w:pPr>
            <w:r>
              <w:rPr>
                <w:rFonts w:hint="eastAsia" w:ascii="Times New Roman" w:hAnsi="Times New Roman" w:eastAsia="宋体" w:cs="宋体"/>
                <w:color w:val="000000"/>
                <w:kern w:val="0"/>
                <w:sz w:val="20"/>
                <w:szCs w:val="20"/>
                <w:lang w:val="en-US" w:eastAsia="zh-CN"/>
              </w:rPr>
              <w:t>44</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Times New Roman" w:hAnsi="Times New Roman" w:cs="宋体"/>
                <w:color w:val="000000"/>
                <w:kern w:val="0"/>
                <w:sz w:val="20"/>
                <w:szCs w:val="20"/>
                <w:lang w:val="en-US" w:eastAsia="zh-CN"/>
              </w:rPr>
            </w:pPr>
            <w:r>
              <w:rPr>
                <w:rFonts w:hint="eastAsia" w:ascii="Times New Roman" w:hAnsi="Times New Roman" w:eastAsia="宋体" w:cs="宋体"/>
                <w:color w:val="000000"/>
                <w:kern w:val="0"/>
                <w:sz w:val="20"/>
                <w:szCs w:val="20"/>
                <w:lang w:val="en-US" w:eastAsia="zh-CN"/>
              </w:rPr>
              <w:t>海陵区生态墓园工程项目</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cs="宋体"/>
                <w:color w:val="000000"/>
                <w:kern w:val="0"/>
                <w:sz w:val="20"/>
                <w:szCs w:val="20"/>
                <w:lang w:val="en-US" w:eastAsia="zh-CN"/>
              </w:rPr>
            </w:pPr>
            <w:r>
              <w:rPr>
                <w:rFonts w:hint="eastAsia" w:ascii="Times New Roman" w:hAnsi="Times New Roman" w:eastAsia="宋体" w:cs="宋体"/>
                <w:color w:val="000000"/>
                <w:kern w:val="0"/>
                <w:sz w:val="20"/>
                <w:szCs w:val="20"/>
                <w:lang w:val="en-US" w:eastAsia="zh-CN"/>
              </w:rPr>
              <w:t>筹建</w:t>
            </w:r>
          </w:p>
        </w:tc>
        <w:tc>
          <w:tcPr>
            <w:tcW w:w="40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Times New Roman" w:hAnsi="Times New Roman" w:cs="宋体"/>
                <w:color w:val="000000"/>
                <w:kern w:val="0"/>
                <w:sz w:val="20"/>
                <w:szCs w:val="20"/>
                <w:lang w:val="en-US" w:eastAsia="zh-CN"/>
              </w:rPr>
            </w:pPr>
            <w:r>
              <w:rPr>
                <w:rFonts w:hint="eastAsia" w:ascii="Times New Roman" w:hAnsi="Times New Roman" w:eastAsia="宋体" w:cs="宋体"/>
                <w:color w:val="000000"/>
                <w:kern w:val="0"/>
                <w:sz w:val="20"/>
                <w:szCs w:val="20"/>
                <w:lang w:val="en-US" w:eastAsia="zh-CN"/>
              </w:rPr>
              <w:t>本项目规划总用地面积约600亩，分东、中、西 三个乡村生态墓园，每个200亩，共计20万个墓穴。</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default" w:ascii="Times New Roman" w:hAnsi="Times New Roman" w:cs="宋体"/>
                <w:color w:val="000000"/>
                <w:kern w:val="0"/>
                <w:sz w:val="20"/>
                <w:szCs w:val="20"/>
                <w:lang w:val="en-US" w:eastAsia="zh-CN"/>
              </w:rPr>
            </w:pPr>
            <w:r>
              <w:rPr>
                <w:rFonts w:hint="default" w:ascii="Times New Roman" w:hAnsi="Times New Roman" w:eastAsia="宋体" w:cs="宋体"/>
                <w:color w:val="000000"/>
                <w:kern w:val="0"/>
                <w:sz w:val="20"/>
                <w:szCs w:val="20"/>
                <w:lang w:val="en-US" w:eastAsia="zh-CN"/>
              </w:rPr>
              <w:t>2021-2022</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default" w:ascii="Times New Roman" w:hAnsi="Times New Roman" w:cs="宋体"/>
                <w:color w:val="000000"/>
                <w:kern w:val="0"/>
                <w:sz w:val="20"/>
                <w:szCs w:val="20"/>
                <w:lang w:val="en-US" w:eastAsia="zh-CN"/>
              </w:rPr>
            </w:pPr>
            <w:r>
              <w:rPr>
                <w:rFonts w:hint="default" w:ascii="Times New Roman" w:hAnsi="Times New Roman" w:eastAsia="宋体" w:cs="宋体"/>
                <w:color w:val="000000"/>
                <w:kern w:val="0"/>
                <w:sz w:val="20"/>
                <w:szCs w:val="20"/>
                <w:lang w:val="en-US" w:eastAsia="zh-CN"/>
              </w:rPr>
              <w:t>15000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r>
              <w:rPr>
                <w:rFonts w:hint="default" w:ascii="Times New Roman" w:hAnsi="Times New Roman" w:eastAsia="宋体" w:cs="宋体"/>
                <w:color w:val="000000"/>
                <w:kern w:val="0"/>
                <w:sz w:val="20"/>
                <w:szCs w:val="20"/>
                <w:lang w:val="en-US" w:eastAsia="zh-CN"/>
              </w:rPr>
              <w:t>0</w:t>
            </w: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cs="宋体"/>
                <w:color w:val="000000"/>
                <w:kern w:val="0"/>
                <w:sz w:val="20"/>
                <w:szCs w:val="20"/>
              </w:rPr>
            </w:pPr>
            <w:r>
              <w:rPr>
                <w:rFonts w:hint="default" w:ascii="Times New Roman" w:hAnsi="Times New Roman" w:eastAsia="宋体" w:cs="宋体"/>
                <w:color w:val="000000"/>
                <w:kern w:val="0"/>
                <w:sz w:val="20"/>
                <w:szCs w:val="20"/>
                <w:lang w:val="en-US" w:eastAsia="zh-CN"/>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cs="宋体"/>
                <w:color w:val="000000"/>
                <w:kern w:val="0"/>
                <w:sz w:val="20"/>
                <w:szCs w:val="20"/>
                <w:lang w:val="en-US" w:eastAsia="zh-CN"/>
              </w:rPr>
            </w:pPr>
            <w:r>
              <w:rPr>
                <w:rFonts w:hint="eastAsia" w:ascii="Times New Roman" w:hAnsi="Times New Roman" w:eastAsia="宋体" w:cs="宋体"/>
                <w:color w:val="000000"/>
                <w:kern w:val="0"/>
                <w:sz w:val="20"/>
                <w:szCs w:val="20"/>
                <w:lang w:val="en-US" w:eastAsia="zh-CN"/>
              </w:rPr>
              <w:t>45</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Times New Roman" w:hAnsi="Times New Roman" w:cs="宋体"/>
                <w:color w:val="000000"/>
                <w:kern w:val="0"/>
                <w:sz w:val="20"/>
                <w:szCs w:val="20"/>
                <w:lang w:val="en-US" w:eastAsia="zh-CN"/>
              </w:rPr>
            </w:pPr>
            <w:r>
              <w:rPr>
                <w:rFonts w:hint="eastAsia" w:ascii="Times New Roman" w:hAnsi="Times New Roman" w:eastAsia="宋体" w:cs="宋体"/>
                <w:color w:val="000000"/>
                <w:kern w:val="0"/>
                <w:sz w:val="20"/>
                <w:szCs w:val="20"/>
                <w:lang w:val="en-US" w:eastAsia="zh-CN"/>
              </w:rPr>
              <w:t>海陵卫生院改造及附属配套设施建设工程项目</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cs="宋体"/>
                <w:color w:val="000000"/>
                <w:kern w:val="0"/>
                <w:sz w:val="20"/>
                <w:szCs w:val="20"/>
                <w:lang w:val="en-US" w:eastAsia="zh-CN"/>
              </w:rPr>
            </w:pPr>
            <w:r>
              <w:rPr>
                <w:rFonts w:hint="eastAsia" w:ascii="Times New Roman" w:hAnsi="Times New Roman" w:eastAsia="宋体" w:cs="宋体"/>
                <w:color w:val="000000"/>
                <w:kern w:val="0"/>
                <w:sz w:val="20"/>
                <w:szCs w:val="20"/>
                <w:lang w:val="en-US" w:eastAsia="zh-CN"/>
              </w:rPr>
              <w:t>续建</w:t>
            </w:r>
          </w:p>
        </w:tc>
        <w:tc>
          <w:tcPr>
            <w:tcW w:w="40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Times New Roman" w:hAnsi="Times New Roman" w:cs="宋体"/>
                <w:color w:val="000000"/>
                <w:kern w:val="0"/>
                <w:sz w:val="20"/>
                <w:szCs w:val="20"/>
                <w:lang w:val="en-US" w:eastAsia="zh-CN"/>
              </w:rPr>
            </w:pPr>
            <w:r>
              <w:rPr>
                <w:rFonts w:hint="eastAsia" w:ascii="Times New Roman" w:hAnsi="Times New Roman" w:eastAsia="宋体" w:cs="宋体"/>
                <w:color w:val="000000"/>
                <w:kern w:val="0"/>
                <w:sz w:val="20"/>
                <w:szCs w:val="20"/>
                <w:lang w:val="en-US" w:eastAsia="zh-CN"/>
              </w:rPr>
              <w:t>门诊大楼建设，乡村卫生站建设，旧业务房改造， 教学楼、保安亭、围墙、停车场、道路硬底化、绿化、医护值班室等配套设施，医疗设备购置</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default" w:ascii="Times New Roman" w:hAnsi="Times New Roman" w:cs="宋体"/>
                <w:color w:val="000000"/>
                <w:kern w:val="0"/>
                <w:sz w:val="20"/>
                <w:szCs w:val="20"/>
                <w:lang w:val="en-US" w:eastAsia="zh-CN"/>
              </w:rPr>
            </w:pPr>
            <w:r>
              <w:rPr>
                <w:rFonts w:hint="eastAsia" w:ascii="Times New Roman" w:hAnsi="Times New Roman" w:eastAsia="宋体" w:cs="宋体"/>
                <w:color w:val="000000"/>
                <w:kern w:val="0"/>
                <w:sz w:val="20"/>
                <w:szCs w:val="20"/>
                <w:lang w:val="en-US" w:eastAsia="zh-CN"/>
              </w:rPr>
              <w:t>2020-2022</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default" w:ascii="Times New Roman" w:hAnsi="Times New Roman" w:cs="宋体"/>
                <w:color w:val="000000"/>
                <w:kern w:val="0"/>
                <w:sz w:val="20"/>
                <w:szCs w:val="20"/>
                <w:lang w:val="en-US" w:eastAsia="zh-CN"/>
              </w:rPr>
            </w:pPr>
            <w:r>
              <w:rPr>
                <w:rFonts w:hint="default" w:ascii="Times New Roman" w:hAnsi="Times New Roman" w:eastAsia="宋体" w:cs="宋体"/>
                <w:color w:val="000000"/>
                <w:kern w:val="0"/>
                <w:sz w:val="20"/>
                <w:szCs w:val="20"/>
                <w:lang w:val="en-US" w:eastAsia="zh-CN"/>
              </w:rPr>
              <w:t>4000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cs="宋体"/>
                <w:color w:val="000000"/>
                <w:kern w:val="0"/>
                <w:sz w:val="20"/>
                <w:szCs w:val="20"/>
              </w:rPr>
            </w:pPr>
            <w:r>
              <w:rPr>
                <w:rFonts w:hint="default" w:ascii="Times New Roman" w:hAnsi="Times New Roman" w:eastAsia="宋体" w:cs="宋体"/>
                <w:color w:val="000000"/>
                <w:kern w:val="0"/>
                <w:sz w:val="20"/>
                <w:szCs w:val="20"/>
                <w:lang w:val="en-US" w:eastAsia="zh-CN"/>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000000"/>
                <w:kern w:val="0"/>
                <w:sz w:val="20"/>
                <w:szCs w:val="20"/>
                <w:lang w:val="en-US" w:eastAsia="zh-CN"/>
              </w:rPr>
            </w:pPr>
            <w:r>
              <w:rPr>
                <w:rFonts w:hint="eastAsia" w:ascii="Times New Roman" w:hAnsi="Times New Roman" w:eastAsia="宋体" w:cs="宋体"/>
                <w:color w:val="000000"/>
                <w:kern w:val="0"/>
                <w:sz w:val="20"/>
                <w:szCs w:val="20"/>
                <w:lang w:val="en-US" w:eastAsia="zh-CN"/>
              </w:rPr>
              <w:t>46</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Times New Roman" w:hAnsi="Times New Roman" w:eastAsia="宋体" w:cs="宋体"/>
                <w:color w:val="000000"/>
                <w:kern w:val="0"/>
                <w:sz w:val="20"/>
                <w:szCs w:val="20"/>
                <w:lang w:val="en-US" w:eastAsia="zh-CN"/>
              </w:rPr>
            </w:pPr>
            <w:r>
              <w:rPr>
                <w:rFonts w:hint="eastAsia" w:ascii="Times New Roman" w:hAnsi="Times New Roman" w:eastAsia="宋体" w:cs="宋体"/>
                <w:color w:val="000000"/>
                <w:kern w:val="0"/>
                <w:sz w:val="20"/>
                <w:szCs w:val="20"/>
                <w:lang w:val="en-US" w:eastAsia="zh-CN"/>
              </w:rPr>
              <w:t>阳江市海陵岛篮球培训基地</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000000"/>
                <w:kern w:val="0"/>
                <w:sz w:val="20"/>
                <w:szCs w:val="20"/>
                <w:lang w:val="en-US" w:eastAsia="zh-CN"/>
              </w:rPr>
            </w:pPr>
            <w:r>
              <w:rPr>
                <w:rFonts w:hint="default" w:ascii="Times New Roman" w:hAnsi="Times New Roman" w:eastAsia="宋体" w:cs="宋体"/>
                <w:color w:val="000000"/>
                <w:kern w:val="0"/>
                <w:sz w:val="20"/>
                <w:szCs w:val="20"/>
                <w:lang w:val="en-US" w:eastAsia="zh-CN"/>
              </w:rPr>
              <w:t>筹建</w:t>
            </w:r>
          </w:p>
        </w:tc>
        <w:tc>
          <w:tcPr>
            <w:tcW w:w="40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Times New Roman" w:hAnsi="Times New Roman" w:eastAsia="宋体" w:cs="宋体"/>
                <w:color w:val="000000"/>
                <w:kern w:val="0"/>
                <w:sz w:val="20"/>
                <w:szCs w:val="20"/>
                <w:lang w:val="en-US" w:eastAsia="zh-CN"/>
              </w:rPr>
            </w:pPr>
            <w:r>
              <w:rPr>
                <w:rFonts w:hint="eastAsia" w:ascii="Times New Roman" w:hAnsi="Times New Roman" w:eastAsia="宋体" w:cs="宋体"/>
                <w:color w:val="000000"/>
                <w:kern w:val="0"/>
                <w:sz w:val="20"/>
                <w:szCs w:val="20"/>
                <w:lang w:val="en-US" w:eastAsia="zh-CN"/>
              </w:rPr>
              <w:t>勘探、设计、造价、立项、施工</w:t>
            </w:r>
            <w:r>
              <w:rPr>
                <w:rFonts w:hint="default" w:ascii="Times New Roman" w:hAnsi="Times New Roman" w:eastAsia="宋体" w:cs="宋体"/>
                <w:color w:val="000000"/>
                <w:kern w:val="0"/>
                <w:sz w:val="20"/>
                <w:szCs w:val="20"/>
                <w:lang w:val="en-US" w:eastAsia="zh-CN"/>
              </w:rPr>
              <w:t>(</w:t>
            </w:r>
            <w:r>
              <w:rPr>
                <w:rFonts w:hint="eastAsia" w:ascii="Times New Roman" w:hAnsi="Times New Roman" w:eastAsia="宋体" w:cs="宋体"/>
                <w:color w:val="000000"/>
                <w:kern w:val="0"/>
                <w:sz w:val="20"/>
                <w:szCs w:val="20"/>
                <w:lang w:val="en-US" w:eastAsia="zh-CN"/>
              </w:rPr>
              <w:t>体育馆主馆、</w:t>
            </w:r>
            <w:r>
              <w:rPr>
                <w:rFonts w:hint="default" w:ascii="Times New Roman" w:hAnsi="Times New Roman" w:eastAsia="宋体" w:cs="宋体"/>
                <w:color w:val="000000"/>
                <w:kern w:val="0"/>
                <w:sz w:val="20"/>
                <w:szCs w:val="20"/>
                <w:lang w:val="en-US" w:eastAsia="zh-CN"/>
              </w:rPr>
              <w:t>20</w:t>
            </w:r>
            <w:r>
              <w:rPr>
                <w:rFonts w:hint="eastAsia" w:ascii="Times New Roman" w:hAnsi="Times New Roman" w:eastAsia="宋体" w:cs="宋体"/>
                <w:color w:val="000000"/>
                <w:kern w:val="0"/>
                <w:sz w:val="20"/>
                <w:szCs w:val="20"/>
                <w:lang w:val="en-US" w:eastAsia="zh-CN"/>
              </w:rPr>
              <w:t>个篮球场、</w:t>
            </w:r>
            <w:r>
              <w:rPr>
                <w:rFonts w:hint="default" w:ascii="Times New Roman" w:hAnsi="Times New Roman" w:eastAsia="宋体" w:cs="宋体"/>
                <w:color w:val="000000"/>
                <w:kern w:val="0"/>
                <w:sz w:val="20"/>
                <w:szCs w:val="20"/>
                <w:lang w:val="en-US" w:eastAsia="zh-CN"/>
              </w:rPr>
              <w:t>1</w:t>
            </w:r>
            <w:r>
              <w:rPr>
                <w:rFonts w:hint="eastAsia" w:ascii="Times New Roman" w:hAnsi="Times New Roman" w:eastAsia="宋体" w:cs="宋体"/>
                <w:color w:val="000000"/>
                <w:kern w:val="0"/>
                <w:sz w:val="20"/>
                <w:szCs w:val="20"/>
                <w:lang w:val="en-US" w:eastAsia="zh-CN"/>
              </w:rPr>
              <w:t>个足球场、</w:t>
            </w:r>
            <w:r>
              <w:rPr>
                <w:rFonts w:hint="default" w:ascii="Times New Roman" w:hAnsi="Times New Roman" w:eastAsia="宋体" w:cs="宋体"/>
                <w:color w:val="000000"/>
                <w:kern w:val="0"/>
                <w:sz w:val="20"/>
                <w:szCs w:val="20"/>
                <w:lang w:val="en-US" w:eastAsia="zh-CN"/>
              </w:rPr>
              <w:t>1</w:t>
            </w:r>
            <w:r>
              <w:rPr>
                <w:rFonts w:hint="eastAsia" w:ascii="Times New Roman" w:hAnsi="Times New Roman" w:eastAsia="宋体" w:cs="宋体"/>
                <w:color w:val="000000"/>
                <w:kern w:val="0"/>
                <w:sz w:val="20"/>
                <w:szCs w:val="20"/>
                <w:lang w:val="en-US" w:eastAsia="zh-CN"/>
              </w:rPr>
              <w:t>个环形跑道</w:t>
            </w:r>
            <w:r>
              <w:rPr>
                <w:rFonts w:hint="default" w:ascii="Times New Roman" w:hAnsi="Times New Roman" w:eastAsia="宋体" w:cs="宋体"/>
                <w:color w:val="000000"/>
                <w:kern w:val="0"/>
                <w:sz w:val="20"/>
                <w:szCs w:val="20"/>
                <w:lang w:val="en-US" w:eastAsia="zh-CN"/>
              </w:rPr>
              <w:t>)</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default" w:ascii="Times New Roman" w:hAnsi="Times New Roman" w:eastAsia="宋体" w:cs="宋体"/>
                <w:color w:val="000000"/>
                <w:kern w:val="0"/>
                <w:sz w:val="20"/>
                <w:szCs w:val="20"/>
                <w:lang w:val="en-US" w:eastAsia="zh-CN"/>
              </w:rPr>
            </w:pPr>
            <w:r>
              <w:rPr>
                <w:rFonts w:hint="default" w:ascii="Times New Roman" w:hAnsi="Times New Roman" w:eastAsia="宋体" w:cs="宋体"/>
                <w:color w:val="000000"/>
                <w:kern w:val="0"/>
                <w:sz w:val="20"/>
                <w:szCs w:val="20"/>
                <w:lang w:val="en-US" w:eastAsia="zh-CN"/>
              </w:rPr>
              <w:t>2022-2025</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default" w:ascii="Times New Roman" w:hAnsi="Times New Roman" w:eastAsia="宋体" w:cs="宋体"/>
                <w:color w:val="000000"/>
                <w:kern w:val="0"/>
                <w:sz w:val="20"/>
                <w:szCs w:val="20"/>
                <w:lang w:val="en-US" w:eastAsia="zh-CN"/>
              </w:rPr>
            </w:pPr>
            <w:r>
              <w:rPr>
                <w:rFonts w:hint="default" w:ascii="Times New Roman" w:hAnsi="Times New Roman" w:eastAsia="宋体" w:cs="宋体"/>
                <w:color w:val="000000"/>
                <w:kern w:val="0"/>
                <w:sz w:val="20"/>
                <w:szCs w:val="20"/>
                <w:lang w:val="en-US" w:eastAsia="zh-CN"/>
              </w:rPr>
              <w:t>30000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default" w:ascii="Times New Roman" w:hAnsi="Times New Roman" w:eastAsia="宋体" w:cs="宋体"/>
                <w:color w:val="000000"/>
                <w:kern w:val="0"/>
                <w:sz w:val="20"/>
                <w:szCs w:val="20"/>
                <w:lang w:val="en-US" w:eastAsia="zh-CN"/>
              </w:rPr>
            </w:pPr>
            <w:r>
              <w:rPr>
                <w:rFonts w:hint="default" w:ascii="Times New Roman" w:hAnsi="Times New Roman" w:eastAsia="宋体" w:cs="宋体"/>
                <w:color w:val="000000"/>
                <w:kern w:val="0"/>
                <w:sz w:val="20"/>
                <w:szCs w:val="20"/>
                <w:lang w:val="en-US" w:eastAsia="zh-CN"/>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000000"/>
                <w:kern w:val="0"/>
                <w:sz w:val="20"/>
                <w:szCs w:val="20"/>
                <w:lang w:val="en-US" w:eastAsia="zh-CN"/>
              </w:rPr>
            </w:pPr>
            <w:r>
              <w:rPr>
                <w:rFonts w:hint="eastAsia" w:ascii="Times New Roman" w:hAnsi="Times New Roman" w:eastAsia="宋体" w:cs="宋体"/>
                <w:color w:val="000000"/>
                <w:kern w:val="0"/>
                <w:sz w:val="20"/>
                <w:szCs w:val="20"/>
                <w:lang w:val="en-US" w:eastAsia="zh-CN"/>
              </w:rPr>
              <w:t>47</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Times New Roman" w:hAnsi="Times New Roman" w:eastAsia="宋体" w:cs="宋体"/>
                <w:color w:val="000000"/>
                <w:kern w:val="0"/>
                <w:sz w:val="20"/>
                <w:szCs w:val="20"/>
                <w:lang w:val="en-US" w:eastAsia="zh-CN"/>
              </w:rPr>
            </w:pPr>
            <w:r>
              <w:rPr>
                <w:rFonts w:hint="eastAsia" w:ascii="Times New Roman" w:hAnsi="Times New Roman" w:eastAsia="宋体" w:cs="宋体"/>
                <w:color w:val="000000"/>
                <w:kern w:val="0"/>
                <w:sz w:val="20"/>
                <w:szCs w:val="20"/>
                <w:lang w:val="en-US" w:eastAsia="zh-CN"/>
              </w:rPr>
              <w:t>广东省水下文化遗产保护中心</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000000"/>
                <w:kern w:val="0"/>
                <w:sz w:val="20"/>
                <w:szCs w:val="20"/>
                <w:lang w:val="en-US" w:eastAsia="zh-CN"/>
              </w:rPr>
            </w:pPr>
            <w:r>
              <w:rPr>
                <w:rFonts w:hint="eastAsia" w:ascii="Times New Roman" w:hAnsi="Times New Roman" w:eastAsia="宋体" w:cs="宋体"/>
                <w:color w:val="000000"/>
                <w:kern w:val="0"/>
                <w:sz w:val="20"/>
                <w:szCs w:val="20"/>
                <w:lang w:val="en-US" w:eastAsia="zh-CN"/>
              </w:rPr>
              <w:t>新开工</w:t>
            </w:r>
          </w:p>
        </w:tc>
        <w:tc>
          <w:tcPr>
            <w:tcW w:w="40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Times New Roman" w:hAnsi="Times New Roman" w:eastAsia="宋体" w:cs="宋体"/>
                <w:color w:val="000000"/>
                <w:kern w:val="0"/>
                <w:sz w:val="20"/>
                <w:szCs w:val="20"/>
                <w:lang w:val="en-US" w:eastAsia="zh-CN"/>
              </w:rPr>
            </w:pPr>
            <w:r>
              <w:rPr>
                <w:rFonts w:hint="eastAsia" w:ascii="Times New Roman" w:hAnsi="Times New Roman" w:eastAsia="宋体" w:cs="宋体"/>
                <w:color w:val="000000"/>
                <w:kern w:val="0"/>
                <w:sz w:val="20"/>
                <w:szCs w:val="20"/>
                <w:lang w:val="en-US" w:eastAsia="zh-CN"/>
              </w:rPr>
              <w:t>项目占地面积约2.7万平方米，总建筑面积约2.5万平方米，建设内容包括水下文物文物展览区、业务研究区、学术交流区、文物库房区、业务管理区等</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default" w:ascii="Times New Roman" w:hAnsi="Times New Roman" w:eastAsia="宋体" w:cs="宋体"/>
                <w:color w:val="000000"/>
                <w:kern w:val="0"/>
                <w:sz w:val="20"/>
                <w:szCs w:val="20"/>
                <w:lang w:val="en-US" w:eastAsia="zh-CN"/>
              </w:rPr>
            </w:pPr>
            <w:r>
              <w:rPr>
                <w:rFonts w:hint="default" w:ascii="Times New Roman" w:hAnsi="Times New Roman" w:eastAsia="宋体" w:cs="宋体"/>
                <w:color w:val="000000"/>
                <w:kern w:val="0"/>
                <w:sz w:val="20"/>
                <w:szCs w:val="20"/>
                <w:lang w:val="en-US" w:eastAsia="zh-CN"/>
              </w:rPr>
              <w:t>2021-2022</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default" w:ascii="Times New Roman" w:hAnsi="Times New Roman" w:eastAsia="宋体" w:cs="宋体"/>
                <w:color w:val="000000"/>
                <w:kern w:val="0"/>
                <w:sz w:val="20"/>
                <w:szCs w:val="20"/>
                <w:lang w:val="en-US" w:eastAsia="zh-CN"/>
              </w:rPr>
            </w:pPr>
            <w:r>
              <w:rPr>
                <w:rFonts w:hint="default" w:ascii="Times New Roman" w:hAnsi="Times New Roman" w:eastAsia="宋体" w:cs="宋体"/>
                <w:color w:val="000000"/>
                <w:kern w:val="0"/>
                <w:sz w:val="20"/>
                <w:szCs w:val="20"/>
                <w:lang w:val="en-US" w:eastAsia="zh-CN"/>
              </w:rPr>
              <w:t>35000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cs="宋体"/>
                <w:color w:val="000000"/>
                <w:sz w:val="20"/>
                <w:szCs w:val="20"/>
              </w:rPr>
            </w:pP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default" w:ascii="Times New Roman" w:hAnsi="Times New Roman" w:eastAsia="宋体" w:cs="宋体"/>
                <w:color w:val="000000"/>
                <w:kern w:val="0"/>
                <w:sz w:val="20"/>
                <w:szCs w:val="20"/>
                <w:lang w:val="en-US" w:eastAsia="zh-CN"/>
              </w:rPr>
            </w:pPr>
            <w:r>
              <w:rPr>
                <w:rFonts w:hint="default" w:ascii="Times New Roman" w:hAnsi="Times New Roman" w:eastAsia="宋体" w:cs="宋体"/>
                <w:color w:val="000000"/>
                <w:kern w:val="0"/>
                <w:sz w:val="20"/>
                <w:szCs w:val="20"/>
                <w:lang w:val="en-US" w:eastAsia="zh-CN"/>
              </w:rPr>
              <w:t>35000</w:t>
            </w:r>
          </w:p>
        </w:tc>
      </w:tr>
    </w:tbl>
    <w:p>
      <w:pPr>
        <w:jc w:val="left"/>
        <w:rPr>
          <w:rFonts w:hint="eastAsia"/>
          <w:lang w:eastAsia="zh-CN"/>
        </w:rPr>
      </w:pPr>
    </w:p>
    <w:p>
      <w:pPr>
        <w:pStyle w:val="17"/>
        <w:ind w:left="0" w:leftChars="0" w:firstLine="0" w:firstLineChars="0"/>
        <w:jc w:val="both"/>
        <w:rPr>
          <w:rFonts w:hint="eastAsia" w:eastAsia="宋体"/>
          <w:b/>
          <w:bCs/>
          <w:color w:val="FF0000"/>
          <w:sz w:val="36"/>
          <w:szCs w:val="36"/>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51"/>
        <w:sz w:val="24"/>
        <w:szCs w:val="24"/>
      </w:rPr>
    </w:pPr>
    <w:r>
      <w:rPr>
        <w:sz w:val="24"/>
        <w:szCs w:val="24"/>
      </w:rPr>
      <w:fldChar w:fldCharType="begin"/>
    </w:r>
    <w:r>
      <w:rPr>
        <w:rStyle w:val="51"/>
        <w:sz w:val="24"/>
        <w:szCs w:val="24"/>
      </w:rPr>
      <w:instrText xml:space="preserve">PAGE  </w:instrText>
    </w:r>
    <w:r>
      <w:rPr>
        <w:sz w:val="24"/>
        <w:szCs w:val="24"/>
      </w:rPr>
      <w:fldChar w:fldCharType="separate"/>
    </w:r>
    <w:r>
      <w:rPr>
        <w:rStyle w:val="51"/>
        <w:sz w:val="24"/>
        <w:szCs w:val="24"/>
      </w:rPr>
      <w:t>1</w:t>
    </w:r>
    <w:r>
      <w:rPr>
        <w:sz w:val="24"/>
        <w:szCs w:val="24"/>
      </w:rPr>
      <w:fldChar w:fldCharType="end"/>
    </w:r>
  </w:p>
  <w:p>
    <w:pPr>
      <w:pStyle w:val="12"/>
      <w:ind w:right="360" w:firstLine="360"/>
      <w:jc w:val="center"/>
    </w:pPr>
    <w:r>
      <mc:AlternateContent>
        <mc:Choice Requires="wps">
          <w:drawing>
            <wp:anchor distT="0" distB="0" distL="114300" distR="114300" simplePos="0" relativeHeight="251659264" behindDoc="0" locked="1" layoutInCell="1" allowOverlap="1">
              <wp:simplePos x="0" y="0"/>
              <wp:positionH relativeFrom="margin">
                <wp:align>center</wp:align>
              </wp:positionH>
              <wp:positionV relativeFrom="paragraph">
                <wp:posOffset>0</wp:posOffset>
              </wp:positionV>
              <wp:extent cx="114935" cy="153035"/>
              <wp:effectExtent l="0" t="0" r="0" b="0"/>
              <wp:wrapNone/>
              <wp:docPr id="3" name="矩形 3"/>
              <wp:cNvGraphicFramePr/>
              <a:graphic xmlns:a="http://schemas.openxmlformats.org/drawingml/2006/main">
                <a:graphicData uri="http://schemas.microsoft.com/office/word/2010/wordprocessingShape">
                  <wps:wsp>
                    <wps:cNvSpPr/>
                    <wps:spPr>
                      <a:xfrm>
                        <a:off x="0" y="0"/>
                        <a:ext cx="114935" cy="153035"/>
                      </a:xfrm>
                      <a:prstGeom prst="rect">
                        <a:avLst/>
                      </a:prstGeom>
                      <a:noFill/>
                      <a:ln>
                        <a:noFill/>
                      </a:ln>
                    </wps:spPr>
                    <wps:txbx>
                      <w:txbxContent>
                        <w:p>
                          <w:pPr>
                            <w:snapToGrid w:val="0"/>
                          </w:pPr>
                        </w:p>
                      </w:txbxContent>
                    </wps:txbx>
                    <wps:bodyPr wrap="none" lIns="0" tIns="0" rIns="0" bIns="0" upright="1">
                      <a:spAutoFit/>
                    </wps:bodyPr>
                  </wps:wsp>
                </a:graphicData>
              </a:graphic>
            </wp:anchor>
          </w:drawing>
        </mc:Choice>
        <mc:Fallback>
          <w:pict>
            <v:rect id="_x0000_s1026" o:spid="_x0000_s1026" o:spt="1" style="position:absolute;left:0pt;margin-top:0pt;height:12.05pt;width:9.05pt;mso-position-horizontal:center;mso-position-horizontal-relative:margin;mso-wrap-style:none;z-index:251659264;mso-width-relative:page;mso-height-relative:page;" filled="f" stroked="f" coordsize="21600,21600" o:gfxdata="UEsDBAoAAAAAAIdO4kAAAAAAAAAAAAAAAAAEAAAAZHJzL1BLAwQUAAAACACHTuJAfl/jEdEAAAAD&#10;AQAADwAAAGRycy9kb3ducmV2LnhtbE2PzU7DMBCE70i8g7VI3KidCKEoZNMDUiVAXJryAG68+RH2&#10;OrLdprw9Lhe4rDSa0cy3zfbirDhTiLNnhGKjQBD33sw8Inwedg8ViJg0G209E8I3Rdi2tzeNro1f&#10;eU/nLo0il3CsNcKU0lJLGfuJnI4bvxBnb/DB6ZRlGKUJes3lzspSqSfp9Mx5YdILvUzUf3UnhyAP&#10;3W6tOhuUfy+HD/v2uh/II97fFeoZRKJL+gvDFT+jQ5uZjv7EJgqLkB9Jv/fqVQWII0L5WIBsG/mf&#10;vf0BUEsDBBQAAAAIAIdO4kB9TrfOxAEAAIoDAAAOAAAAZHJzL2Uyb0RvYy54bWytU0tu2zAQ3Rfo&#10;HQjua0lxUrSC5aCAkaBA0QZIewCaoiwC/GGGtuTTBMiuh+hxil6jQ0p22nSTRTfScDh6896b0ep6&#10;tIYdFKD2ruHVouRMOelb7XYN//b15s07zjAK1wrjnWr4USG/Xr9+tRpCrS58702rgBGIw3oIDe9j&#10;DHVRoOyVFbjwQTm67DxYEekIu6IFMRC6NcVFWb4tBg9tAC8VImU30yWfEeElgL7rtFQbL/dWuTih&#10;gjIikiTsdUC+zmy7Tsn4petQRWYaTkpjflITirfpWaxXot6BCL2WMwXxEgrPNFmhHTU9Q21EFGwP&#10;+h8oqyV49F1cSG+LSUh2hFRU5TNv7nsRVNZCVmM4m47/D1Z+PtwB023Dl5w5YWngvx6+//zxyJbJ&#10;myFgTSX34Q7mE1KYhI4d2PQmCWzMfh7PfqoxMknJqrp8v7ziTNJVdbUsKSaU4unjABhvlbcsBQ0H&#10;Gld2URw+YZxKTyWpl/M32hjKi9q4vxKEmTJF4jsxTFEct+NMe+vbIwkdaNINd7TYnJmPjoxMS3EK&#10;4BRsT8E+gN71RK3KvDB82EcikbmlDhPs3JhGlNXN65R24M9zrnr6hd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5f4xHRAAAAAwEAAA8AAAAAAAAAAQAgAAAAIgAAAGRycy9kb3ducmV2LnhtbFBL&#10;AQIUABQAAAAIAIdO4kB9TrfOxAEAAIoDAAAOAAAAAAAAAAEAIAAAACABAABkcnMvZTJvRG9jLnht&#10;bFBLBQYAAAAABgAGAFkBAABWBQAAAAA=&#10;">
              <v:fill on="f" focussize="0,0"/>
              <v:stroke on="f"/>
              <v:imagedata o:title=""/>
              <o:lock v:ext="edit" aspectratio="f"/>
              <v:textbox inset="0mm,0mm,0mm,0mm" style="mso-fit-shape-to-text:t;">
                <w:txbxContent>
                  <w:p>
                    <w:pPr>
                      <w:snapToGrid w:val="0"/>
                    </w:pPr>
                  </w:p>
                </w:txbxContent>
              </v:textbox>
              <w10:anchorlock/>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02E8C9"/>
    <w:multiLevelType w:val="singleLevel"/>
    <w:tmpl w:val="DB02E8C9"/>
    <w:lvl w:ilvl="0" w:tentative="0">
      <w:start w:val="1"/>
      <w:numFmt w:val="chineseCounting"/>
      <w:suff w:val="nothing"/>
      <w:lvlText w:val="%1、"/>
      <w:lvlJc w:val="left"/>
      <w:rPr>
        <w:rFonts w:hint="eastAsia"/>
      </w:rPr>
    </w:lvl>
  </w:abstractNum>
  <w:abstractNum w:abstractNumId="1">
    <w:nsid w:val="FC139E4A"/>
    <w:multiLevelType w:val="singleLevel"/>
    <w:tmpl w:val="FC139E4A"/>
    <w:lvl w:ilvl="0" w:tentative="0">
      <w:start w:val="1"/>
      <w:numFmt w:val="decimal"/>
      <w:suff w:val="space"/>
      <w:lvlText w:val="%1."/>
      <w:lvlJc w:val="left"/>
    </w:lvl>
  </w:abstractNum>
  <w:abstractNum w:abstractNumId="2">
    <w:nsid w:val="025A4C91"/>
    <w:multiLevelType w:val="singleLevel"/>
    <w:tmpl w:val="025A4C91"/>
    <w:lvl w:ilvl="0" w:tentative="0">
      <w:start w:val="4"/>
      <w:numFmt w:val="chineseCounting"/>
      <w:suff w:val="space"/>
      <w:lvlText w:val="第%1节"/>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28E"/>
    <w:rsid w:val="00040D27"/>
    <w:rsid w:val="000448BF"/>
    <w:rsid w:val="00067DC5"/>
    <w:rsid w:val="00071445"/>
    <w:rsid w:val="00074176"/>
    <w:rsid w:val="000D565A"/>
    <w:rsid w:val="000F32F9"/>
    <w:rsid w:val="00121125"/>
    <w:rsid w:val="00124703"/>
    <w:rsid w:val="001B1BB3"/>
    <w:rsid w:val="001C07F7"/>
    <w:rsid w:val="001D042E"/>
    <w:rsid w:val="001E522D"/>
    <w:rsid w:val="001E667F"/>
    <w:rsid w:val="00200E4E"/>
    <w:rsid w:val="00210D53"/>
    <w:rsid w:val="00235371"/>
    <w:rsid w:val="002607C6"/>
    <w:rsid w:val="002819A1"/>
    <w:rsid w:val="0028448B"/>
    <w:rsid w:val="00285B89"/>
    <w:rsid w:val="00297176"/>
    <w:rsid w:val="002A2C1B"/>
    <w:rsid w:val="002F4F43"/>
    <w:rsid w:val="00304513"/>
    <w:rsid w:val="003326AF"/>
    <w:rsid w:val="00360492"/>
    <w:rsid w:val="00361C70"/>
    <w:rsid w:val="003939E3"/>
    <w:rsid w:val="0041330F"/>
    <w:rsid w:val="00423FA3"/>
    <w:rsid w:val="00440804"/>
    <w:rsid w:val="004655BD"/>
    <w:rsid w:val="004A40F6"/>
    <w:rsid w:val="004B7355"/>
    <w:rsid w:val="004E4916"/>
    <w:rsid w:val="004F6D7D"/>
    <w:rsid w:val="0051528D"/>
    <w:rsid w:val="005252E4"/>
    <w:rsid w:val="00527A6B"/>
    <w:rsid w:val="00555FEB"/>
    <w:rsid w:val="005659C6"/>
    <w:rsid w:val="005917D2"/>
    <w:rsid w:val="005B6EA3"/>
    <w:rsid w:val="005C6336"/>
    <w:rsid w:val="005C6511"/>
    <w:rsid w:val="005F1E19"/>
    <w:rsid w:val="0060505D"/>
    <w:rsid w:val="00614143"/>
    <w:rsid w:val="006307D6"/>
    <w:rsid w:val="00632F41"/>
    <w:rsid w:val="006449C8"/>
    <w:rsid w:val="00652D26"/>
    <w:rsid w:val="00670AE9"/>
    <w:rsid w:val="006912E0"/>
    <w:rsid w:val="006C0E1D"/>
    <w:rsid w:val="006C34D4"/>
    <w:rsid w:val="006F7EC3"/>
    <w:rsid w:val="007330B4"/>
    <w:rsid w:val="00767E3E"/>
    <w:rsid w:val="007B7433"/>
    <w:rsid w:val="007C1876"/>
    <w:rsid w:val="007C781E"/>
    <w:rsid w:val="007F6CFC"/>
    <w:rsid w:val="0081588E"/>
    <w:rsid w:val="00817E34"/>
    <w:rsid w:val="00845C39"/>
    <w:rsid w:val="00867546"/>
    <w:rsid w:val="00880955"/>
    <w:rsid w:val="008927E5"/>
    <w:rsid w:val="008C0431"/>
    <w:rsid w:val="00937B99"/>
    <w:rsid w:val="009614C7"/>
    <w:rsid w:val="009F131B"/>
    <w:rsid w:val="00A31F00"/>
    <w:rsid w:val="00A43549"/>
    <w:rsid w:val="00A51003"/>
    <w:rsid w:val="00A568D5"/>
    <w:rsid w:val="00A926BC"/>
    <w:rsid w:val="00AC7490"/>
    <w:rsid w:val="00AD3D0F"/>
    <w:rsid w:val="00B03308"/>
    <w:rsid w:val="00B3669B"/>
    <w:rsid w:val="00B70976"/>
    <w:rsid w:val="00B76166"/>
    <w:rsid w:val="00BC5FAC"/>
    <w:rsid w:val="00C3231E"/>
    <w:rsid w:val="00C420F3"/>
    <w:rsid w:val="00C538E9"/>
    <w:rsid w:val="00C53F0A"/>
    <w:rsid w:val="00C8518C"/>
    <w:rsid w:val="00CB0B4C"/>
    <w:rsid w:val="00D50F3C"/>
    <w:rsid w:val="00D67D8D"/>
    <w:rsid w:val="00D81BDE"/>
    <w:rsid w:val="00D81DB1"/>
    <w:rsid w:val="00D9111C"/>
    <w:rsid w:val="00D9628E"/>
    <w:rsid w:val="00DB2DE0"/>
    <w:rsid w:val="00DD08EF"/>
    <w:rsid w:val="00DD2B24"/>
    <w:rsid w:val="00DE53E7"/>
    <w:rsid w:val="00E02E5B"/>
    <w:rsid w:val="00E25520"/>
    <w:rsid w:val="00E359BA"/>
    <w:rsid w:val="00E5692E"/>
    <w:rsid w:val="00E825EB"/>
    <w:rsid w:val="00E85EDB"/>
    <w:rsid w:val="00E87F52"/>
    <w:rsid w:val="00EC3ECC"/>
    <w:rsid w:val="00EE61A3"/>
    <w:rsid w:val="00F1278B"/>
    <w:rsid w:val="00F1786D"/>
    <w:rsid w:val="00F34A37"/>
    <w:rsid w:val="00F4380B"/>
    <w:rsid w:val="00F522F7"/>
    <w:rsid w:val="00F64D00"/>
    <w:rsid w:val="00F700EA"/>
    <w:rsid w:val="00F7113B"/>
    <w:rsid w:val="00F81FF6"/>
    <w:rsid w:val="00F90DA6"/>
    <w:rsid w:val="00F96551"/>
    <w:rsid w:val="01350E35"/>
    <w:rsid w:val="01444109"/>
    <w:rsid w:val="01673C06"/>
    <w:rsid w:val="01B12881"/>
    <w:rsid w:val="01D758A4"/>
    <w:rsid w:val="025D305E"/>
    <w:rsid w:val="027F3621"/>
    <w:rsid w:val="02D61A09"/>
    <w:rsid w:val="02EE0DAF"/>
    <w:rsid w:val="032843DA"/>
    <w:rsid w:val="03785C78"/>
    <w:rsid w:val="03ED7F1A"/>
    <w:rsid w:val="03F640B5"/>
    <w:rsid w:val="047A1251"/>
    <w:rsid w:val="04904272"/>
    <w:rsid w:val="049B14E0"/>
    <w:rsid w:val="04DA38E8"/>
    <w:rsid w:val="05157EC5"/>
    <w:rsid w:val="0538079A"/>
    <w:rsid w:val="0542634D"/>
    <w:rsid w:val="05600E5E"/>
    <w:rsid w:val="05870842"/>
    <w:rsid w:val="058E52BE"/>
    <w:rsid w:val="05A576B6"/>
    <w:rsid w:val="05B65EC3"/>
    <w:rsid w:val="05BD2FEC"/>
    <w:rsid w:val="05D8552A"/>
    <w:rsid w:val="06AF5199"/>
    <w:rsid w:val="06BA2B02"/>
    <w:rsid w:val="073E0ACD"/>
    <w:rsid w:val="07552497"/>
    <w:rsid w:val="07BA55D0"/>
    <w:rsid w:val="08115940"/>
    <w:rsid w:val="086F15DC"/>
    <w:rsid w:val="08E526C5"/>
    <w:rsid w:val="08FA16F7"/>
    <w:rsid w:val="09204452"/>
    <w:rsid w:val="09866D72"/>
    <w:rsid w:val="0A0C561A"/>
    <w:rsid w:val="0A174741"/>
    <w:rsid w:val="0A2A47C8"/>
    <w:rsid w:val="0A624A10"/>
    <w:rsid w:val="0A817F1C"/>
    <w:rsid w:val="0AAE1C00"/>
    <w:rsid w:val="0AEC4273"/>
    <w:rsid w:val="0AF12803"/>
    <w:rsid w:val="0B1C3235"/>
    <w:rsid w:val="0B2C5F16"/>
    <w:rsid w:val="0BFC6CEB"/>
    <w:rsid w:val="0C2B2E5C"/>
    <w:rsid w:val="0C54162E"/>
    <w:rsid w:val="0C7E75D6"/>
    <w:rsid w:val="0CDF1D67"/>
    <w:rsid w:val="0D2B4555"/>
    <w:rsid w:val="0D33399D"/>
    <w:rsid w:val="0D3D0D33"/>
    <w:rsid w:val="0D5B1E59"/>
    <w:rsid w:val="0DA64F46"/>
    <w:rsid w:val="0DCC45E4"/>
    <w:rsid w:val="0E0B39D3"/>
    <w:rsid w:val="0E2A0849"/>
    <w:rsid w:val="0E2A1E73"/>
    <w:rsid w:val="0E8F63BE"/>
    <w:rsid w:val="0E9F34CB"/>
    <w:rsid w:val="0EDD34AD"/>
    <w:rsid w:val="0F7B4B21"/>
    <w:rsid w:val="0F830E95"/>
    <w:rsid w:val="0F940F78"/>
    <w:rsid w:val="0F980BB8"/>
    <w:rsid w:val="0FC96D0B"/>
    <w:rsid w:val="10256F72"/>
    <w:rsid w:val="107863FA"/>
    <w:rsid w:val="113A689F"/>
    <w:rsid w:val="11DA0420"/>
    <w:rsid w:val="11F95982"/>
    <w:rsid w:val="12142507"/>
    <w:rsid w:val="122101E9"/>
    <w:rsid w:val="123D4DAC"/>
    <w:rsid w:val="12787784"/>
    <w:rsid w:val="128B212F"/>
    <w:rsid w:val="12FD11E3"/>
    <w:rsid w:val="13177EF0"/>
    <w:rsid w:val="134C5467"/>
    <w:rsid w:val="13AC693B"/>
    <w:rsid w:val="13B1574F"/>
    <w:rsid w:val="13C2140E"/>
    <w:rsid w:val="13EF345E"/>
    <w:rsid w:val="141F6B30"/>
    <w:rsid w:val="14420215"/>
    <w:rsid w:val="148B0975"/>
    <w:rsid w:val="14901C3A"/>
    <w:rsid w:val="14C639D6"/>
    <w:rsid w:val="14C66C5B"/>
    <w:rsid w:val="14DD6ADC"/>
    <w:rsid w:val="14E0202E"/>
    <w:rsid w:val="14FC0212"/>
    <w:rsid w:val="15473EDC"/>
    <w:rsid w:val="163F459B"/>
    <w:rsid w:val="16635946"/>
    <w:rsid w:val="16DD6952"/>
    <w:rsid w:val="177A2FCF"/>
    <w:rsid w:val="17972DA6"/>
    <w:rsid w:val="17B95F0D"/>
    <w:rsid w:val="17C07398"/>
    <w:rsid w:val="183E1EEF"/>
    <w:rsid w:val="184A01FE"/>
    <w:rsid w:val="18A70FCB"/>
    <w:rsid w:val="18BA4539"/>
    <w:rsid w:val="1911202C"/>
    <w:rsid w:val="19696151"/>
    <w:rsid w:val="19BB22DD"/>
    <w:rsid w:val="1AB94785"/>
    <w:rsid w:val="1ACF2066"/>
    <w:rsid w:val="1B0102E7"/>
    <w:rsid w:val="1B3F1A4D"/>
    <w:rsid w:val="1B4B4B31"/>
    <w:rsid w:val="1B6874B2"/>
    <w:rsid w:val="1C2D201A"/>
    <w:rsid w:val="1C6C115B"/>
    <w:rsid w:val="1C6F0DEF"/>
    <w:rsid w:val="1C985B5D"/>
    <w:rsid w:val="1CA308D1"/>
    <w:rsid w:val="1CD66A45"/>
    <w:rsid w:val="1CE80930"/>
    <w:rsid w:val="1D126937"/>
    <w:rsid w:val="1D284A65"/>
    <w:rsid w:val="1D3031F7"/>
    <w:rsid w:val="1D9A5B1B"/>
    <w:rsid w:val="1DB3358D"/>
    <w:rsid w:val="1DD3159B"/>
    <w:rsid w:val="1DEF7FF5"/>
    <w:rsid w:val="1E253B33"/>
    <w:rsid w:val="1E4A080F"/>
    <w:rsid w:val="1E932403"/>
    <w:rsid w:val="1EBA6038"/>
    <w:rsid w:val="1EBF08E3"/>
    <w:rsid w:val="1ED532D5"/>
    <w:rsid w:val="1EFF2735"/>
    <w:rsid w:val="1F1416AD"/>
    <w:rsid w:val="1F163097"/>
    <w:rsid w:val="1F3270DD"/>
    <w:rsid w:val="1F3D4070"/>
    <w:rsid w:val="1F451350"/>
    <w:rsid w:val="1F81100B"/>
    <w:rsid w:val="1FC06567"/>
    <w:rsid w:val="1FD47015"/>
    <w:rsid w:val="20037C07"/>
    <w:rsid w:val="20261971"/>
    <w:rsid w:val="202D790E"/>
    <w:rsid w:val="20390DE6"/>
    <w:rsid w:val="20507F5C"/>
    <w:rsid w:val="205D0C8F"/>
    <w:rsid w:val="20A01F9A"/>
    <w:rsid w:val="20DF6828"/>
    <w:rsid w:val="20FA2731"/>
    <w:rsid w:val="21003200"/>
    <w:rsid w:val="210B4EEC"/>
    <w:rsid w:val="21567A2C"/>
    <w:rsid w:val="216F60A4"/>
    <w:rsid w:val="21EF2076"/>
    <w:rsid w:val="21F5221B"/>
    <w:rsid w:val="22380084"/>
    <w:rsid w:val="22523112"/>
    <w:rsid w:val="22A15C25"/>
    <w:rsid w:val="22B6622F"/>
    <w:rsid w:val="22CD0CD2"/>
    <w:rsid w:val="22D6428D"/>
    <w:rsid w:val="238D5C50"/>
    <w:rsid w:val="23A05635"/>
    <w:rsid w:val="23A528B5"/>
    <w:rsid w:val="23C46030"/>
    <w:rsid w:val="23ED7AD6"/>
    <w:rsid w:val="24231637"/>
    <w:rsid w:val="24487048"/>
    <w:rsid w:val="244F2F49"/>
    <w:rsid w:val="24707810"/>
    <w:rsid w:val="24EE6244"/>
    <w:rsid w:val="25474FBE"/>
    <w:rsid w:val="25740D55"/>
    <w:rsid w:val="25870E14"/>
    <w:rsid w:val="25C002DA"/>
    <w:rsid w:val="266632F7"/>
    <w:rsid w:val="266B57A2"/>
    <w:rsid w:val="26B42422"/>
    <w:rsid w:val="27293B88"/>
    <w:rsid w:val="275F7239"/>
    <w:rsid w:val="280013C2"/>
    <w:rsid w:val="289F0803"/>
    <w:rsid w:val="28AE4061"/>
    <w:rsid w:val="290F1BC4"/>
    <w:rsid w:val="29441D8E"/>
    <w:rsid w:val="29782700"/>
    <w:rsid w:val="29A113EE"/>
    <w:rsid w:val="29AE0936"/>
    <w:rsid w:val="2A8C50AA"/>
    <w:rsid w:val="2A8D32DD"/>
    <w:rsid w:val="2AAA13FA"/>
    <w:rsid w:val="2AB56279"/>
    <w:rsid w:val="2AC44A33"/>
    <w:rsid w:val="2AD530DD"/>
    <w:rsid w:val="2AE56F17"/>
    <w:rsid w:val="2AF65338"/>
    <w:rsid w:val="2B184B96"/>
    <w:rsid w:val="2B404F02"/>
    <w:rsid w:val="2B4360C3"/>
    <w:rsid w:val="2B7719E0"/>
    <w:rsid w:val="2B7D2F0F"/>
    <w:rsid w:val="2BE47424"/>
    <w:rsid w:val="2C2314AE"/>
    <w:rsid w:val="2C231D5A"/>
    <w:rsid w:val="2C320DF7"/>
    <w:rsid w:val="2C4535ED"/>
    <w:rsid w:val="2CC25F79"/>
    <w:rsid w:val="2CE8534E"/>
    <w:rsid w:val="2CEF5646"/>
    <w:rsid w:val="2CFA57C7"/>
    <w:rsid w:val="2D5572AE"/>
    <w:rsid w:val="2D616EDE"/>
    <w:rsid w:val="2DB74C96"/>
    <w:rsid w:val="2DFE6317"/>
    <w:rsid w:val="2E5378CB"/>
    <w:rsid w:val="2E6B0CF8"/>
    <w:rsid w:val="2EA71A56"/>
    <w:rsid w:val="2F5B6C10"/>
    <w:rsid w:val="2FB3007F"/>
    <w:rsid w:val="301438FA"/>
    <w:rsid w:val="3028496C"/>
    <w:rsid w:val="30585C7A"/>
    <w:rsid w:val="30A244FA"/>
    <w:rsid w:val="30B04438"/>
    <w:rsid w:val="310930B2"/>
    <w:rsid w:val="312349C6"/>
    <w:rsid w:val="31380F63"/>
    <w:rsid w:val="31567638"/>
    <w:rsid w:val="315F628E"/>
    <w:rsid w:val="31745569"/>
    <w:rsid w:val="31790AD7"/>
    <w:rsid w:val="31B008D1"/>
    <w:rsid w:val="31D516EA"/>
    <w:rsid w:val="32033F58"/>
    <w:rsid w:val="32073563"/>
    <w:rsid w:val="32894377"/>
    <w:rsid w:val="328D4DA4"/>
    <w:rsid w:val="32EB492E"/>
    <w:rsid w:val="34187269"/>
    <w:rsid w:val="34417B92"/>
    <w:rsid w:val="34586C32"/>
    <w:rsid w:val="34A4009B"/>
    <w:rsid w:val="350D32E7"/>
    <w:rsid w:val="35132970"/>
    <w:rsid w:val="35137867"/>
    <w:rsid w:val="354D165A"/>
    <w:rsid w:val="35511E03"/>
    <w:rsid w:val="35B15138"/>
    <w:rsid w:val="35CD08DB"/>
    <w:rsid w:val="35EB20EF"/>
    <w:rsid w:val="360534E5"/>
    <w:rsid w:val="360C2CE2"/>
    <w:rsid w:val="3662487E"/>
    <w:rsid w:val="368A643D"/>
    <w:rsid w:val="373005E6"/>
    <w:rsid w:val="374C55E0"/>
    <w:rsid w:val="374D5AAB"/>
    <w:rsid w:val="375D452D"/>
    <w:rsid w:val="377305EF"/>
    <w:rsid w:val="37FA1B8B"/>
    <w:rsid w:val="380440EC"/>
    <w:rsid w:val="381712AC"/>
    <w:rsid w:val="38386B0F"/>
    <w:rsid w:val="384D6175"/>
    <w:rsid w:val="38897591"/>
    <w:rsid w:val="388C3F88"/>
    <w:rsid w:val="389C6AF2"/>
    <w:rsid w:val="38C00FE3"/>
    <w:rsid w:val="38C3434D"/>
    <w:rsid w:val="38DA5265"/>
    <w:rsid w:val="38F3384A"/>
    <w:rsid w:val="3A8D6D27"/>
    <w:rsid w:val="3ADE7BD3"/>
    <w:rsid w:val="3AF417B5"/>
    <w:rsid w:val="3AF57293"/>
    <w:rsid w:val="3B1435A2"/>
    <w:rsid w:val="3B200885"/>
    <w:rsid w:val="3B277987"/>
    <w:rsid w:val="3B4402D2"/>
    <w:rsid w:val="3B7C3F5D"/>
    <w:rsid w:val="3B7D410B"/>
    <w:rsid w:val="3C150499"/>
    <w:rsid w:val="3C222D1D"/>
    <w:rsid w:val="3C6D1508"/>
    <w:rsid w:val="3D1B4DF9"/>
    <w:rsid w:val="3D4C2674"/>
    <w:rsid w:val="3D781243"/>
    <w:rsid w:val="3D912921"/>
    <w:rsid w:val="3DC64584"/>
    <w:rsid w:val="3DE0224B"/>
    <w:rsid w:val="3DE964B1"/>
    <w:rsid w:val="3DFE5CE0"/>
    <w:rsid w:val="3E074637"/>
    <w:rsid w:val="3E2B19A9"/>
    <w:rsid w:val="3E2C5835"/>
    <w:rsid w:val="3E355CB7"/>
    <w:rsid w:val="3E45177C"/>
    <w:rsid w:val="3E485408"/>
    <w:rsid w:val="3E85545F"/>
    <w:rsid w:val="3EB33EBE"/>
    <w:rsid w:val="3ED05C62"/>
    <w:rsid w:val="3EE71FCA"/>
    <w:rsid w:val="3F2751F2"/>
    <w:rsid w:val="3F703053"/>
    <w:rsid w:val="3F707BB8"/>
    <w:rsid w:val="3FB01396"/>
    <w:rsid w:val="3FB059C7"/>
    <w:rsid w:val="3FC74F0F"/>
    <w:rsid w:val="3FDF7FF2"/>
    <w:rsid w:val="3FFA3F07"/>
    <w:rsid w:val="402147BE"/>
    <w:rsid w:val="403929AA"/>
    <w:rsid w:val="403A4741"/>
    <w:rsid w:val="408C74FC"/>
    <w:rsid w:val="40975E52"/>
    <w:rsid w:val="40AC2C84"/>
    <w:rsid w:val="40C6559E"/>
    <w:rsid w:val="40D93A07"/>
    <w:rsid w:val="40F73FE9"/>
    <w:rsid w:val="40FE1F87"/>
    <w:rsid w:val="411321D4"/>
    <w:rsid w:val="4122228B"/>
    <w:rsid w:val="41430B25"/>
    <w:rsid w:val="41512B9E"/>
    <w:rsid w:val="41AA7BD4"/>
    <w:rsid w:val="422F0144"/>
    <w:rsid w:val="42402E50"/>
    <w:rsid w:val="42570B90"/>
    <w:rsid w:val="430177D1"/>
    <w:rsid w:val="43044FCE"/>
    <w:rsid w:val="43294D53"/>
    <w:rsid w:val="43674601"/>
    <w:rsid w:val="437840FF"/>
    <w:rsid w:val="43AC5D28"/>
    <w:rsid w:val="43DB7560"/>
    <w:rsid w:val="440A59F4"/>
    <w:rsid w:val="4439777D"/>
    <w:rsid w:val="4467027E"/>
    <w:rsid w:val="446C71B6"/>
    <w:rsid w:val="44D17FC0"/>
    <w:rsid w:val="45306F8F"/>
    <w:rsid w:val="45814100"/>
    <w:rsid w:val="45BA1818"/>
    <w:rsid w:val="45D1030D"/>
    <w:rsid w:val="46017E8E"/>
    <w:rsid w:val="46411A2F"/>
    <w:rsid w:val="464E60EC"/>
    <w:rsid w:val="46793E65"/>
    <w:rsid w:val="46B724BB"/>
    <w:rsid w:val="46C80FA5"/>
    <w:rsid w:val="46F44C2C"/>
    <w:rsid w:val="46FB690F"/>
    <w:rsid w:val="472E30CD"/>
    <w:rsid w:val="474C295D"/>
    <w:rsid w:val="475472E2"/>
    <w:rsid w:val="47DB1876"/>
    <w:rsid w:val="47FD6CB5"/>
    <w:rsid w:val="480128C4"/>
    <w:rsid w:val="48121056"/>
    <w:rsid w:val="48582E12"/>
    <w:rsid w:val="48772D4D"/>
    <w:rsid w:val="48D66DE9"/>
    <w:rsid w:val="494B52CA"/>
    <w:rsid w:val="4977354D"/>
    <w:rsid w:val="4986023D"/>
    <w:rsid w:val="49BB0991"/>
    <w:rsid w:val="49D6744D"/>
    <w:rsid w:val="49E92A3A"/>
    <w:rsid w:val="49FF49EF"/>
    <w:rsid w:val="4A8A43B6"/>
    <w:rsid w:val="4B4A7FAF"/>
    <w:rsid w:val="4B5847E2"/>
    <w:rsid w:val="4B5965F6"/>
    <w:rsid w:val="4B7A0B5D"/>
    <w:rsid w:val="4B8437D6"/>
    <w:rsid w:val="4BB677A6"/>
    <w:rsid w:val="4C115A16"/>
    <w:rsid w:val="4C161706"/>
    <w:rsid w:val="4C1B13FE"/>
    <w:rsid w:val="4C5663BB"/>
    <w:rsid w:val="4C640F52"/>
    <w:rsid w:val="4C77293A"/>
    <w:rsid w:val="4C8E0B95"/>
    <w:rsid w:val="4D4073D0"/>
    <w:rsid w:val="4D5756AE"/>
    <w:rsid w:val="4D5A4AF1"/>
    <w:rsid w:val="4DBA6E68"/>
    <w:rsid w:val="4DCE19A2"/>
    <w:rsid w:val="4E0056B5"/>
    <w:rsid w:val="4E2D7B7D"/>
    <w:rsid w:val="4E6C393D"/>
    <w:rsid w:val="4EAC2083"/>
    <w:rsid w:val="4EE024CB"/>
    <w:rsid w:val="4F0E63AB"/>
    <w:rsid w:val="4F451ED4"/>
    <w:rsid w:val="4FAB4CA5"/>
    <w:rsid w:val="4FDA7F40"/>
    <w:rsid w:val="4FE12ECC"/>
    <w:rsid w:val="4FF359D3"/>
    <w:rsid w:val="4FF81F8B"/>
    <w:rsid w:val="501631B9"/>
    <w:rsid w:val="5050751D"/>
    <w:rsid w:val="50B75BA2"/>
    <w:rsid w:val="5117585F"/>
    <w:rsid w:val="51777EFE"/>
    <w:rsid w:val="51780E59"/>
    <w:rsid w:val="51793B23"/>
    <w:rsid w:val="5215108E"/>
    <w:rsid w:val="522442CD"/>
    <w:rsid w:val="52251CB1"/>
    <w:rsid w:val="522C7207"/>
    <w:rsid w:val="52335296"/>
    <w:rsid w:val="523B27EA"/>
    <w:rsid w:val="524B33F4"/>
    <w:rsid w:val="52D43660"/>
    <w:rsid w:val="52D80E49"/>
    <w:rsid w:val="531040A4"/>
    <w:rsid w:val="5310784A"/>
    <w:rsid w:val="532952AB"/>
    <w:rsid w:val="536521E4"/>
    <w:rsid w:val="53DA0A63"/>
    <w:rsid w:val="53F31EAC"/>
    <w:rsid w:val="545B5FAA"/>
    <w:rsid w:val="54B41CDC"/>
    <w:rsid w:val="54C42B70"/>
    <w:rsid w:val="54F30705"/>
    <w:rsid w:val="554B46DC"/>
    <w:rsid w:val="555A6B4F"/>
    <w:rsid w:val="55A90E39"/>
    <w:rsid w:val="55BA62A9"/>
    <w:rsid w:val="55C44B39"/>
    <w:rsid w:val="55F65EDC"/>
    <w:rsid w:val="565E15E8"/>
    <w:rsid w:val="568A4342"/>
    <w:rsid w:val="56A033CD"/>
    <w:rsid w:val="56B76063"/>
    <w:rsid w:val="572B1718"/>
    <w:rsid w:val="57A93A06"/>
    <w:rsid w:val="57B02DF8"/>
    <w:rsid w:val="57BF3216"/>
    <w:rsid w:val="57DC173D"/>
    <w:rsid w:val="57EB4D6C"/>
    <w:rsid w:val="581A664D"/>
    <w:rsid w:val="581E2D47"/>
    <w:rsid w:val="58457DE4"/>
    <w:rsid w:val="58595D64"/>
    <w:rsid w:val="58692CF0"/>
    <w:rsid w:val="587A1F04"/>
    <w:rsid w:val="58CA60E8"/>
    <w:rsid w:val="58D423A0"/>
    <w:rsid w:val="58F3650A"/>
    <w:rsid w:val="59430898"/>
    <w:rsid w:val="59634EAC"/>
    <w:rsid w:val="59754F28"/>
    <w:rsid w:val="599B33E0"/>
    <w:rsid w:val="59AD3E1A"/>
    <w:rsid w:val="59F90E01"/>
    <w:rsid w:val="5A391AA1"/>
    <w:rsid w:val="5A7E121F"/>
    <w:rsid w:val="5ACB6B9F"/>
    <w:rsid w:val="5ADE6B03"/>
    <w:rsid w:val="5B5F7CCF"/>
    <w:rsid w:val="5B990B33"/>
    <w:rsid w:val="5C04786D"/>
    <w:rsid w:val="5C190E16"/>
    <w:rsid w:val="5C332C3C"/>
    <w:rsid w:val="5C4230D0"/>
    <w:rsid w:val="5C71325B"/>
    <w:rsid w:val="5C861C3F"/>
    <w:rsid w:val="5CE63DE3"/>
    <w:rsid w:val="5CE87B3E"/>
    <w:rsid w:val="5CF53F21"/>
    <w:rsid w:val="5D1B2953"/>
    <w:rsid w:val="5D1F599A"/>
    <w:rsid w:val="5D443FAC"/>
    <w:rsid w:val="5D5E4F13"/>
    <w:rsid w:val="5D920954"/>
    <w:rsid w:val="5DCE4137"/>
    <w:rsid w:val="5DD02E1E"/>
    <w:rsid w:val="5E0274DC"/>
    <w:rsid w:val="5E112C96"/>
    <w:rsid w:val="5E3625E4"/>
    <w:rsid w:val="5E704F79"/>
    <w:rsid w:val="5EC701FF"/>
    <w:rsid w:val="5EE40746"/>
    <w:rsid w:val="5F673595"/>
    <w:rsid w:val="5F764CA4"/>
    <w:rsid w:val="5F957737"/>
    <w:rsid w:val="5FBD373D"/>
    <w:rsid w:val="5FD97107"/>
    <w:rsid w:val="5FDC6B5E"/>
    <w:rsid w:val="5FF26686"/>
    <w:rsid w:val="6083195E"/>
    <w:rsid w:val="608609F7"/>
    <w:rsid w:val="609B4A5F"/>
    <w:rsid w:val="60C03EC4"/>
    <w:rsid w:val="60D53766"/>
    <w:rsid w:val="60E1595D"/>
    <w:rsid w:val="60EA03B5"/>
    <w:rsid w:val="611A47A6"/>
    <w:rsid w:val="61461375"/>
    <w:rsid w:val="61831AE8"/>
    <w:rsid w:val="61F65518"/>
    <w:rsid w:val="621E6308"/>
    <w:rsid w:val="623D50BA"/>
    <w:rsid w:val="624A2399"/>
    <w:rsid w:val="624F60D0"/>
    <w:rsid w:val="62E522D9"/>
    <w:rsid w:val="633A5F7A"/>
    <w:rsid w:val="634C633E"/>
    <w:rsid w:val="63D66274"/>
    <w:rsid w:val="63DF1F9D"/>
    <w:rsid w:val="64243CF5"/>
    <w:rsid w:val="64981014"/>
    <w:rsid w:val="64E868CC"/>
    <w:rsid w:val="65375664"/>
    <w:rsid w:val="657E19A0"/>
    <w:rsid w:val="65857960"/>
    <w:rsid w:val="65936F06"/>
    <w:rsid w:val="65E818E4"/>
    <w:rsid w:val="65F11286"/>
    <w:rsid w:val="664B4FBB"/>
    <w:rsid w:val="665420EC"/>
    <w:rsid w:val="66621D92"/>
    <w:rsid w:val="66DA6623"/>
    <w:rsid w:val="66FB5919"/>
    <w:rsid w:val="675D6A5E"/>
    <w:rsid w:val="67961EC7"/>
    <w:rsid w:val="67A41F3E"/>
    <w:rsid w:val="67E65B0C"/>
    <w:rsid w:val="67F32E2A"/>
    <w:rsid w:val="68243581"/>
    <w:rsid w:val="686823CA"/>
    <w:rsid w:val="68C754F3"/>
    <w:rsid w:val="68D640A6"/>
    <w:rsid w:val="68D92E70"/>
    <w:rsid w:val="68F30E05"/>
    <w:rsid w:val="690457C3"/>
    <w:rsid w:val="694661C6"/>
    <w:rsid w:val="697C7B25"/>
    <w:rsid w:val="69952978"/>
    <w:rsid w:val="69A93D49"/>
    <w:rsid w:val="69B25D54"/>
    <w:rsid w:val="69B91AFD"/>
    <w:rsid w:val="6A1B663A"/>
    <w:rsid w:val="6AB65771"/>
    <w:rsid w:val="6B0D6975"/>
    <w:rsid w:val="6B207AEA"/>
    <w:rsid w:val="6B3F4E72"/>
    <w:rsid w:val="6B8824F5"/>
    <w:rsid w:val="6BBA3C9A"/>
    <w:rsid w:val="6C5B2CB9"/>
    <w:rsid w:val="6C7035F1"/>
    <w:rsid w:val="6C7B4F2A"/>
    <w:rsid w:val="6CAA3703"/>
    <w:rsid w:val="6CAB25B0"/>
    <w:rsid w:val="6CE65603"/>
    <w:rsid w:val="6CEC05D0"/>
    <w:rsid w:val="6D367199"/>
    <w:rsid w:val="6D57409F"/>
    <w:rsid w:val="6D72449E"/>
    <w:rsid w:val="6DB055C4"/>
    <w:rsid w:val="6DE736E2"/>
    <w:rsid w:val="6DFC44EF"/>
    <w:rsid w:val="6E0F1C3C"/>
    <w:rsid w:val="6E252680"/>
    <w:rsid w:val="6E332BDE"/>
    <w:rsid w:val="6EDB2361"/>
    <w:rsid w:val="6F041172"/>
    <w:rsid w:val="6F496271"/>
    <w:rsid w:val="702A66E0"/>
    <w:rsid w:val="709B4CE4"/>
    <w:rsid w:val="70CF3F11"/>
    <w:rsid w:val="712176B1"/>
    <w:rsid w:val="712B7E25"/>
    <w:rsid w:val="71AB6DF1"/>
    <w:rsid w:val="71C844EF"/>
    <w:rsid w:val="71E82E7C"/>
    <w:rsid w:val="723438A8"/>
    <w:rsid w:val="72472238"/>
    <w:rsid w:val="72625873"/>
    <w:rsid w:val="727D3C9C"/>
    <w:rsid w:val="72B40665"/>
    <w:rsid w:val="72B56846"/>
    <w:rsid w:val="72C43FC2"/>
    <w:rsid w:val="72E6043C"/>
    <w:rsid w:val="72E7386B"/>
    <w:rsid w:val="73067CD2"/>
    <w:rsid w:val="732C37E6"/>
    <w:rsid w:val="733F4BFB"/>
    <w:rsid w:val="734959D2"/>
    <w:rsid w:val="734C6F8B"/>
    <w:rsid w:val="734C74C5"/>
    <w:rsid w:val="73910679"/>
    <w:rsid w:val="73910744"/>
    <w:rsid w:val="739D0FA6"/>
    <w:rsid w:val="74012A94"/>
    <w:rsid w:val="7437026A"/>
    <w:rsid w:val="74723943"/>
    <w:rsid w:val="748C7F94"/>
    <w:rsid w:val="74B51D09"/>
    <w:rsid w:val="750C2936"/>
    <w:rsid w:val="75520E60"/>
    <w:rsid w:val="7552699E"/>
    <w:rsid w:val="75686E0F"/>
    <w:rsid w:val="75804127"/>
    <w:rsid w:val="759C2E06"/>
    <w:rsid w:val="75A479C9"/>
    <w:rsid w:val="75AA043E"/>
    <w:rsid w:val="75D513FD"/>
    <w:rsid w:val="76306F0A"/>
    <w:rsid w:val="76380A87"/>
    <w:rsid w:val="764E13CE"/>
    <w:rsid w:val="766A74D6"/>
    <w:rsid w:val="768360D5"/>
    <w:rsid w:val="769227BA"/>
    <w:rsid w:val="76F24031"/>
    <w:rsid w:val="76FB5CAD"/>
    <w:rsid w:val="770D74BA"/>
    <w:rsid w:val="7757660A"/>
    <w:rsid w:val="77D87954"/>
    <w:rsid w:val="783140B0"/>
    <w:rsid w:val="783C6179"/>
    <w:rsid w:val="785070D4"/>
    <w:rsid w:val="78785E0E"/>
    <w:rsid w:val="787A3DD2"/>
    <w:rsid w:val="789A5B45"/>
    <w:rsid w:val="78C52FE4"/>
    <w:rsid w:val="78D779EC"/>
    <w:rsid w:val="792423C5"/>
    <w:rsid w:val="792F2BA9"/>
    <w:rsid w:val="79AF2DAE"/>
    <w:rsid w:val="79B57553"/>
    <w:rsid w:val="79BF5FEC"/>
    <w:rsid w:val="7A1C06CB"/>
    <w:rsid w:val="7A567230"/>
    <w:rsid w:val="7A6332A5"/>
    <w:rsid w:val="7A84299B"/>
    <w:rsid w:val="7AC6307F"/>
    <w:rsid w:val="7AD25636"/>
    <w:rsid w:val="7B035B2B"/>
    <w:rsid w:val="7B5F3050"/>
    <w:rsid w:val="7B745F89"/>
    <w:rsid w:val="7C1A5CEA"/>
    <w:rsid w:val="7C645138"/>
    <w:rsid w:val="7C962F52"/>
    <w:rsid w:val="7CBE7E6B"/>
    <w:rsid w:val="7D6642C4"/>
    <w:rsid w:val="7D710690"/>
    <w:rsid w:val="7D915ADE"/>
    <w:rsid w:val="7DFD47B7"/>
    <w:rsid w:val="7E292744"/>
    <w:rsid w:val="7E581A62"/>
    <w:rsid w:val="7E784829"/>
    <w:rsid w:val="7EB809A4"/>
    <w:rsid w:val="7EE84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adjustRightInd w:val="0"/>
      <w:snapToGrid w:val="0"/>
      <w:spacing w:line="600" w:lineRule="exact"/>
      <w:jc w:val="center"/>
      <w:outlineLvl w:val="0"/>
    </w:pPr>
    <w:rPr>
      <w:rFonts w:ascii="宋体" w:hAnsi="宋体"/>
      <w:b/>
      <w:kern w:val="44"/>
      <w:sz w:val="32"/>
      <w:szCs w:val="32"/>
    </w:rPr>
  </w:style>
  <w:style w:type="paragraph" w:styleId="4">
    <w:name w:val="heading 2"/>
    <w:basedOn w:val="1"/>
    <w:next w:val="1"/>
    <w:qFormat/>
    <w:uiPriority w:val="0"/>
    <w:pPr>
      <w:keepNext/>
      <w:keepLines/>
      <w:spacing w:line="415" w:lineRule="auto"/>
      <w:jc w:val="center"/>
      <w:outlineLvl w:val="1"/>
    </w:pPr>
    <w:rPr>
      <w:rFonts w:ascii="仿宋" w:hAnsi="仿宋" w:eastAsia="仿宋"/>
      <w:b/>
      <w:bCs/>
      <w:sz w:val="32"/>
      <w:szCs w:val="32"/>
    </w:rPr>
  </w:style>
  <w:style w:type="paragraph" w:styleId="5">
    <w:name w:val="heading 3"/>
    <w:basedOn w:val="1"/>
    <w:next w:val="1"/>
    <w:qFormat/>
    <w:uiPriority w:val="0"/>
    <w:pPr>
      <w:keepNext/>
      <w:keepLines/>
      <w:spacing w:before="260" w:after="260" w:line="413" w:lineRule="auto"/>
      <w:outlineLvl w:val="2"/>
    </w:pPr>
    <w:rPr>
      <w:b/>
      <w:sz w:val="32"/>
    </w:rPr>
  </w:style>
  <w:style w:type="character" w:default="1" w:styleId="20">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ind w:left="420" w:leftChars="200"/>
    </w:pPr>
  </w:style>
  <w:style w:type="paragraph" w:styleId="6">
    <w:name w:val="Normal Indent"/>
    <w:basedOn w:val="1"/>
    <w:qFormat/>
    <w:uiPriority w:val="0"/>
    <w:pPr>
      <w:ind w:firstLine="630"/>
    </w:pPr>
    <w:rPr>
      <w:kern w:val="0"/>
    </w:rPr>
  </w:style>
  <w:style w:type="paragraph" w:styleId="7">
    <w:name w:val="annotation text"/>
    <w:basedOn w:val="1"/>
    <w:link w:val="36"/>
    <w:unhideWhenUsed/>
    <w:qFormat/>
    <w:uiPriority w:val="99"/>
    <w:pPr>
      <w:jc w:val="left"/>
    </w:pPr>
  </w:style>
  <w:style w:type="paragraph" w:styleId="8">
    <w:name w:val="Body Text"/>
    <w:basedOn w:val="1"/>
    <w:link w:val="37"/>
    <w:qFormat/>
    <w:uiPriority w:val="0"/>
    <w:pPr>
      <w:widowControl/>
      <w:spacing w:after="120"/>
      <w:jc w:val="left"/>
    </w:pPr>
    <w:rPr>
      <w:kern w:val="0"/>
      <w:sz w:val="24"/>
      <w:lang w:eastAsia="en-US" w:bidi="en-US"/>
    </w:rPr>
  </w:style>
  <w:style w:type="paragraph" w:styleId="9">
    <w:name w:val="Body Text Indent"/>
    <w:basedOn w:val="1"/>
    <w:unhideWhenUsed/>
    <w:qFormat/>
    <w:uiPriority w:val="99"/>
    <w:pPr>
      <w:spacing w:after="120"/>
      <w:ind w:left="420" w:leftChars="200"/>
    </w:pPr>
  </w:style>
  <w:style w:type="paragraph" w:styleId="10">
    <w:name w:val="toc 3"/>
    <w:basedOn w:val="1"/>
    <w:next w:val="1"/>
    <w:qFormat/>
    <w:uiPriority w:val="39"/>
    <w:pPr>
      <w:ind w:left="840" w:leftChars="400"/>
    </w:pPr>
  </w:style>
  <w:style w:type="paragraph" w:styleId="11">
    <w:name w:val="Body Text Indent 2"/>
    <w:basedOn w:val="1"/>
    <w:qFormat/>
    <w:uiPriority w:val="0"/>
    <w:pPr>
      <w:spacing w:after="120" w:line="480" w:lineRule="auto"/>
      <w:ind w:left="420" w:leftChars="200"/>
    </w:pPr>
    <w:rPr>
      <w:rFonts w:cs="宋体"/>
    </w:rPr>
  </w:style>
  <w:style w:type="paragraph" w:styleId="12">
    <w:name w:val="footer"/>
    <w:basedOn w:val="1"/>
    <w:unhideWhenUsed/>
    <w:qFormat/>
    <w:uiPriority w:val="99"/>
    <w:pPr>
      <w:tabs>
        <w:tab w:val="center" w:pos="4153"/>
        <w:tab w:val="right" w:pos="8306"/>
      </w:tabs>
      <w:snapToGrid w:val="0"/>
      <w:jc w:val="lef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39"/>
  </w:style>
  <w:style w:type="paragraph" w:styleId="15">
    <w:name w:val="footnote text"/>
    <w:basedOn w:val="1"/>
    <w:qFormat/>
    <w:uiPriority w:val="99"/>
    <w:pPr>
      <w:snapToGrid w:val="0"/>
      <w:jc w:val="left"/>
    </w:pPr>
    <w:rPr>
      <w:rFonts w:ascii="??" w:hAnsi="??"/>
      <w:sz w:val="18"/>
      <w:szCs w:val="18"/>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Body Text First Indent 2"/>
    <w:basedOn w:val="9"/>
    <w:next w:val="1"/>
    <w:unhideWhenUsed/>
    <w:qFormat/>
    <w:uiPriority w:val="99"/>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Emphasis"/>
    <w:basedOn w:val="20"/>
    <w:qFormat/>
    <w:uiPriority w:val="0"/>
    <w:rPr>
      <w:i/>
    </w:rPr>
  </w:style>
  <w:style w:type="character" w:styleId="23">
    <w:name w:val="Hyperlink"/>
    <w:basedOn w:val="20"/>
    <w:qFormat/>
    <w:uiPriority w:val="99"/>
    <w:rPr>
      <w:color w:val="0000FF"/>
      <w:u w:val="single"/>
    </w:rPr>
  </w:style>
  <w:style w:type="character" w:customStyle="1" w:styleId="24">
    <w:name w:val="NormalCharacter"/>
    <w:semiHidden/>
    <w:qFormat/>
    <w:uiPriority w:val="0"/>
  </w:style>
  <w:style w:type="paragraph" w:styleId="2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7">
    <w:name w:val="专栏题目"/>
    <w:basedOn w:val="28"/>
    <w:qFormat/>
    <w:uiPriority w:val="99"/>
    <w:pPr>
      <w:ind w:firstLine="0" w:firstLineChars="0"/>
      <w:jc w:val="center"/>
    </w:pPr>
    <w:rPr>
      <w:rFonts w:ascii="宋体" w:hAnsi="宋体" w:eastAsia="宋体"/>
      <w:b/>
      <w:sz w:val="28"/>
    </w:rPr>
  </w:style>
  <w:style w:type="paragraph" w:customStyle="1" w:styleId="28">
    <w:name w:val="正"/>
    <w:basedOn w:val="1"/>
    <w:qFormat/>
    <w:uiPriority w:val="99"/>
    <w:pPr>
      <w:spacing w:line="360" w:lineRule="auto"/>
      <w:ind w:firstLine="200" w:firstLineChars="200"/>
    </w:pPr>
    <w:rPr>
      <w:rFonts w:eastAsia="仿宋_GB2312"/>
      <w:kern w:val="0"/>
      <w:sz w:val="32"/>
      <w:szCs w:val="20"/>
    </w:rPr>
  </w:style>
  <w:style w:type="paragraph" w:customStyle="1" w:styleId="29">
    <w:name w:val="WPSOffice手动目录 1"/>
    <w:qFormat/>
    <w:uiPriority w:val="0"/>
    <w:rPr>
      <w:rFonts w:ascii="Times New Roman" w:hAnsi="Times New Roman" w:eastAsia="宋体" w:cs="Times New Roman"/>
      <w:lang w:val="en-US" w:eastAsia="zh-CN" w:bidi="ar-SA"/>
    </w:rPr>
  </w:style>
  <w:style w:type="paragraph" w:customStyle="1" w:styleId="30">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2">
    <w:name w:val="样式 标题 2 + 楷体_GB2312 段前: 0 磅 段后: 0 磅 行距: 固定值 29 磅"/>
    <w:basedOn w:val="4"/>
    <w:qFormat/>
    <w:uiPriority w:val="0"/>
    <w:pPr>
      <w:spacing w:line="580" w:lineRule="exact"/>
      <w:ind w:firstLine="630" w:firstLineChars="196"/>
    </w:pPr>
    <w:rPr>
      <w:rFonts w:ascii="楷体_GB2312" w:hAnsi="楷体_GB2312" w:eastAsia="楷体_GB2312" w:cs="宋体"/>
      <w:szCs w:val="20"/>
    </w:rPr>
  </w:style>
  <w:style w:type="paragraph" w:customStyle="1" w:styleId="33">
    <w:name w:val="专栏正文"/>
    <w:basedOn w:val="28"/>
    <w:qFormat/>
    <w:uiPriority w:val="99"/>
    <w:pPr>
      <w:ind w:firstLine="480"/>
    </w:pPr>
    <w:rPr>
      <w:rFonts w:ascii="宋体" w:hAnsi="宋体" w:eastAsia="仿宋"/>
      <w:sz w:val="24"/>
    </w:rPr>
  </w:style>
  <w:style w:type="paragraph" w:customStyle="1" w:styleId="34">
    <w:name w:val="阳江 正文"/>
    <w:basedOn w:val="1"/>
    <w:qFormat/>
    <w:uiPriority w:val="99"/>
    <w:pPr>
      <w:spacing w:afterLines="50" w:line="336" w:lineRule="auto"/>
      <w:ind w:firstLine="420"/>
    </w:pPr>
    <w:rPr>
      <w:sz w:val="24"/>
    </w:rPr>
  </w:style>
  <w:style w:type="paragraph" w:customStyle="1" w:styleId="35">
    <w:name w:val="TOC 标题1"/>
    <w:basedOn w:val="3"/>
    <w:next w:val="1"/>
    <w:unhideWhenUsed/>
    <w:qFormat/>
    <w:uiPriority w:val="39"/>
    <w:pPr>
      <w:widowControl/>
      <w:spacing w:before="240" w:line="259" w:lineRule="auto"/>
      <w:jc w:val="left"/>
      <w:outlineLvl w:val="9"/>
    </w:pPr>
    <w:rPr>
      <w:rFonts w:asciiTheme="majorHAnsi" w:hAnsiTheme="majorHAnsi" w:eastAsiaTheme="majorEastAsia" w:cstheme="majorBidi"/>
      <w:b w:val="0"/>
      <w:bCs/>
      <w:color w:val="2F5597" w:themeColor="accent1" w:themeShade="BF"/>
      <w:kern w:val="0"/>
    </w:rPr>
  </w:style>
  <w:style w:type="character" w:customStyle="1" w:styleId="36">
    <w:name w:val="批注文字 字符"/>
    <w:basedOn w:val="20"/>
    <w:link w:val="7"/>
    <w:qFormat/>
    <w:uiPriority w:val="99"/>
    <w:rPr>
      <w:rFonts w:ascii="Calibri" w:hAnsi="Calibri"/>
      <w:kern w:val="2"/>
      <w:sz w:val="21"/>
      <w:szCs w:val="24"/>
    </w:rPr>
  </w:style>
  <w:style w:type="character" w:customStyle="1" w:styleId="37">
    <w:name w:val="正文文本 字符"/>
    <w:basedOn w:val="20"/>
    <w:link w:val="8"/>
    <w:qFormat/>
    <w:uiPriority w:val="0"/>
    <w:rPr>
      <w:rFonts w:ascii="Calibri" w:hAnsi="Calibri"/>
      <w:sz w:val="24"/>
      <w:szCs w:val="24"/>
      <w:lang w:eastAsia="en-US" w:bidi="en-US"/>
    </w:rPr>
  </w:style>
  <w:style w:type="paragraph" w:customStyle="1" w:styleId="3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9">
    <w:name w:val="Normal Indent"/>
    <w:basedOn w:val="1"/>
    <w:qFormat/>
    <w:uiPriority w:val="0"/>
    <w:pPr>
      <w:ind w:firstLine="420"/>
    </w:pPr>
    <w:rPr>
      <w:rFonts w:ascii="宋体" w:hAnsi="Courier New" w:cs="宋体"/>
      <w:kern w:val="0"/>
      <w:sz w:val="20"/>
      <w:szCs w:val="20"/>
    </w:rPr>
  </w:style>
  <w:style w:type="character" w:customStyle="1" w:styleId="40">
    <w:name w:val="font181"/>
    <w:basedOn w:val="20"/>
    <w:qFormat/>
    <w:uiPriority w:val="0"/>
    <w:rPr>
      <w:rFonts w:hint="eastAsia" w:ascii="宋体" w:hAnsi="宋体" w:eastAsia="宋体" w:cs="宋体"/>
      <w:b/>
      <w:color w:val="000000"/>
      <w:sz w:val="22"/>
      <w:szCs w:val="22"/>
      <w:u w:val="none"/>
    </w:rPr>
  </w:style>
  <w:style w:type="character" w:customStyle="1" w:styleId="41">
    <w:name w:val="font131"/>
    <w:basedOn w:val="20"/>
    <w:qFormat/>
    <w:uiPriority w:val="0"/>
    <w:rPr>
      <w:rFonts w:hint="default" w:ascii="Times New Roman" w:hAnsi="Times New Roman" w:cs="Times New Roman"/>
      <w:b/>
      <w:color w:val="000000"/>
      <w:sz w:val="22"/>
      <w:szCs w:val="22"/>
      <w:u w:val="none"/>
    </w:rPr>
  </w:style>
  <w:style w:type="character" w:customStyle="1" w:styleId="42">
    <w:name w:val="font291"/>
    <w:basedOn w:val="20"/>
    <w:qFormat/>
    <w:uiPriority w:val="0"/>
    <w:rPr>
      <w:rFonts w:hint="default" w:ascii="Times New Roman" w:hAnsi="Times New Roman" w:cs="Times New Roman"/>
      <w:b/>
      <w:color w:val="000000"/>
      <w:sz w:val="22"/>
      <w:szCs w:val="22"/>
      <w:u w:val="none"/>
    </w:rPr>
  </w:style>
  <w:style w:type="character" w:customStyle="1" w:styleId="43">
    <w:name w:val="font191"/>
    <w:basedOn w:val="20"/>
    <w:qFormat/>
    <w:uiPriority w:val="0"/>
    <w:rPr>
      <w:rFonts w:hint="eastAsia" w:ascii="宋体" w:hAnsi="宋体" w:eastAsia="宋体" w:cs="宋体"/>
      <w:b/>
      <w:color w:val="000000"/>
      <w:sz w:val="22"/>
      <w:szCs w:val="22"/>
      <w:u w:val="none"/>
    </w:rPr>
  </w:style>
  <w:style w:type="character" w:customStyle="1" w:styleId="44">
    <w:name w:val="font161"/>
    <w:basedOn w:val="20"/>
    <w:qFormat/>
    <w:uiPriority w:val="0"/>
    <w:rPr>
      <w:rFonts w:hint="eastAsia" w:ascii="宋体" w:hAnsi="宋体" w:eastAsia="宋体" w:cs="宋体"/>
      <w:color w:val="000000"/>
      <w:sz w:val="22"/>
      <w:szCs w:val="22"/>
      <w:u w:val="none"/>
    </w:rPr>
  </w:style>
  <w:style w:type="character" w:customStyle="1" w:styleId="45">
    <w:name w:val="font141"/>
    <w:basedOn w:val="20"/>
    <w:qFormat/>
    <w:uiPriority w:val="0"/>
    <w:rPr>
      <w:rFonts w:hint="default" w:ascii="Times New Roman" w:hAnsi="Times New Roman" w:cs="Times New Roman"/>
      <w:color w:val="000000"/>
      <w:sz w:val="22"/>
      <w:szCs w:val="22"/>
      <w:u w:val="none"/>
    </w:rPr>
  </w:style>
  <w:style w:type="character" w:customStyle="1" w:styleId="46">
    <w:name w:val="font91"/>
    <w:basedOn w:val="20"/>
    <w:qFormat/>
    <w:uiPriority w:val="0"/>
    <w:rPr>
      <w:rFonts w:hint="default" w:ascii="Times New Roman" w:hAnsi="Times New Roman" w:cs="Times New Roman"/>
      <w:color w:val="000000"/>
      <w:sz w:val="22"/>
      <w:szCs w:val="22"/>
      <w:u w:val="none"/>
    </w:rPr>
  </w:style>
  <w:style w:type="character" w:customStyle="1" w:styleId="47">
    <w:name w:val="font281"/>
    <w:basedOn w:val="20"/>
    <w:qFormat/>
    <w:uiPriority w:val="0"/>
    <w:rPr>
      <w:rFonts w:hint="eastAsia" w:ascii="宋体" w:hAnsi="宋体" w:eastAsia="宋体" w:cs="宋体"/>
      <w:color w:val="000000"/>
      <w:sz w:val="22"/>
      <w:szCs w:val="22"/>
      <w:u w:val="none"/>
    </w:rPr>
  </w:style>
  <w:style w:type="character" w:customStyle="1" w:styleId="48">
    <w:name w:val="font261"/>
    <w:basedOn w:val="20"/>
    <w:qFormat/>
    <w:uiPriority w:val="0"/>
    <w:rPr>
      <w:rFonts w:hint="eastAsia" w:ascii="宋体" w:hAnsi="宋体" w:eastAsia="宋体" w:cs="宋体"/>
      <w:color w:val="000000"/>
      <w:sz w:val="22"/>
      <w:szCs w:val="22"/>
      <w:u w:val="none"/>
    </w:rPr>
  </w:style>
  <w:style w:type="character" w:customStyle="1" w:styleId="49">
    <w:name w:val="font271"/>
    <w:basedOn w:val="20"/>
    <w:qFormat/>
    <w:uiPriority w:val="0"/>
    <w:rPr>
      <w:rFonts w:hint="default" w:ascii="Times New Roman" w:hAnsi="Times New Roman" w:cs="Times New Roman"/>
      <w:color w:val="000000"/>
      <w:sz w:val="22"/>
      <w:szCs w:val="22"/>
      <w:u w:val="none"/>
    </w:rPr>
  </w:style>
  <w:style w:type="character" w:customStyle="1" w:styleId="50">
    <w:name w:val="font151"/>
    <w:basedOn w:val="20"/>
    <w:qFormat/>
    <w:uiPriority w:val="0"/>
    <w:rPr>
      <w:rFonts w:hint="default" w:ascii="Times New Roman" w:hAnsi="Times New Roman" w:cs="Times New Roman"/>
      <w:color w:val="000000"/>
      <w:sz w:val="22"/>
      <w:szCs w:val="22"/>
      <w:u w:val="none"/>
    </w:rPr>
  </w:style>
  <w:style w:type="character" w:customStyle="1" w:styleId="51">
    <w:name w:val="page number"/>
    <w:basedOn w:val="20"/>
    <w:qFormat/>
    <w:uiPriority w:val="0"/>
  </w:style>
  <w:style w:type="character" w:customStyle="1" w:styleId="52">
    <w:name w:val="font31"/>
    <w:basedOn w:val="20"/>
    <w:qFormat/>
    <w:uiPriority w:val="0"/>
    <w:rPr>
      <w:rFonts w:hint="eastAsia" w:ascii="宋体" w:hAnsi="宋体" w:eastAsia="宋体" w:cs="宋体"/>
      <w:color w:val="000000"/>
      <w:sz w:val="22"/>
      <w:szCs w:val="22"/>
      <w:u w:val="none"/>
    </w:rPr>
  </w:style>
  <w:style w:type="character" w:customStyle="1" w:styleId="53">
    <w:name w:val="font41"/>
    <w:basedOn w:val="20"/>
    <w:qFormat/>
    <w:uiPriority w:val="0"/>
    <w:rPr>
      <w:rFonts w:hint="default" w:ascii="Times New Roman" w:hAnsi="Times New Roman" w:cs="Times New Roman"/>
      <w:color w:val="000000"/>
      <w:sz w:val="22"/>
      <w:szCs w:val="22"/>
      <w:u w:val="none"/>
    </w:rPr>
  </w:style>
  <w:style w:type="character" w:customStyle="1" w:styleId="54">
    <w:name w:val="font51"/>
    <w:basedOn w:val="20"/>
    <w:qFormat/>
    <w:uiPriority w:val="0"/>
    <w:rPr>
      <w:rFonts w:hint="eastAsia" w:ascii="宋体" w:hAnsi="宋体" w:eastAsia="宋体" w:cs="宋体"/>
      <w:color w:val="000000"/>
      <w:sz w:val="22"/>
      <w:szCs w:val="22"/>
      <w:u w:val="none"/>
    </w:rPr>
  </w:style>
  <w:style w:type="character" w:customStyle="1" w:styleId="55">
    <w:name w:val="font61"/>
    <w:basedOn w:val="20"/>
    <w:qFormat/>
    <w:uiPriority w:val="0"/>
    <w:rPr>
      <w:rFonts w:hint="default" w:ascii="Times New Roman" w:hAnsi="Times New Roman" w:cs="Times New Roman"/>
      <w:color w:val="000000"/>
      <w:sz w:val="20"/>
      <w:szCs w:val="20"/>
      <w:u w:val="none"/>
    </w:rPr>
  </w:style>
  <w:style w:type="character" w:customStyle="1" w:styleId="56">
    <w:name w:val="font71"/>
    <w:basedOn w:val="20"/>
    <w:qFormat/>
    <w:uiPriority w:val="0"/>
    <w:rPr>
      <w:rFonts w:hint="eastAsia" w:ascii="宋体" w:hAnsi="宋体" w:eastAsia="宋体" w:cs="宋体"/>
      <w:color w:val="000000"/>
      <w:sz w:val="20"/>
      <w:szCs w:val="20"/>
      <w:u w:val="none"/>
    </w:rPr>
  </w:style>
  <w:style w:type="character" w:customStyle="1" w:styleId="57">
    <w:name w:val="font81"/>
    <w:basedOn w:val="20"/>
    <w:qFormat/>
    <w:uiPriority w:val="0"/>
    <w:rPr>
      <w:rFonts w:hint="default" w:ascii="Times New Roman" w:hAnsi="Times New Roman" w:cs="Times New Roman"/>
      <w:color w:val="000000"/>
      <w:sz w:val="22"/>
      <w:szCs w:val="22"/>
      <w:u w:val="none"/>
    </w:rPr>
  </w:style>
  <w:style w:type="character" w:customStyle="1" w:styleId="58">
    <w:name w:val="font101"/>
    <w:basedOn w:val="20"/>
    <w:qFormat/>
    <w:uiPriority w:val="0"/>
    <w:rPr>
      <w:rFonts w:hint="default" w:ascii="Times New Roman" w:hAnsi="Times New Roman" w:cs="Times New Roman"/>
      <w:color w:val="000000"/>
      <w:sz w:val="20"/>
      <w:szCs w:val="20"/>
      <w:u w:val="none"/>
    </w:rPr>
  </w:style>
  <w:style w:type="character" w:customStyle="1" w:styleId="59">
    <w:name w:val="font212"/>
    <w:basedOn w:val="20"/>
    <w:qFormat/>
    <w:uiPriority w:val="0"/>
    <w:rPr>
      <w:rFonts w:hint="default" w:ascii="Times New Roman" w:hAnsi="Times New Roman" w:cs="Times New Roman"/>
      <w:color w:val="000000"/>
      <w:sz w:val="20"/>
      <w:szCs w:val="20"/>
      <w:u w:val="none"/>
      <w:vertAlign w:val="superscript"/>
    </w:rPr>
  </w:style>
  <w:style w:type="character" w:customStyle="1" w:styleId="60">
    <w:name w:val="font201"/>
    <w:basedOn w:val="20"/>
    <w:qFormat/>
    <w:uiPriority w:val="0"/>
    <w:rPr>
      <w:rFonts w:hint="eastAsia" w:ascii="宋体" w:hAnsi="宋体" w:eastAsia="宋体" w:cs="宋体"/>
      <w:color w:val="000000"/>
      <w:sz w:val="22"/>
      <w:szCs w:val="22"/>
      <w:u w:val="none"/>
    </w:rPr>
  </w:style>
  <w:style w:type="character" w:customStyle="1" w:styleId="61">
    <w:name w:val="font171"/>
    <w:basedOn w:val="20"/>
    <w:qFormat/>
    <w:uiPriority w:val="0"/>
    <w:rPr>
      <w:rFonts w:hint="eastAsia" w:ascii="宋体" w:hAnsi="宋体" w:eastAsia="宋体" w:cs="宋体"/>
      <w:color w:val="000000"/>
      <w:sz w:val="22"/>
      <w:szCs w:val="22"/>
      <w:u w:val="none"/>
    </w:rPr>
  </w:style>
  <w:style w:type="character" w:customStyle="1" w:styleId="62">
    <w:name w:val="font11"/>
    <w:basedOn w:val="20"/>
    <w:qFormat/>
    <w:uiPriority w:val="0"/>
    <w:rPr>
      <w:rFonts w:hint="default" w:ascii="Times New Roman" w:hAnsi="Times New Roman" w:cs="Times New Roman"/>
      <w:color w:val="000000"/>
      <w:sz w:val="20"/>
      <w:szCs w:val="20"/>
      <w:u w:val="none"/>
    </w:rPr>
  </w:style>
  <w:style w:type="character" w:customStyle="1" w:styleId="63">
    <w:name w:val="font112"/>
    <w:basedOn w:val="20"/>
    <w:qFormat/>
    <w:uiPriority w:val="0"/>
    <w:rPr>
      <w:rFonts w:hint="default" w:ascii="Times New Roman" w:hAnsi="Times New Roman" w:cs="Times New Roman"/>
      <w:color w:val="000000"/>
      <w:sz w:val="22"/>
      <w:szCs w:val="22"/>
      <w:u w:val="none"/>
    </w:rPr>
  </w:style>
  <w:style w:type="character" w:customStyle="1" w:styleId="64">
    <w:name w:val="font221"/>
    <w:basedOn w:val="20"/>
    <w:qFormat/>
    <w:uiPriority w:val="0"/>
    <w:rPr>
      <w:rFonts w:hint="default" w:ascii="Times New Roman" w:hAnsi="Times New Roman" w:cs="Times New Roman"/>
      <w:color w:val="000000"/>
      <w:sz w:val="20"/>
      <w:szCs w:val="20"/>
      <w:u w:val="none"/>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46CB40-4010-4FFB-A220-187F4B4740D9}">
  <ds:schemaRefs/>
</ds:datastoreItem>
</file>

<file path=docProps/app.xml><?xml version="1.0" encoding="utf-8"?>
<Properties xmlns="http://schemas.openxmlformats.org/officeDocument/2006/extended-properties" xmlns:vt="http://schemas.openxmlformats.org/officeDocument/2006/docPropsVTypes">
  <Template>Normal</Template>
  <Pages>101</Pages>
  <Words>9105</Words>
  <Characters>51902</Characters>
  <Lines>432</Lines>
  <Paragraphs>121</Paragraphs>
  <TotalTime>1</TotalTime>
  <ScaleCrop>false</ScaleCrop>
  <LinksUpToDate>false</LinksUpToDate>
  <CharactersWithSpaces>60886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2020-12-28T15:56:00Z</dcterms:created>
  <dc:creator>Administrator</dc:creator>
  <cp:lastModifiedBy>Administrator</cp:lastModifiedBy>
  <dcterms:modified xsi:type="dcterms:W3CDTF">2021-05-28T03:10:19Z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7B8B4151048F431B9F09469F0A0C6D5E</vt:lpwstr>
  </property>
</Properties>
</file>