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0E4" w:rsidRDefault="00E47020">
      <w:pPr>
        <w:pStyle w:val="1"/>
        <w:jc w:val="center"/>
        <w:rPr>
          <w:rFonts w:ascii="方正小标宋_GBK" w:eastAsia="方正小标宋_GBK" w:hAnsi="方正小标宋_GBK"/>
          <w:b w:val="0"/>
          <w:bCs w:val="0"/>
          <w:sz w:val="30"/>
        </w:rPr>
      </w:pPr>
      <w:bookmarkStart w:id="0" w:name="_GoBack"/>
      <w:bookmarkStart w:id="1" w:name="_Toc24724723"/>
      <w:bookmarkEnd w:id="0"/>
      <w:r>
        <w:rPr>
          <w:rFonts w:ascii="方正小标宋_GBK" w:eastAsia="方正小标宋_GBK" w:hAnsi="方正小标宋_GBK" w:hint="eastAsia"/>
          <w:b w:val="0"/>
          <w:bCs w:val="0"/>
          <w:sz w:val="30"/>
        </w:rPr>
        <w:t>（</w:t>
      </w:r>
      <w:r w:rsidR="00262A3F">
        <w:rPr>
          <w:rFonts w:ascii="方正小标宋_GBK" w:eastAsia="方正小标宋_GBK" w:hAnsi="方正小标宋_GBK" w:hint="eastAsia"/>
          <w:b w:val="0"/>
          <w:bCs w:val="0"/>
          <w:sz w:val="30"/>
        </w:rPr>
        <w:t>十</w:t>
      </w:r>
      <w:r w:rsidR="00B5654E">
        <w:rPr>
          <w:rFonts w:ascii="方正小标宋_GBK" w:eastAsia="方正小标宋_GBK" w:hAnsi="方正小标宋_GBK" w:hint="eastAsia"/>
          <w:b w:val="0"/>
          <w:bCs w:val="0"/>
          <w:sz w:val="30"/>
        </w:rPr>
        <w:t>八</w:t>
      </w:r>
      <w:r>
        <w:rPr>
          <w:rFonts w:ascii="方正小标宋_GBK" w:eastAsia="方正小标宋_GBK" w:hAnsi="方正小标宋_GBK" w:hint="eastAsia"/>
          <w:b w:val="0"/>
          <w:bCs w:val="0"/>
          <w:sz w:val="30"/>
        </w:rPr>
        <w:t>）</w:t>
      </w:r>
      <w:r w:rsidR="00924E86">
        <w:rPr>
          <w:rFonts w:ascii="方正小标宋_GBK" w:eastAsia="方正小标宋_GBK" w:hAnsi="方正小标宋_GBK" w:hint="eastAsia"/>
          <w:b w:val="0"/>
          <w:bCs w:val="0"/>
          <w:sz w:val="30"/>
        </w:rPr>
        <w:t>海陵区</w:t>
      </w:r>
      <w:r>
        <w:rPr>
          <w:rFonts w:ascii="方正小标宋_GBK" w:eastAsia="方正小标宋_GBK" w:hAnsi="方正小标宋_GBK" w:hint="eastAsia"/>
          <w:b w:val="0"/>
          <w:bCs w:val="0"/>
          <w:sz w:val="30"/>
        </w:rPr>
        <w:t>公共文化服务领域基层政务公开标准目录</w:t>
      </w:r>
      <w:bookmarkEnd w:id="1"/>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34"/>
        <w:gridCol w:w="1620"/>
        <w:gridCol w:w="1786"/>
        <w:gridCol w:w="1980"/>
        <w:gridCol w:w="1814"/>
        <w:gridCol w:w="1426"/>
        <w:gridCol w:w="1440"/>
        <w:gridCol w:w="720"/>
        <w:gridCol w:w="709"/>
        <w:gridCol w:w="551"/>
        <w:gridCol w:w="720"/>
        <w:gridCol w:w="720"/>
        <w:gridCol w:w="720"/>
      </w:tblGrid>
      <w:tr w:rsidR="006110E4">
        <w:trPr>
          <w:cantSplit/>
          <w:jc w:val="center"/>
        </w:trPr>
        <w:tc>
          <w:tcPr>
            <w:tcW w:w="540" w:type="dxa"/>
            <w:vMerge w:val="restart"/>
            <w:vAlign w:val="center"/>
          </w:tcPr>
          <w:p w:rsidR="006110E4" w:rsidRDefault="00E47020">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54" w:type="dxa"/>
            <w:gridSpan w:val="2"/>
            <w:vAlign w:val="center"/>
          </w:tcPr>
          <w:p w:rsidR="006110E4" w:rsidRDefault="00E4702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1786" w:type="dxa"/>
            <w:vMerge w:val="restart"/>
            <w:vAlign w:val="center"/>
          </w:tcPr>
          <w:p w:rsidR="006110E4" w:rsidRDefault="00E4702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1980" w:type="dxa"/>
            <w:vMerge w:val="restart"/>
            <w:vAlign w:val="center"/>
          </w:tcPr>
          <w:p w:rsidR="006110E4" w:rsidRDefault="00E4702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814" w:type="dxa"/>
            <w:vMerge w:val="restart"/>
            <w:vAlign w:val="center"/>
          </w:tcPr>
          <w:p w:rsidR="006110E4" w:rsidRDefault="00E4702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426" w:type="dxa"/>
            <w:vMerge w:val="restart"/>
            <w:vAlign w:val="center"/>
          </w:tcPr>
          <w:p w:rsidR="006110E4" w:rsidRDefault="00E4702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440" w:type="dxa"/>
            <w:vMerge w:val="restart"/>
            <w:vAlign w:val="center"/>
          </w:tcPr>
          <w:p w:rsidR="006110E4" w:rsidRDefault="00E47020">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29" w:type="dxa"/>
            <w:gridSpan w:val="2"/>
            <w:vAlign w:val="center"/>
          </w:tcPr>
          <w:p w:rsidR="006110E4" w:rsidRDefault="00E4702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1" w:type="dxa"/>
            <w:gridSpan w:val="2"/>
            <w:vAlign w:val="center"/>
          </w:tcPr>
          <w:p w:rsidR="006110E4" w:rsidRDefault="00E4702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440" w:type="dxa"/>
            <w:gridSpan w:val="2"/>
            <w:vAlign w:val="center"/>
          </w:tcPr>
          <w:p w:rsidR="006110E4" w:rsidRDefault="00E4702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6110E4">
        <w:trPr>
          <w:cantSplit/>
          <w:jc w:val="center"/>
        </w:trPr>
        <w:tc>
          <w:tcPr>
            <w:tcW w:w="540" w:type="dxa"/>
            <w:vMerge/>
            <w:vAlign w:val="center"/>
          </w:tcPr>
          <w:p w:rsidR="006110E4" w:rsidRDefault="006110E4">
            <w:pPr>
              <w:widowControl/>
              <w:jc w:val="left"/>
              <w:rPr>
                <w:rFonts w:ascii="Times New Roman" w:hAnsi="Times New Roman"/>
                <w:color w:val="000000"/>
                <w:kern w:val="0"/>
                <w:sz w:val="22"/>
              </w:rPr>
            </w:pPr>
          </w:p>
        </w:tc>
        <w:tc>
          <w:tcPr>
            <w:tcW w:w="734" w:type="dxa"/>
            <w:vAlign w:val="center"/>
          </w:tcPr>
          <w:p w:rsidR="006110E4" w:rsidRDefault="00E4702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1620" w:type="dxa"/>
            <w:vAlign w:val="center"/>
          </w:tcPr>
          <w:p w:rsidR="006110E4" w:rsidRDefault="00E4702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1786" w:type="dxa"/>
            <w:vMerge/>
            <w:vAlign w:val="center"/>
          </w:tcPr>
          <w:p w:rsidR="006110E4" w:rsidRDefault="006110E4">
            <w:pPr>
              <w:widowControl/>
              <w:jc w:val="left"/>
              <w:rPr>
                <w:rFonts w:ascii="黑体" w:eastAsia="黑体" w:hAnsi="宋体" w:cs="宋体"/>
                <w:color w:val="000000"/>
                <w:kern w:val="0"/>
                <w:sz w:val="22"/>
              </w:rPr>
            </w:pPr>
          </w:p>
        </w:tc>
        <w:tc>
          <w:tcPr>
            <w:tcW w:w="1980" w:type="dxa"/>
            <w:vMerge/>
            <w:vAlign w:val="center"/>
          </w:tcPr>
          <w:p w:rsidR="006110E4" w:rsidRDefault="006110E4">
            <w:pPr>
              <w:widowControl/>
              <w:jc w:val="left"/>
              <w:rPr>
                <w:rFonts w:ascii="黑体" w:eastAsia="黑体" w:hAnsi="宋体" w:cs="宋体"/>
                <w:color w:val="000000"/>
                <w:kern w:val="0"/>
                <w:sz w:val="22"/>
              </w:rPr>
            </w:pPr>
          </w:p>
        </w:tc>
        <w:tc>
          <w:tcPr>
            <w:tcW w:w="1814" w:type="dxa"/>
            <w:vMerge/>
            <w:vAlign w:val="center"/>
          </w:tcPr>
          <w:p w:rsidR="006110E4" w:rsidRDefault="006110E4">
            <w:pPr>
              <w:widowControl/>
              <w:jc w:val="left"/>
              <w:rPr>
                <w:rFonts w:ascii="黑体" w:eastAsia="黑体" w:hAnsi="宋体" w:cs="宋体"/>
                <w:color w:val="000000"/>
                <w:kern w:val="0"/>
                <w:sz w:val="22"/>
              </w:rPr>
            </w:pPr>
          </w:p>
        </w:tc>
        <w:tc>
          <w:tcPr>
            <w:tcW w:w="1426" w:type="dxa"/>
            <w:vMerge/>
            <w:vAlign w:val="center"/>
          </w:tcPr>
          <w:p w:rsidR="006110E4" w:rsidRDefault="006110E4">
            <w:pPr>
              <w:widowControl/>
              <w:jc w:val="left"/>
              <w:rPr>
                <w:rFonts w:ascii="黑体" w:eastAsia="黑体" w:hAnsi="宋体" w:cs="宋体"/>
                <w:color w:val="000000"/>
                <w:kern w:val="0"/>
                <w:sz w:val="22"/>
              </w:rPr>
            </w:pPr>
          </w:p>
        </w:tc>
        <w:tc>
          <w:tcPr>
            <w:tcW w:w="1440" w:type="dxa"/>
            <w:vMerge/>
            <w:vAlign w:val="center"/>
          </w:tcPr>
          <w:p w:rsidR="006110E4" w:rsidRDefault="006110E4">
            <w:pPr>
              <w:widowControl/>
              <w:jc w:val="left"/>
              <w:rPr>
                <w:rFonts w:ascii="黑体" w:eastAsia="黑体" w:hAnsi="宋体" w:cs="宋体"/>
                <w:kern w:val="0"/>
                <w:sz w:val="22"/>
              </w:rPr>
            </w:pPr>
          </w:p>
        </w:tc>
        <w:tc>
          <w:tcPr>
            <w:tcW w:w="720" w:type="dxa"/>
            <w:vAlign w:val="center"/>
          </w:tcPr>
          <w:p w:rsidR="006110E4" w:rsidRDefault="00E4702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vAlign w:val="center"/>
          </w:tcPr>
          <w:p w:rsidR="006110E4" w:rsidRDefault="00E4702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51" w:type="dxa"/>
            <w:vAlign w:val="center"/>
          </w:tcPr>
          <w:p w:rsidR="006110E4" w:rsidRDefault="00E4702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vAlign w:val="center"/>
          </w:tcPr>
          <w:p w:rsidR="006110E4" w:rsidRDefault="00E4702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20" w:type="dxa"/>
            <w:vAlign w:val="center"/>
          </w:tcPr>
          <w:p w:rsidR="006110E4" w:rsidRDefault="00E4702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20" w:type="dxa"/>
            <w:vAlign w:val="center"/>
          </w:tcPr>
          <w:p w:rsidR="006110E4" w:rsidRDefault="00E47020">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6110E4">
        <w:trPr>
          <w:cantSplit/>
          <w:jc w:val="center"/>
        </w:trPr>
        <w:tc>
          <w:tcPr>
            <w:tcW w:w="54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1</w:t>
            </w:r>
          </w:p>
        </w:tc>
        <w:tc>
          <w:tcPr>
            <w:tcW w:w="734" w:type="dxa"/>
            <w:vMerge w:val="restart"/>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t>许可</w:t>
            </w:r>
          </w:p>
        </w:tc>
        <w:tc>
          <w:tcPr>
            <w:tcW w:w="16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互联网上网服务营业场所经营许可</w:t>
            </w:r>
          </w:p>
        </w:tc>
        <w:tc>
          <w:tcPr>
            <w:tcW w:w="1786"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1.办事指南：主要包括事项名称、设定依据、申请条件、办理材料、办理地点、办理时间、联系电话、办理流程、办理期限、申请行政许可需要提交的全部材料目录及办理情况;</w:t>
            </w:r>
            <w:r>
              <w:rPr>
                <w:rFonts w:ascii="仿宋_GB2312" w:eastAsia="仿宋_GB2312" w:hAnsi="Times New Roman" w:hint="eastAsia"/>
                <w:sz w:val="18"/>
                <w:szCs w:val="18"/>
              </w:rPr>
              <w:br/>
              <w:t>2.行政许可决定。</w:t>
            </w:r>
          </w:p>
        </w:tc>
        <w:tc>
          <w:tcPr>
            <w:tcW w:w="198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《行政许可法》、《政府信息公开条例》、《互联网上网服务营业场所管理条例》</w:t>
            </w:r>
          </w:p>
        </w:tc>
        <w:tc>
          <w:tcPr>
            <w:tcW w:w="1814"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1426"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阳江市海陵试验区文化体育局</w:t>
            </w:r>
          </w:p>
        </w:tc>
        <w:tc>
          <w:tcPr>
            <w:tcW w:w="144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■政府网站       ■公开查阅点     ■政务服务中心   </w:t>
            </w:r>
          </w:p>
        </w:tc>
        <w:tc>
          <w:tcPr>
            <w:tcW w:w="7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6110E4">
        <w:trPr>
          <w:cantSplit/>
          <w:jc w:val="center"/>
        </w:trPr>
        <w:tc>
          <w:tcPr>
            <w:tcW w:w="54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2</w:t>
            </w:r>
          </w:p>
        </w:tc>
        <w:tc>
          <w:tcPr>
            <w:tcW w:w="734" w:type="dxa"/>
            <w:vMerge/>
            <w:vAlign w:val="center"/>
          </w:tcPr>
          <w:p w:rsidR="006110E4" w:rsidRDefault="006110E4">
            <w:pPr>
              <w:spacing w:line="240" w:lineRule="exact"/>
              <w:rPr>
                <w:rFonts w:ascii="仿宋_GB2312" w:eastAsia="仿宋_GB2312" w:hAnsi="Times New Roman"/>
                <w:sz w:val="18"/>
                <w:szCs w:val="18"/>
              </w:rPr>
            </w:pPr>
          </w:p>
        </w:tc>
        <w:tc>
          <w:tcPr>
            <w:tcW w:w="16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文艺表演团体设立审批</w:t>
            </w:r>
          </w:p>
        </w:tc>
        <w:tc>
          <w:tcPr>
            <w:tcW w:w="1786"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1.办事指南：主要包括事项名称、设定依据、申请条件、办理材料、办理地点、办理时间、联系电话、办理流程、办理期限、申请行政许可需要提交的全部材料目录及办理情况;</w:t>
            </w:r>
            <w:r>
              <w:rPr>
                <w:rFonts w:ascii="仿宋_GB2312" w:eastAsia="仿宋_GB2312" w:hAnsi="Times New Roman" w:hint="eastAsia"/>
                <w:sz w:val="18"/>
                <w:szCs w:val="18"/>
              </w:rPr>
              <w:br/>
              <w:t>2.行政许可决定。</w:t>
            </w:r>
          </w:p>
        </w:tc>
        <w:tc>
          <w:tcPr>
            <w:tcW w:w="198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《行政许可法》、《政府信息公开条例》、《营业性演出管理条例》、《文化部关于落实“先照后证”改进文化市场行政审批工作的通知》、《营业性演出管理条例》 </w:t>
            </w:r>
          </w:p>
        </w:tc>
        <w:tc>
          <w:tcPr>
            <w:tcW w:w="1814"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1426"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阳江市海陵试验区文化体育局</w:t>
            </w:r>
          </w:p>
        </w:tc>
        <w:tc>
          <w:tcPr>
            <w:tcW w:w="144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■政府网站       ■公开查阅点     ■政务服务中心   </w:t>
            </w:r>
          </w:p>
        </w:tc>
        <w:tc>
          <w:tcPr>
            <w:tcW w:w="7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6110E4">
        <w:trPr>
          <w:cantSplit/>
          <w:jc w:val="center"/>
        </w:trPr>
        <w:tc>
          <w:tcPr>
            <w:tcW w:w="54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lastRenderedPageBreak/>
              <w:t>3</w:t>
            </w:r>
          </w:p>
        </w:tc>
        <w:tc>
          <w:tcPr>
            <w:tcW w:w="734"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t>许可</w:t>
            </w:r>
          </w:p>
        </w:tc>
        <w:tc>
          <w:tcPr>
            <w:tcW w:w="16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营业性演出审批</w:t>
            </w:r>
          </w:p>
        </w:tc>
        <w:tc>
          <w:tcPr>
            <w:tcW w:w="1786"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1.办事指南：主要包括事项名称、设定依据、申请条件、办理材料、办理地点、办理时间、联系电话、办理流程、办理期限、申请行政许可需要提交的全部材料目录及办理情况;</w:t>
            </w:r>
            <w:r>
              <w:rPr>
                <w:rFonts w:ascii="仿宋_GB2312" w:eastAsia="仿宋_GB2312" w:hAnsi="Times New Roman" w:hint="eastAsia"/>
                <w:sz w:val="18"/>
                <w:szCs w:val="18"/>
              </w:rPr>
              <w:br/>
              <w:t>2.行政许可决定。</w:t>
            </w:r>
          </w:p>
        </w:tc>
        <w:tc>
          <w:tcPr>
            <w:tcW w:w="198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《行政许可法》、《政府信息公开条例》、《营业性演出管理条例》、《文化部关于落实“先照后证”改进文化市场行政审批工作的通知》</w:t>
            </w:r>
          </w:p>
        </w:tc>
        <w:tc>
          <w:tcPr>
            <w:tcW w:w="1814"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1426"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阳江市海陵试验区文化体育局</w:t>
            </w:r>
          </w:p>
        </w:tc>
        <w:tc>
          <w:tcPr>
            <w:tcW w:w="144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■政府网站       ■公开查阅点     ■政务服务中心   </w:t>
            </w:r>
          </w:p>
        </w:tc>
        <w:tc>
          <w:tcPr>
            <w:tcW w:w="7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6110E4">
        <w:trPr>
          <w:cantSplit/>
          <w:jc w:val="center"/>
        </w:trPr>
        <w:tc>
          <w:tcPr>
            <w:tcW w:w="54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4</w:t>
            </w:r>
          </w:p>
        </w:tc>
        <w:tc>
          <w:tcPr>
            <w:tcW w:w="734" w:type="dxa"/>
            <w:vMerge w:val="restart"/>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t>许可</w:t>
            </w:r>
          </w:p>
        </w:tc>
        <w:tc>
          <w:tcPr>
            <w:tcW w:w="16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娱乐场所经营许可</w:t>
            </w:r>
          </w:p>
        </w:tc>
        <w:tc>
          <w:tcPr>
            <w:tcW w:w="1786"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1.办事指南：主要包括事项名称、设定依据、申请条件、办理材料、办理地点、办理时间、联系电话、办理流程、办理期限、申请行政许可需要提交的全部材料目录及办理情况;</w:t>
            </w:r>
            <w:r>
              <w:rPr>
                <w:rFonts w:ascii="仿宋_GB2312" w:eastAsia="仿宋_GB2312" w:hAnsi="Times New Roman" w:hint="eastAsia"/>
                <w:sz w:val="18"/>
                <w:szCs w:val="18"/>
              </w:rPr>
              <w:br/>
              <w:t>2.行政许可决定。</w:t>
            </w:r>
          </w:p>
        </w:tc>
        <w:tc>
          <w:tcPr>
            <w:tcW w:w="198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《行政许可法》；《政府信息公开条例》；《娱乐场所管理条例》</w:t>
            </w:r>
          </w:p>
        </w:tc>
        <w:tc>
          <w:tcPr>
            <w:tcW w:w="1814"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1426"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阳江市海陵试验区文化体育局</w:t>
            </w:r>
          </w:p>
        </w:tc>
        <w:tc>
          <w:tcPr>
            <w:tcW w:w="144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■政府网站       ■公开查阅点     ■政务服务中心   </w:t>
            </w:r>
          </w:p>
        </w:tc>
        <w:tc>
          <w:tcPr>
            <w:tcW w:w="7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6110E4">
        <w:trPr>
          <w:cantSplit/>
          <w:jc w:val="center"/>
        </w:trPr>
        <w:tc>
          <w:tcPr>
            <w:tcW w:w="54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5</w:t>
            </w:r>
          </w:p>
        </w:tc>
        <w:tc>
          <w:tcPr>
            <w:tcW w:w="734" w:type="dxa"/>
            <w:vMerge/>
            <w:vAlign w:val="center"/>
          </w:tcPr>
          <w:p w:rsidR="006110E4" w:rsidRDefault="006110E4">
            <w:pPr>
              <w:spacing w:line="240" w:lineRule="exact"/>
              <w:rPr>
                <w:rFonts w:ascii="仿宋_GB2312" w:eastAsia="仿宋_GB2312" w:hAnsi="Times New Roman"/>
                <w:sz w:val="18"/>
                <w:szCs w:val="18"/>
              </w:rPr>
            </w:pPr>
          </w:p>
        </w:tc>
        <w:tc>
          <w:tcPr>
            <w:tcW w:w="16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文物保护单位保护范围内进行其他建设工程设计方案审核</w:t>
            </w:r>
          </w:p>
        </w:tc>
        <w:tc>
          <w:tcPr>
            <w:tcW w:w="1786"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1.办事指南：主要包括事项名称、设定依据、申请条件、办理材料、办理地点、办理时间、联系电话、办理流程、办理期限、申请行政许可需要提交的全部材料目录及办理情况;</w:t>
            </w:r>
            <w:r>
              <w:rPr>
                <w:rFonts w:ascii="仿宋_GB2312" w:eastAsia="仿宋_GB2312" w:hAnsi="Times New Roman" w:hint="eastAsia"/>
                <w:sz w:val="18"/>
                <w:szCs w:val="18"/>
              </w:rPr>
              <w:br/>
              <w:t>2.行政许可决定。</w:t>
            </w:r>
          </w:p>
        </w:tc>
        <w:tc>
          <w:tcPr>
            <w:tcW w:w="198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《行政许可法》；《政府信息公开条例》；《中华人民共和国文物保护法》（2015年修正）</w:t>
            </w:r>
          </w:p>
        </w:tc>
        <w:tc>
          <w:tcPr>
            <w:tcW w:w="1814"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1426"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阳江市海陵试验区文化体育局</w:t>
            </w:r>
          </w:p>
        </w:tc>
        <w:tc>
          <w:tcPr>
            <w:tcW w:w="144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■政府网站       ■公开查阅点     ■政务服务中心     </w:t>
            </w:r>
          </w:p>
        </w:tc>
        <w:tc>
          <w:tcPr>
            <w:tcW w:w="7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6110E4">
        <w:trPr>
          <w:cantSplit/>
          <w:jc w:val="center"/>
        </w:trPr>
        <w:tc>
          <w:tcPr>
            <w:tcW w:w="54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lastRenderedPageBreak/>
              <w:t>6</w:t>
            </w:r>
          </w:p>
        </w:tc>
        <w:tc>
          <w:tcPr>
            <w:tcW w:w="734" w:type="dxa"/>
            <w:vMerge/>
            <w:vAlign w:val="center"/>
          </w:tcPr>
          <w:p w:rsidR="006110E4" w:rsidRDefault="006110E4">
            <w:pPr>
              <w:spacing w:line="240" w:lineRule="exact"/>
              <w:rPr>
                <w:rFonts w:ascii="仿宋_GB2312" w:eastAsia="仿宋_GB2312" w:hAnsi="Times New Roman"/>
                <w:sz w:val="18"/>
                <w:szCs w:val="18"/>
              </w:rPr>
            </w:pPr>
          </w:p>
        </w:tc>
        <w:tc>
          <w:tcPr>
            <w:tcW w:w="16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省级以下文物保护单位建设控制地带内的建设工程设计方案审核</w:t>
            </w:r>
          </w:p>
        </w:tc>
        <w:tc>
          <w:tcPr>
            <w:tcW w:w="1786"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1.办事指南：主要包括事项名称、设定依据、申请条件、办理材料、办理地点、办理时间、联系电话、办理流程、办理期限、申请行政许可需要提交的全部材料目录及办理情况;</w:t>
            </w:r>
            <w:r>
              <w:rPr>
                <w:rFonts w:ascii="仿宋_GB2312" w:eastAsia="仿宋_GB2312" w:hAnsi="Times New Roman" w:hint="eastAsia"/>
                <w:sz w:val="18"/>
                <w:szCs w:val="18"/>
              </w:rPr>
              <w:br/>
              <w:t>2.行政许可决定。</w:t>
            </w:r>
          </w:p>
        </w:tc>
        <w:tc>
          <w:tcPr>
            <w:tcW w:w="198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《行政许可法》；《政府信息公开条例》；《中华人民共和国文物保护法》（2015年修正）</w:t>
            </w:r>
          </w:p>
        </w:tc>
        <w:tc>
          <w:tcPr>
            <w:tcW w:w="1814"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1426"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阳江市海陵试验区文化体育局</w:t>
            </w:r>
          </w:p>
        </w:tc>
        <w:tc>
          <w:tcPr>
            <w:tcW w:w="144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■政府网站       ■公开查阅点     ■政务服务中心       </w:t>
            </w:r>
          </w:p>
        </w:tc>
        <w:tc>
          <w:tcPr>
            <w:tcW w:w="7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6110E4">
        <w:trPr>
          <w:cantSplit/>
          <w:jc w:val="center"/>
        </w:trPr>
        <w:tc>
          <w:tcPr>
            <w:tcW w:w="54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7</w:t>
            </w:r>
          </w:p>
        </w:tc>
        <w:tc>
          <w:tcPr>
            <w:tcW w:w="734" w:type="dxa"/>
            <w:vMerge/>
            <w:vAlign w:val="center"/>
          </w:tcPr>
          <w:p w:rsidR="006110E4" w:rsidRDefault="006110E4">
            <w:pPr>
              <w:spacing w:line="240" w:lineRule="exact"/>
              <w:rPr>
                <w:rFonts w:ascii="仿宋_GB2312" w:eastAsia="仿宋_GB2312" w:hAnsi="Times New Roman"/>
                <w:sz w:val="18"/>
                <w:szCs w:val="18"/>
              </w:rPr>
            </w:pPr>
          </w:p>
        </w:tc>
        <w:tc>
          <w:tcPr>
            <w:tcW w:w="16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文物保护单位文物保护工程许可</w:t>
            </w:r>
          </w:p>
        </w:tc>
        <w:tc>
          <w:tcPr>
            <w:tcW w:w="1786"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1.办事指南：主要包括事项名称、设定依据、申请条件、办理材料、办理地点、办理时间、联系电话、办理流程、办理期限、申请行政许可需要提交的全部材料目录及办理情况;</w:t>
            </w:r>
            <w:r>
              <w:rPr>
                <w:rFonts w:ascii="仿宋_GB2312" w:eastAsia="仿宋_GB2312" w:hAnsi="Times New Roman" w:hint="eastAsia"/>
                <w:sz w:val="18"/>
                <w:szCs w:val="18"/>
              </w:rPr>
              <w:br/>
              <w:t>2.行政许可决定。</w:t>
            </w:r>
          </w:p>
        </w:tc>
        <w:tc>
          <w:tcPr>
            <w:tcW w:w="198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《行政许可法》；《政府信息公开条例》；《中华人民共和国文物保护法》（2015年修正）</w:t>
            </w:r>
          </w:p>
        </w:tc>
        <w:tc>
          <w:tcPr>
            <w:tcW w:w="1814"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1426"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阳江市海陵试验区文化体育局</w:t>
            </w:r>
          </w:p>
        </w:tc>
        <w:tc>
          <w:tcPr>
            <w:tcW w:w="144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■政府网站       ■公开查阅点     ■政务服务中心       </w:t>
            </w:r>
          </w:p>
        </w:tc>
        <w:tc>
          <w:tcPr>
            <w:tcW w:w="7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6110E4">
        <w:trPr>
          <w:cantSplit/>
          <w:jc w:val="center"/>
        </w:trPr>
        <w:tc>
          <w:tcPr>
            <w:tcW w:w="54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8</w:t>
            </w:r>
          </w:p>
        </w:tc>
        <w:tc>
          <w:tcPr>
            <w:tcW w:w="734" w:type="dxa"/>
            <w:vMerge w:val="restart"/>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w:t>
            </w:r>
            <w:r>
              <w:rPr>
                <w:rFonts w:ascii="仿宋_GB2312" w:eastAsia="仿宋_GB2312" w:hAnsi="Times New Roman" w:hint="eastAsia"/>
                <w:sz w:val="18"/>
                <w:szCs w:val="18"/>
              </w:rPr>
              <w:br/>
              <w:t>许可</w:t>
            </w:r>
          </w:p>
        </w:tc>
        <w:tc>
          <w:tcPr>
            <w:tcW w:w="16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对未核定为文物保护单位的不可移动文物保护工程设计方案审批</w:t>
            </w:r>
          </w:p>
        </w:tc>
        <w:tc>
          <w:tcPr>
            <w:tcW w:w="1786"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1.办事指南：主要包括事项名称、设定依据、申请条件、办理材料、办理地点、办理时间、联系电话、办理流程、办理期限、申请行政许可需要提交的全部材料目录及办理情况;</w:t>
            </w:r>
            <w:r>
              <w:rPr>
                <w:rFonts w:ascii="仿宋_GB2312" w:eastAsia="仿宋_GB2312" w:hAnsi="Times New Roman" w:hint="eastAsia"/>
                <w:sz w:val="18"/>
                <w:szCs w:val="18"/>
              </w:rPr>
              <w:br/>
              <w:t>2.行政许可决定。</w:t>
            </w:r>
          </w:p>
        </w:tc>
        <w:tc>
          <w:tcPr>
            <w:tcW w:w="198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《行政许可法》；《政府信息公开条例》；《中华人民共和国文物保护法》（2015年修正）</w:t>
            </w:r>
          </w:p>
        </w:tc>
        <w:tc>
          <w:tcPr>
            <w:tcW w:w="1814"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1426"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阳江市海陵试验区文化体育局</w:t>
            </w:r>
          </w:p>
        </w:tc>
        <w:tc>
          <w:tcPr>
            <w:tcW w:w="144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■政府网站       ■公开查阅点     ■政务服务中心       </w:t>
            </w:r>
          </w:p>
        </w:tc>
        <w:tc>
          <w:tcPr>
            <w:tcW w:w="7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6110E4">
        <w:trPr>
          <w:cantSplit/>
          <w:jc w:val="center"/>
        </w:trPr>
        <w:tc>
          <w:tcPr>
            <w:tcW w:w="54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lastRenderedPageBreak/>
              <w:t>9</w:t>
            </w:r>
          </w:p>
        </w:tc>
        <w:tc>
          <w:tcPr>
            <w:tcW w:w="734" w:type="dxa"/>
            <w:vMerge/>
            <w:vAlign w:val="center"/>
          </w:tcPr>
          <w:p w:rsidR="006110E4" w:rsidRDefault="006110E4">
            <w:pPr>
              <w:spacing w:line="240" w:lineRule="exact"/>
              <w:rPr>
                <w:rFonts w:ascii="仿宋_GB2312" w:eastAsia="仿宋_GB2312" w:hAnsi="Times New Roman"/>
                <w:sz w:val="18"/>
                <w:szCs w:val="18"/>
              </w:rPr>
            </w:pPr>
          </w:p>
        </w:tc>
        <w:tc>
          <w:tcPr>
            <w:tcW w:w="16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核定为文物保护单位的属于国家所有的纪念建筑物或者古建筑改变用途审批</w:t>
            </w:r>
          </w:p>
        </w:tc>
        <w:tc>
          <w:tcPr>
            <w:tcW w:w="1786"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1.办事指南：主要包括事项名称、设定依据、申请条件、办理材料、办理地点、办理时间、联系电话、办理流程、办理期限、申请行政许可需要提交的全部材料目录及办理情况;</w:t>
            </w:r>
            <w:r>
              <w:rPr>
                <w:rFonts w:ascii="仿宋_GB2312" w:eastAsia="仿宋_GB2312" w:hAnsi="Times New Roman" w:hint="eastAsia"/>
                <w:sz w:val="18"/>
                <w:szCs w:val="18"/>
              </w:rPr>
              <w:br/>
              <w:t>2.行政许可决定。</w:t>
            </w:r>
          </w:p>
        </w:tc>
        <w:tc>
          <w:tcPr>
            <w:tcW w:w="198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《行政许可法》；《政府信息公开条例》；《中华人民共和国文物保护法》（2015年修正）</w:t>
            </w:r>
          </w:p>
        </w:tc>
        <w:tc>
          <w:tcPr>
            <w:tcW w:w="1814"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1426"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阳江市海陵试验区文化体育局</w:t>
            </w:r>
          </w:p>
        </w:tc>
        <w:tc>
          <w:tcPr>
            <w:tcW w:w="144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■政府网站       ■公开查阅点     ■政务服务中心          </w:t>
            </w:r>
          </w:p>
        </w:tc>
        <w:tc>
          <w:tcPr>
            <w:tcW w:w="7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r w:rsidR="006110E4">
        <w:trPr>
          <w:cantSplit/>
          <w:jc w:val="center"/>
        </w:trPr>
        <w:tc>
          <w:tcPr>
            <w:tcW w:w="54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10</w:t>
            </w:r>
          </w:p>
        </w:tc>
        <w:tc>
          <w:tcPr>
            <w:tcW w:w="734" w:type="dxa"/>
            <w:vMerge/>
            <w:vAlign w:val="center"/>
          </w:tcPr>
          <w:p w:rsidR="006110E4" w:rsidRDefault="006110E4">
            <w:pPr>
              <w:spacing w:line="240" w:lineRule="exact"/>
              <w:rPr>
                <w:rFonts w:ascii="仿宋_GB2312" w:eastAsia="仿宋_GB2312" w:hAnsi="Times New Roman"/>
                <w:sz w:val="18"/>
                <w:szCs w:val="18"/>
              </w:rPr>
            </w:pPr>
          </w:p>
        </w:tc>
        <w:tc>
          <w:tcPr>
            <w:tcW w:w="16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非国有文物收藏单位和其他单位借用国有文物收藏单位馆藏文物审批</w:t>
            </w:r>
          </w:p>
        </w:tc>
        <w:tc>
          <w:tcPr>
            <w:tcW w:w="1786"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1.办事指南：主要包括事项名称、设定依据、申请条件、办理材料、办理地点、办理时间、联系电话、办理流程、办理期限、申请行政许可需要提交的全部材料目录及办理情况;</w:t>
            </w:r>
            <w:r>
              <w:rPr>
                <w:rFonts w:ascii="仿宋_GB2312" w:eastAsia="仿宋_GB2312" w:hAnsi="Times New Roman" w:hint="eastAsia"/>
                <w:sz w:val="18"/>
                <w:szCs w:val="18"/>
              </w:rPr>
              <w:br/>
              <w:t>2.行政许可决定。</w:t>
            </w:r>
          </w:p>
        </w:tc>
        <w:tc>
          <w:tcPr>
            <w:tcW w:w="198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《行政许可法》；《政府信息公开条例》；《中华人民共和国文物保护法》（2015年修正）</w:t>
            </w:r>
          </w:p>
        </w:tc>
        <w:tc>
          <w:tcPr>
            <w:tcW w:w="1814"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信息形成或变更之日起20个工作日内公开</w:t>
            </w:r>
          </w:p>
        </w:tc>
        <w:tc>
          <w:tcPr>
            <w:tcW w:w="1426"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阳江市海陵试验区文化体育局</w:t>
            </w:r>
          </w:p>
        </w:tc>
        <w:tc>
          <w:tcPr>
            <w:tcW w:w="144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■政府网站       ■公开查阅点     ■政务服务中心     </w:t>
            </w:r>
          </w:p>
        </w:tc>
        <w:tc>
          <w:tcPr>
            <w:tcW w:w="7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09"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551"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c>
          <w:tcPr>
            <w:tcW w:w="7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p>
        </w:tc>
        <w:tc>
          <w:tcPr>
            <w:tcW w:w="720" w:type="dxa"/>
            <w:vAlign w:val="center"/>
          </w:tcPr>
          <w:p w:rsidR="006110E4" w:rsidRDefault="00E47020">
            <w:pPr>
              <w:spacing w:line="240" w:lineRule="exact"/>
              <w:rPr>
                <w:rFonts w:ascii="仿宋_GB2312" w:eastAsia="仿宋_GB2312" w:hAnsi="Times New Roman"/>
                <w:sz w:val="18"/>
                <w:szCs w:val="18"/>
              </w:rPr>
            </w:pPr>
            <w:r>
              <w:rPr>
                <w:rFonts w:ascii="仿宋_GB2312" w:eastAsia="仿宋_GB2312" w:hAnsi="Times New Roman" w:hint="eastAsia"/>
                <w:sz w:val="18"/>
                <w:szCs w:val="18"/>
              </w:rPr>
              <w:t xml:space="preserve">　</w:t>
            </w:r>
          </w:p>
        </w:tc>
      </w:tr>
    </w:tbl>
    <w:p w:rsidR="006110E4" w:rsidRDefault="006110E4">
      <w:pPr>
        <w:jc w:val="left"/>
        <w:rPr>
          <w:rFonts w:ascii="Times New Roman" w:eastAsia="方正小标宋_GBK" w:hAnsi="Times New Roman"/>
          <w:sz w:val="28"/>
          <w:szCs w:val="28"/>
        </w:rPr>
      </w:pPr>
    </w:p>
    <w:p w:rsidR="006110E4" w:rsidRDefault="006110E4">
      <w:pPr>
        <w:jc w:val="left"/>
        <w:rPr>
          <w:rFonts w:ascii="Times New Roman" w:eastAsia="方正小标宋_GBK" w:hAnsi="Times New Roman"/>
          <w:sz w:val="28"/>
          <w:szCs w:val="28"/>
        </w:rPr>
      </w:pPr>
    </w:p>
    <w:p w:rsidR="006110E4" w:rsidRDefault="006110E4">
      <w:pPr>
        <w:jc w:val="center"/>
        <w:rPr>
          <w:rFonts w:asciiTheme="minorHAnsi" w:eastAsiaTheme="minorEastAsia" w:hAnsiTheme="minorHAnsi" w:cstheme="minorBidi"/>
          <w:szCs w:val="24"/>
        </w:rPr>
      </w:pPr>
    </w:p>
    <w:sectPr w:rsidR="006110E4" w:rsidSect="000E73B5">
      <w:footerReference w:type="default" r:id="rId7"/>
      <w:pgSz w:w="16838" w:h="11906" w:orient="landscape"/>
      <w:pgMar w:top="1800" w:right="1440" w:bottom="1800" w:left="1440" w:header="851" w:footer="992" w:gutter="0"/>
      <w:pgNumType w:start="13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378" w:rsidRDefault="00C45378" w:rsidP="00924E86">
      <w:r>
        <w:separator/>
      </w:r>
    </w:p>
  </w:endnote>
  <w:endnote w:type="continuationSeparator" w:id="0">
    <w:p w:rsidR="00C45378" w:rsidRDefault="00C45378" w:rsidP="00924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15753"/>
      <w:docPartObj>
        <w:docPartGallery w:val="Page Numbers (Bottom of Page)"/>
        <w:docPartUnique/>
      </w:docPartObj>
    </w:sdtPr>
    <w:sdtContent>
      <w:p w:rsidR="00DE3553" w:rsidRDefault="006B5A94">
        <w:pPr>
          <w:pStyle w:val="a3"/>
          <w:jc w:val="center"/>
        </w:pPr>
        <w:fldSimple w:instr=" PAGE   \* MERGEFORMAT ">
          <w:r w:rsidR="00B5654E" w:rsidRPr="00B5654E">
            <w:rPr>
              <w:noProof/>
              <w:lang w:val="zh-CN"/>
            </w:rPr>
            <w:t>134</w:t>
          </w:r>
        </w:fldSimple>
      </w:p>
    </w:sdtContent>
  </w:sdt>
  <w:p w:rsidR="00DE3553" w:rsidRDefault="00DE355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378" w:rsidRDefault="00C45378" w:rsidP="00924E86">
      <w:r>
        <w:separator/>
      </w:r>
    </w:p>
  </w:footnote>
  <w:footnote w:type="continuationSeparator" w:id="0">
    <w:p w:rsidR="00C45378" w:rsidRDefault="00C45378" w:rsidP="00924E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829103C"/>
    <w:rsid w:val="000A77E7"/>
    <w:rsid w:val="000E73B5"/>
    <w:rsid w:val="001823F1"/>
    <w:rsid w:val="00262A3F"/>
    <w:rsid w:val="003E0980"/>
    <w:rsid w:val="00545560"/>
    <w:rsid w:val="00545AF3"/>
    <w:rsid w:val="00605D48"/>
    <w:rsid w:val="006110E4"/>
    <w:rsid w:val="006B5A94"/>
    <w:rsid w:val="008128FD"/>
    <w:rsid w:val="00924E86"/>
    <w:rsid w:val="009D0FC4"/>
    <w:rsid w:val="00B5654E"/>
    <w:rsid w:val="00C45378"/>
    <w:rsid w:val="00DE3553"/>
    <w:rsid w:val="00E47020"/>
    <w:rsid w:val="00E80896"/>
    <w:rsid w:val="382910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10E4"/>
    <w:pPr>
      <w:widowControl w:val="0"/>
      <w:jc w:val="both"/>
    </w:pPr>
    <w:rPr>
      <w:rFonts w:ascii="Calibri" w:hAnsi="Calibri"/>
      <w:kern w:val="2"/>
      <w:sz w:val="21"/>
      <w:szCs w:val="22"/>
    </w:rPr>
  </w:style>
  <w:style w:type="paragraph" w:styleId="1">
    <w:name w:val="heading 1"/>
    <w:basedOn w:val="a"/>
    <w:next w:val="a"/>
    <w:qFormat/>
    <w:rsid w:val="006110E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6110E4"/>
    <w:pPr>
      <w:tabs>
        <w:tab w:val="center" w:pos="4153"/>
        <w:tab w:val="right" w:pos="8306"/>
      </w:tabs>
      <w:snapToGrid w:val="0"/>
      <w:jc w:val="left"/>
    </w:pPr>
    <w:rPr>
      <w:sz w:val="18"/>
      <w:szCs w:val="18"/>
    </w:rPr>
  </w:style>
  <w:style w:type="character" w:styleId="a4">
    <w:name w:val="page number"/>
    <w:basedOn w:val="a0"/>
    <w:rsid w:val="006110E4"/>
  </w:style>
  <w:style w:type="paragraph" w:styleId="a5">
    <w:name w:val="header"/>
    <w:basedOn w:val="a"/>
    <w:link w:val="Char0"/>
    <w:rsid w:val="00924E8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924E86"/>
    <w:rPr>
      <w:rFonts w:ascii="Calibri" w:hAnsi="Calibri"/>
      <w:kern w:val="2"/>
      <w:sz w:val="18"/>
      <w:szCs w:val="18"/>
    </w:rPr>
  </w:style>
  <w:style w:type="character" w:customStyle="1" w:styleId="Char">
    <w:name w:val="页脚 Char"/>
    <w:basedOn w:val="a0"/>
    <w:link w:val="a3"/>
    <w:uiPriority w:val="99"/>
    <w:rsid w:val="00DE3553"/>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385</Words>
  <Characters>2197</Characters>
  <Application>Microsoft Office Word</Application>
  <DocSecurity>0</DocSecurity>
  <Lines>18</Lines>
  <Paragraphs>5</Paragraphs>
  <ScaleCrop>false</ScaleCrop>
  <Company>china</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☆茉莉蜜茶○</dc:creator>
  <cp:lastModifiedBy>管理员</cp:lastModifiedBy>
  <cp:revision>12</cp:revision>
  <cp:lastPrinted>2020-12-10T08:42:00Z</cp:lastPrinted>
  <dcterms:created xsi:type="dcterms:W3CDTF">2020-12-10T01:03:00Z</dcterms:created>
  <dcterms:modified xsi:type="dcterms:W3CDTF">2020-12-10T08:42:00Z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