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附表2</w:t>
      </w:r>
    </w:p>
    <w:p>
      <w:pPr>
        <w:bidi w:val="0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  <w:lang w:eastAsia="zh-CN"/>
        </w:rPr>
        <w:t>海陵区</w:t>
      </w:r>
      <w:r>
        <w:rPr>
          <w:rFonts w:hint="eastAsia" w:ascii="方正小标宋简体" w:eastAsia="方正小标宋简体"/>
          <w:sz w:val="36"/>
          <w:szCs w:val="36"/>
        </w:rPr>
        <w:t>环境网格化管理二级网格表</w:t>
      </w:r>
    </w:p>
    <w:tbl>
      <w:tblPr>
        <w:tblStyle w:val="3"/>
        <w:tblW w:w="146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4"/>
        <w:gridCol w:w="3903"/>
        <w:gridCol w:w="4365"/>
        <w:gridCol w:w="4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4" w:type="dxa"/>
            <w:vAlign w:val="center"/>
          </w:tcPr>
          <w:p>
            <w:pPr>
              <w:bidi w:val="0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责任主体单位</w:t>
            </w:r>
          </w:p>
        </w:tc>
        <w:tc>
          <w:tcPr>
            <w:tcW w:w="3903" w:type="dxa"/>
            <w:vAlign w:val="center"/>
          </w:tcPr>
          <w:p>
            <w:pPr>
              <w:bidi w:val="0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专（兼）职环保管理机构</w:t>
            </w:r>
          </w:p>
        </w:tc>
        <w:tc>
          <w:tcPr>
            <w:tcW w:w="4365" w:type="dxa"/>
            <w:vAlign w:val="center"/>
          </w:tcPr>
          <w:p>
            <w:pPr>
              <w:bidi w:val="0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环保监督员</w:t>
            </w:r>
          </w:p>
        </w:tc>
        <w:tc>
          <w:tcPr>
            <w:tcW w:w="4700" w:type="dxa"/>
            <w:vAlign w:val="center"/>
          </w:tcPr>
          <w:p>
            <w:pPr>
              <w:bidi w:val="0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网格职责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2" w:hRule="atLeast"/>
        </w:trPr>
        <w:tc>
          <w:tcPr>
            <w:tcW w:w="1714" w:type="dxa"/>
            <w:vAlign w:val="center"/>
          </w:tcPr>
          <w:p>
            <w:pPr>
              <w:bidi w:val="0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海陵区闸坡镇政府</w:t>
            </w:r>
          </w:p>
        </w:tc>
        <w:tc>
          <w:tcPr>
            <w:tcW w:w="3903" w:type="dxa"/>
            <w:vAlign w:val="center"/>
          </w:tcPr>
          <w:p>
            <w:pPr>
              <w:bidi w:val="0"/>
              <w:jc w:val="center"/>
              <w:rPr>
                <w:rFonts w:hint="eastAsia"/>
                <w:sz w:val="24"/>
              </w:rPr>
            </w:pPr>
          </w:p>
          <w:p>
            <w:pPr>
              <w:bidi w:val="0"/>
              <w:jc w:val="center"/>
              <w:rPr>
                <w:rFonts w:hint="eastAsia"/>
                <w:sz w:val="24"/>
              </w:rPr>
            </w:pPr>
          </w:p>
          <w:p>
            <w:pPr>
              <w:bidi w:val="0"/>
              <w:jc w:val="center"/>
              <w:rPr>
                <w:rFonts w:hint="eastAsia"/>
                <w:sz w:val="24"/>
              </w:rPr>
            </w:pPr>
          </w:p>
          <w:p>
            <w:pPr>
              <w:bidi w:val="0"/>
              <w:jc w:val="center"/>
              <w:rPr>
                <w:rFonts w:hint="eastAsia"/>
                <w:sz w:val="24"/>
              </w:rPr>
            </w:pPr>
          </w:p>
          <w:p>
            <w:pPr>
              <w:bidi w:val="0"/>
              <w:jc w:val="center"/>
              <w:rPr>
                <w:rFonts w:hint="eastAsia"/>
                <w:sz w:val="24"/>
              </w:rPr>
            </w:pPr>
          </w:p>
          <w:p>
            <w:pPr>
              <w:bidi w:val="0"/>
              <w:jc w:val="center"/>
              <w:rPr>
                <w:rFonts w:hint="eastAsia"/>
                <w:sz w:val="24"/>
              </w:rPr>
            </w:pPr>
          </w:p>
          <w:p>
            <w:pPr>
              <w:bidi w:val="0"/>
              <w:jc w:val="center"/>
              <w:rPr>
                <w:rFonts w:hint="eastAsia"/>
                <w:sz w:val="24"/>
              </w:rPr>
            </w:pPr>
          </w:p>
          <w:p>
            <w:pPr>
              <w:bidi w:val="0"/>
              <w:jc w:val="center"/>
              <w:rPr>
                <w:rFonts w:hint="eastAsia"/>
                <w:sz w:val="24"/>
              </w:rPr>
            </w:pPr>
          </w:p>
          <w:p>
            <w:pPr>
              <w:bidi w:val="0"/>
              <w:jc w:val="center"/>
              <w:rPr>
                <w:rFonts w:hint="eastAsia"/>
                <w:sz w:val="24"/>
              </w:rPr>
            </w:pPr>
          </w:p>
          <w:p>
            <w:pPr>
              <w:bidi w:val="0"/>
              <w:jc w:val="center"/>
              <w:rPr>
                <w:rFonts w:hint="eastAsia"/>
                <w:sz w:val="24"/>
              </w:rPr>
            </w:pPr>
          </w:p>
          <w:p>
            <w:pPr>
              <w:bidi w:val="0"/>
              <w:jc w:val="center"/>
              <w:rPr>
                <w:rFonts w:hint="eastAsia"/>
                <w:sz w:val="24"/>
              </w:rPr>
            </w:pPr>
          </w:p>
          <w:p>
            <w:pPr>
              <w:bidi w:val="0"/>
              <w:jc w:val="center"/>
              <w:rPr>
                <w:rFonts w:hint="eastAsia"/>
                <w:sz w:val="24"/>
              </w:rPr>
            </w:pPr>
          </w:p>
          <w:p>
            <w:pPr>
              <w:bidi w:val="0"/>
              <w:jc w:val="center"/>
              <w:rPr>
                <w:rFonts w:hint="eastAsia"/>
                <w:sz w:val="24"/>
              </w:rPr>
            </w:pPr>
          </w:p>
          <w:p>
            <w:pPr>
              <w:bidi w:val="0"/>
              <w:jc w:val="center"/>
              <w:rPr>
                <w:rFonts w:hint="eastAsia"/>
                <w:sz w:val="24"/>
              </w:rPr>
            </w:pPr>
          </w:p>
          <w:p>
            <w:pPr>
              <w:bidi w:val="0"/>
              <w:jc w:val="center"/>
              <w:rPr>
                <w:rFonts w:hint="eastAsia"/>
                <w:sz w:val="24"/>
              </w:rPr>
            </w:pPr>
          </w:p>
          <w:p>
            <w:pPr>
              <w:bidi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365" w:type="dxa"/>
            <w:vAlign w:val="center"/>
          </w:tcPr>
          <w:p>
            <w:pPr>
              <w:bidi w:val="0"/>
              <w:jc w:val="center"/>
              <w:rPr>
                <w:rFonts w:hint="eastAsia"/>
                <w:sz w:val="24"/>
              </w:rPr>
            </w:pPr>
          </w:p>
          <w:p>
            <w:pPr>
              <w:bidi w:val="0"/>
              <w:jc w:val="center"/>
              <w:rPr>
                <w:rFonts w:hint="eastAsia"/>
                <w:sz w:val="24"/>
              </w:rPr>
            </w:pPr>
          </w:p>
          <w:p>
            <w:pPr>
              <w:bidi w:val="0"/>
              <w:jc w:val="center"/>
              <w:rPr>
                <w:rFonts w:hint="eastAsia"/>
                <w:sz w:val="24"/>
              </w:rPr>
            </w:pPr>
          </w:p>
          <w:p>
            <w:pPr>
              <w:bidi w:val="0"/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方亦行</w:t>
            </w:r>
          </w:p>
        </w:tc>
        <w:tc>
          <w:tcPr>
            <w:tcW w:w="4700" w:type="dxa"/>
            <w:vAlign w:val="center"/>
          </w:tcPr>
          <w:p>
            <w:pPr>
              <w:bidi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一是制定辖区网格化管理方案并组织实施，落实包片、包村人员和环境监管责任；</w:t>
            </w:r>
          </w:p>
          <w:p>
            <w:pPr>
              <w:bidi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二是组织对辖区内排污企业、建设项目、饮用水源地、林地山地、河道沟道、秸秆禁烧等进行巡查监督，对发现的环境违法问题及时制止、处理；</w:t>
            </w:r>
          </w:p>
          <w:p>
            <w:pPr>
              <w:bidi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三是按要求上报辖区环境违法信息，并配合一级网格相关部门做好查处工作</w:t>
            </w:r>
            <w:r>
              <w:rPr>
                <w:rFonts w:hint="eastAsia"/>
                <w:sz w:val="24"/>
                <w:lang w:eastAsia="zh-CN"/>
              </w:rPr>
              <w:t>；</w:t>
            </w:r>
          </w:p>
          <w:p>
            <w:pPr>
              <w:bidi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四是对下级网格责任主体履职情况实施监督、考核；五是完成上级安排、交办的环境保护工作任务。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45F0B1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2016-07-06T07:19:49Z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